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13" w:line="184" w:lineRule="auto"/>
        <w:ind w:left="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0"/>
          <w:sz w:val="35"/>
          <w:szCs w:val="35"/>
        </w:rPr>
        <w:t>ZYDR-2023-10003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10" w:line="223" w:lineRule="auto"/>
        <w:ind w:left="28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益资财综〔2023〕3号</w:t>
      </w:r>
    </w:p>
    <w:p>
      <w:pPr>
        <w:spacing w:before="67" w:line="60" w:lineRule="exact"/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49" w:line="680" w:lineRule="exact"/>
        <w:ind w:left="24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position w:val="15"/>
          <w:sz w:val="46"/>
          <w:szCs w:val="46"/>
        </w:rPr>
        <w:t>益阳市资阳区财政局</w:t>
      </w:r>
    </w:p>
    <w:p>
      <w:pPr>
        <w:spacing w:before="1" w:line="219" w:lineRule="auto"/>
        <w:ind w:left="24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益阳市资阳区民政局</w:t>
      </w:r>
    </w:p>
    <w:p>
      <w:pPr>
        <w:spacing w:before="164" w:line="700" w:lineRule="exact"/>
        <w:ind w:left="4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position w:val="16"/>
          <w:sz w:val="46"/>
          <w:szCs w:val="46"/>
        </w:rPr>
        <w:t>关于印发《益阳市资阳区福彩公益金支持</w:t>
      </w:r>
    </w:p>
    <w:p>
      <w:pPr>
        <w:spacing w:line="219" w:lineRule="auto"/>
        <w:ind w:left="92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福利事业专项资金管理办法》的通知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18" w:line="670" w:lineRule="exact"/>
        <w:ind w:left="3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2"/>
          <w:position w:val="22"/>
          <w:sz w:val="36"/>
          <w:szCs w:val="36"/>
        </w:rPr>
        <w:t>各乡镇(街道、长春经济开发区)财政所、民政所、区直有关</w:t>
      </w:r>
    </w:p>
    <w:p>
      <w:pPr>
        <w:spacing w:before="2" w:line="220" w:lineRule="auto"/>
        <w:ind w:left="3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9"/>
          <w:sz w:val="36"/>
          <w:szCs w:val="36"/>
        </w:rPr>
        <w:t>单位：</w:t>
      </w:r>
    </w:p>
    <w:p>
      <w:pPr>
        <w:spacing w:before="180" w:line="333" w:lineRule="auto"/>
        <w:ind w:left="39" w:firstLine="670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4"/>
          <w:sz w:val="36"/>
          <w:szCs w:val="36"/>
        </w:rPr>
        <w:t>为进一步规范和加强福彩公益金管理，提高资金使用效益，</w:t>
      </w:r>
      <w:r>
        <w:rPr>
          <w:rFonts w:ascii="仿宋" w:hAnsi="仿宋" w:eastAsia="仿宋" w:cs="仿宋"/>
          <w:spacing w:val="12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6"/>
          <w:sz w:val="36"/>
          <w:szCs w:val="36"/>
        </w:rPr>
        <w:t>根据财政预算管理和彩票公益金相关要求，区财政</w:t>
      </w:r>
      <w:r>
        <w:rPr>
          <w:rFonts w:ascii="仿宋" w:hAnsi="仿宋" w:eastAsia="仿宋" w:cs="仿宋"/>
          <w:spacing w:val="-37"/>
          <w:sz w:val="36"/>
          <w:szCs w:val="36"/>
        </w:rPr>
        <w:t>局、区民政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5"/>
          <w:sz w:val="36"/>
          <w:szCs w:val="36"/>
        </w:rPr>
        <w:t>局修订了《益阳市资阳区福彩公益金支持福利事业专项资金管</w:t>
      </w:r>
    </w:p>
    <w:p>
      <w:pPr>
        <w:spacing w:line="220" w:lineRule="auto"/>
        <w:ind w:left="3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0"/>
          <w:sz w:val="36"/>
          <w:szCs w:val="36"/>
        </w:rPr>
        <w:t>理办法》,现印发给你们，请遵照执行。</w:t>
      </w:r>
    </w:p>
    <w:p>
      <w:pPr>
        <w:spacing w:line="220" w:lineRule="auto"/>
        <w:rPr>
          <w:rFonts w:ascii="仿宋" w:hAnsi="仿宋" w:eastAsia="仿宋" w:cs="仿宋"/>
          <w:sz w:val="36"/>
          <w:szCs w:val="36"/>
        </w:rPr>
        <w:sectPr>
          <w:footerReference r:id="rId5" w:type="default"/>
          <w:pgSz w:w="11900" w:h="16820"/>
          <w:pgMar w:top="1429" w:right="1399" w:bottom="1575" w:left="1559" w:header="0" w:footer="1257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94" w:line="612" w:lineRule="exact"/>
        <w:jc w:val="right"/>
      </w:pPr>
      <w:r>
        <w:rPr>
          <w:spacing w:val="33"/>
          <w:position w:val="24"/>
        </w:rPr>
        <w:t>附件：益阳市资阳区福彩公益金支持福利事业专项资金管</w:t>
      </w:r>
    </w:p>
    <w:p>
      <w:pPr>
        <w:spacing w:line="219" w:lineRule="auto"/>
        <w:ind w:left="1485"/>
        <w:rPr>
          <w:rFonts w:ascii="仿宋" w:hAnsi="仿宋" w:eastAsia="仿宋" w:cs="仿宋"/>
          <w:snapToGrid w:val="0"/>
          <w:color w:val="000000"/>
          <w:spacing w:val="33"/>
          <w:kern w:val="0"/>
          <w:position w:val="24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33"/>
          <w:kern w:val="0"/>
          <w:position w:val="24"/>
          <w:sz w:val="29"/>
          <w:szCs w:val="29"/>
          <w:lang w:val="en-US" w:eastAsia="en-US" w:bidi="ar-SA"/>
        </w:rPr>
        <w:t>理办法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94" w:line="222" w:lineRule="auto"/>
        <w:ind w:left="5194"/>
      </w:pPr>
      <w:r>
        <w:pict>
          <v:shape id="_x0000_s1026" o:spid="_x0000_s1026" o:spt="202" type="#_x0000_t202" style="position:absolute;left:0pt;margin-left:27.25pt;margin-top:3.7pt;height:19.5pt;width:142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spacing w:val="23"/>
                    </w:rPr>
                    <w:t>益阳市资阳区财政局</w:t>
                  </w:r>
                </w:p>
              </w:txbxContent>
            </v:textbox>
          </v:shape>
        </w:pict>
      </w:r>
      <w:r>
        <w:rPr>
          <w:spacing w:val="23"/>
        </w:rPr>
        <w:t>益阳市资阳区民政局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95" w:line="222" w:lineRule="auto"/>
        <w:ind w:left="5345"/>
      </w:pPr>
      <w:r>
        <w:rPr>
          <w:spacing w:val="-17"/>
        </w:rPr>
        <w:t>2</w:t>
      </w:r>
      <w:r>
        <w:rPr>
          <w:spacing w:val="-50"/>
        </w:rPr>
        <w:t xml:space="preserve"> </w:t>
      </w:r>
      <w:r>
        <w:rPr>
          <w:spacing w:val="-17"/>
        </w:rPr>
        <w:t>0</w:t>
      </w:r>
      <w:r>
        <w:rPr>
          <w:spacing w:val="-56"/>
        </w:rPr>
        <w:t xml:space="preserve"> </w:t>
      </w:r>
      <w:r>
        <w:rPr>
          <w:spacing w:val="-17"/>
        </w:rPr>
        <w:t>2</w:t>
      </w:r>
      <w:r>
        <w:rPr>
          <w:spacing w:val="-55"/>
        </w:rPr>
        <w:t xml:space="preserve"> </w:t>
      </w:r>
      <w:r>
        <w:rPr>
          <w:spacing w:val="-17"/>
        </w:rPr>
        <w:t>3</w:t>
      </w:r>
      <w:r>
        <w:rPr>
          <w:spacing w:val="-45"/>
        </w:rPr>
        <w:t xml:space="preserve"> </w:t>
      </w:r>
      <w:r>
        <w:rPr>
          <w:spacing w:val="-17"/>
        </w:rPr>
        <w:t>年</w:t>
      </w:r>
      <w:r>
        <w:rPr>
          <w:spacing w:val="-55"/>
        </w:rPr>
        <w:t xml:space="preserve"> </w:t>
      </w:r>
      <w:r>
        <w:rPr>
          <w:spacing w:val="-17"/>
        </w:rPr>
        <w:t>3</w:t>
      </w:r>
      <w:r>
        <w:rPr>
          <w:spacing w:val="-37"/>
        </w:rPr>
        <w:t xml:space="preserve"> </w:t>
      </w:r>
      <w:r>
        <w:rPr>
          <w:spacing w:val="-17"/>
        </w:rPr>
        <w:t>月</w:t>
      </w:r>
      <w:r>
        <w:rPr>
          <w:spacing w:val="-57"/>
        </w:rPr>
        <w:t xml:space="preserve"> </w:t>
      </w:r>
      <w:r>
        <w:rPr>
          <w:spacing w:val="-17"/>
        </w:rPr>
        <w:t>2</w:t>
      </w:r>
      <w:r>
        <w:rPr>
          <w:spacing w:val="-53"/>
        </w:rPr>
        <w:t xml:space="preserve"> </w:t>
      </w:r>
      <w:r>
        <w:rPr>
          <w:spacing w:val="-17"/>
        </w:rPr>
        <w:t>7</w:t>
      </w:r>
      <w:r>
        <w:rPr>
          <w:spacing w:val="7"/>
        </w:rPr>
        <w:t xml:space="preserve"> </w:t>
      </w:r>
      <w:r>
        <w:rPr>
          <w:spacing w:val="-17"/>
        </w:rPr>
        <w:t>日</w:t>
      </w:r>
    </w:p>
    <w:p>
      <w:pPr>
        <w:spacing w:line="222" w:lineRule="auto"/>
        <w:sectPr>
          <w:footerReference r:id="rId6" w:type="default"/>
          <w:pgSz w:w="11900" w:h="16820"/>
          <w:pgMar w:top="1429" w:right="1468" w:bottom="1563" w:left="1785" w:header="0" w:footer="1275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40" w:line="660" w:lineRule="exact"/>
        <w:ind w:left="6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16"/>
          <w:sz w:val="43"/>
          <w:szCs w:val="43"/>
        </w:rPr>
        <w:t>益阳市资阳区福彩公益金支持福利事业</w:t>
      </w:r>
    </w:p>
    <w:p>
      <w:pPr>
        <w:spacing w:line="219" w:lineRule="auto"/>
        <w:ind w:left="26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专项资金管理办法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222" w:lineRule="auto"/>
        <w:ind w:left="33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第一章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总</w:t>
      </w:r>
      <w:r>
        <w:rPr>
          <w:rFonts w:ascii="黑体" w:hAnsi="黑体" w:eastAsia="黑体" w:cs="黑体"/>
          <w:spacing w:val="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则</w:t>
      </w: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第一条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为进一步规范和加强福彩公益金支持社会福利事</w:t>
      </w:r>
      <w:r>
        <w:rPr>
          <w:sz w:val="31"/>
          <w:szCs w:val="31"/>
        </w:rPr>
        <w:t xml:space="preserve">   </w:t>
      </w:r>
      <w:r>
        <w:rPr>
          <w:spacing w:val="17"/>
          <w:sz w:val="31"/>
          <w:szCs w:val="31"/>
        </w:rPr>
        <w:t>业专项资金(以下简称福彩公益金)管理，提高资金使用</w:t>
      </w:r>
      <w:r>
        <w:rPr>
          <w:spacing w:val="16"/>
          <w:sz w:val="31"/>
          <w:szCs w:val="31"/>
        </w:rPr>
        <w:t>效益，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根据《彩票管理条例》(国务院令第554号)、</w:t>
      </w:r>
      <w:r>
        <w:rPr>
          <w:spacing w:val="8"/>
          <w:sz w:val="31"/>
          <w:szCs w:val="31"/>
        </w:rPr>
        <w:t>《彩票管理条例实</w:t>
      </w:r>
      <w:r>
        <w:rPr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施细则》(财政部民政部国家体育总局令第96号)、《财政部关</w:t>
      </w:r>
      <w:r>
        <w:rPr>
          <w:spacing w:val="3"/>
          <w:sz w:val="31"/>
          <w:szCs w:val="31"/>
        </w:rPr>
        <w:t xml:space="preserve">   </w:t>
      </w:r>
      <w:r>
        <w:rPr>
          <w:spacing w:val="12"/>
          <w:sz w:val="31"/>
          <w:szCs w:val="31"/>
        </w:rPr>
        <w:t>于印发〈彩票公益金管理办法〉的通知》(财综〔2021〕18号)</w:t>
      </w:r>
      <w:r>
        <w:rPr>
          <w:spacing w:val="8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和《湖南省财政厅湖南省民政厅关于印发〈湖南省省级福彩公</w:t>
      </w:r>
      <w:r>
        <w:rPr>
          <w:spacing w:val="2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益金支持福利事业专项资金管理办法&gt;的通知》(湘财综</w:t>
      </w:r>
      <w:r>
        <w:rPr>
          <w:spacing w:val="8"/>
          <w:sz w:val="31"/>
          <w:szCs w:val="31"/>
        </w:rPr>
        <w:t>〔2023〕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3号)等有关规定，制定本办法。</w:t>
      </w:r>
    </w:p>
    <w:p>
      <w:pPr>
        <w:pStyle w:val="2"/>
        <w:spacing w:before="202" w:line="341" w:lineRule="auto"/>
        <w:ind w:right="172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第二条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spacing w:val="14"/>
          <w:sz w:val="31"/>
          <w:szCs w:val="31"/>
        </w:rPr>
        <w:t>本办法所称福彩公益金，是指根据国家彩票公益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金分配政策，从彩票发行收入中按规定比例分配至我区，专项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用于社会福利和相关公益事业发展的资金。</w:t>
      </w:r>
    </w:p>
    <w:p>
      <w:pPr>
        <w:pStyle w:val="2"/>
        <w:spacing w:before="182" w:line="584" w:lineRule="exact"/>
        <w:ind w:left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position w:val="20"/>
          <w:sz w:val="31"/>
          <w:szCs w:val="31"/>
        </w:rPr>
        <w:t>第三条</w:t>
      </w:r>
      <w:r>
        <w:rPr>
          <w:rFonts w:ascii="楷体" w:hAnsi="楷体" w:eastAsia="楷体" w:cs="楷体"/>
          <w:spacing w:val="12"/>
          <w:position w:val="20"/>
          <w:sz w:val="31"/>
          <w:szCs w:val="31"/>
        </w:rPr>
        <w:t xml:space="preserve">  </w:t>
      </w:r>
      <w:r>
        <w:rPr>
          <w:spacing w:val="12"/>
          <w:position w:val="20"/>
          <w:sz w:val="31"/>
          <w:szCs w:val="31"/>
        </w:rPr>
        <w:t>福彩公益金纳入政府性基金预算管理，由财政、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z w:val="31"/>
          <w:szCs w:val="31"/>
        </w:rPr>
        <w:t>民政部门分别按职责进行管理。</w:t>
      </w:r>
    </w:p>
    <w:p>
      <w:pPr>
        <w:pStyle w:val="2"/>
        <w:spacing w:before="153" w:line="336" w:lineRule="auto"/>
        <w:ind w:right="156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第四条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福彩公益金的管理、分配和使用应当严格执行国</w:t>
      </w:r>
      <w:r>
        <w:rPr>
          <w:spacing w:val="1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家法律法规和财务规章制度。坚持科学规范、厉行节约，依法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依规。坚持公开透明、强化监管，主动接受财政、审计、民政</w:t>
      </w:r>
    </w:p>
    <w:p>
      <w:pPr>
        <w:spacing w:line="222" w:lineRule="auto"/>
        <w:rPr>
          <w:sz w:val="31"/>
          <w:szCs w:val="31"/>
        </w:rPr>
        <w:sectPr>
          <w:footerReference r:id="rId7" w:type="default"/>
          <w:pgSz w:w="11900" w:h="16820"/>
          <w:pgMar w:top="1429" w:right="1515" w:bottom="1567" w:left="1430" w:header="0" w:footer="1259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4" w:line="548" w:lineRule="exact"/>
        <w:rPr>
          <w:sz w:val="32"/>
          <w:szCs w:val="32"/>
        </w:rPr>
      </w:pPr>
      <w:r>
        <w:rPr>
          <w:spacing w:val="3"/>
          <w:position w:val="16"/>
          <w:sz w:val="32"/>
          <w:szCs w:val="32"/>
        </w:rPr>
        <w:t>部门和社会监督。坚持统筹谋划、讲求绩效，发挥资金使用效</w:t>
      </w:r>
    </w:p>
    <w:p>
      <w:pPr>
        <w:pStyle w:val="2"/>
        <w:spacing w:before="1" w:line="231" w:lineRule="auto"/>
        <w:rPr>
          <w:sz w:val="32"/>
          <w:szCs w:val="32"/>
        </w:rPr>
      </w:pPr>
      <w:r>
        <w:rPr>
          <w:spacing w:val="-17"/>
          <w:sz w:val="32"/>
          <w:szCs w:val="32"/>
        </w:rPr>
        <w:t>益。</w:t>
      </w:r>
    </w:p>
    <w:p>
      <w:pPr>
        <w:spacing w:before="288" w:line="222" w:lineRule="auto"/>
        <w:ind w:left="28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第二章</w:t>
      </w:r>
      <w:r>
        <w:rPr>
          <w:rFonts w:ascii="黑体" w:hAnsi="黑体" w:eastAsia="黑体" w:cs="黑体"/>
          <w:spacing w:val="-7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资金支持范围</w:t>
      </w:r>
    </w:p>
    <w:p>
      <w:pPr>
        <w:pStyle w:val="2"/>
        <w:spacing w:before="283" w:line="295" w:lineRule="auto"/>
        <w:ind w:firstLine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第五条</w:t>
      </w:r>
      <w:r>
        <w:rPr>
          <w:rFonts w:ascii="楷体" w:hAnsi="楷体" w:eastAsia="楷体" w:cs="楷体"/>
          <w:spacing w:val="-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 xml:space="preserve">福彩公益金使用应秉承福利彩票“扶老、助残、 </w:t>
      </w:r>
      <w:r>
        <w:rPr>
          <w:spacing w:val="2"/>
          <w:sz w:val="32"/>
          <w:szCs w:val="32"/>
        </w:rPr>
        <w:t>救孤、济困”的发行宗旨。主要用于资助为老年人、残疾人、</w:t>
      </w:r>
      <w:r>
        <w:rPr>
          <w:spacing w:val="1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儿童等特殊群体提供服务的社会福利项目，以</w:t>
      </w:r>
      <w:r>
        <w:rPr>
          <w:spacing w:val="3"/>
          <w:sz w:val="32"/>
          <w:szCs w:val="32"/>
        </w:rPr>
        <w:t>及符合宗旨的其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他社会公益项目。其中老年人福利类项目预算总</w:t>
      </w:r>
      <w:r>
        <w:rPr>
          <w:spacing w:val="3"/>
          <w:sz w:val="32"/>
          <w:szCs w:val="32"/>
        </w:rPr>
        <w:t>额不得低于项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目资金总额的55%,并随老年人口的增加，逐步提高资金投入比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例。</w:t>
      </w:r>
    </w:p>
    <w:p>
      <w:pPr>
        <w:pStyle w:val="2"/>
        <w:spacing w:before="193" w:line="222" w:lineRule="auto"/>
        <w:ind w:left="659"/>
        <w:rPr>
          <w:sz w:val="32"/>
          <w:szCs w:val="32"/>
        </w:rPr>
      </w:pPr>
      <w:r>
        <w:rPr>
          <w:spacing w:val="-14"/>
          <w:sz w:val="32"/>
          <w:szCs w:val="32"/>
        </w:rPr>
        <w:t>具体支持范围包括：</w:t>
      </w:r>
    </w:p>
    <w:p>
      <w:pPr>
        <w:pStyle w:val="2"/>
        <w:spacing w:before="134" w:line="518" w:lineRule="exact"/>
        <w:ind w:left="770"/>
        <w:rPr>
          <w:sz w:val="32"/>
          <w:szCs w:val="32"/>
        </w:rPr>
      </w:pPr>
      <w:r>
        <w:rPr>
          <w:spacing w:val="13"/>
          <w:position w:val="14"/>
          <w:sz w:val="32"/>
          <w:szCs w:val="32"/>
        </w:rPr>
        <w:t>(一)老年人福利项目：包括老年人社会福利设施建设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养老服务等；</w:t>
      </w:r>
    </w:p>
    <w:p>
      <w:pPr>
        <w:pStyle w:val="2"/>
        <w:spacing w:before="140" w:line="530" w:lineRule="exact"/>
        <w:ind w:right="25"/>
        <w:jc w:val="right"/>
        <w:rPr>
          <w:sz w:val="32"/>
          <w:szCs w:val="32"/>
        </w:rPr>
      </w:pPr>
      <w:r>
        <w:rPr>
          <w:spacing w:val="12"/>
          <w:position w:val="15"/>
          <w:sz w:val="32"/>
          <w:szCs w:val="32"/>
        </w:rPr>
        <w:t>(二)残疾人福利项目：残疾人康复服务，精神卫生福利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设施建设等；</w:t>
      </w:r>
    </w:p>
    <w:p>
      <w:pPr>
        <w:pStyle w:val="2"/>
        <w:spacing w:before="133" w:line="512" w:lineRule="exact"/>
        <w:ind w:right="36"/>
        <w:jc w:val="right"/>
        <w:rPr>
          <w:sz w:val="32"/>
          <w:szCs w:val="32"/>
        </w:rPr>
      </w:pPr>
      <w:r>
        <w:rPr>
          <w:spacing w:val="12"/>
          <w:position w:val="13"/>
          <w:sz w:val="32"/>
          <w:szCs w:val="32"/>
        </w:rPr>
        <w:t>(三)儿童福利项目：包括儿童福利设施和未成年人保护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设施建设，孤残儿童康复服务等；</w:t>
      </w:r>
    </w:p>
    <w:p>
      <w:pPr>
        <w:pStyle w:val="2"/>
        <w:spacing w:before="133" w:line="535" w:lineRule="exact"/>
        <w:ind w:left="770"/>
        <w:rPr>
          <w:sz w:val="32"/>
          <w:szCs w:val="32"/>
        </w:rPr>
      </w:pPr>
      <w:r>
        <w:rPr>
          <w:spacing w:val="13"/>
          <w:position w:val="15"/>
          <w:sz w:val="32"/>
          <w:szCs w:val="32"/>
        </w:rPr>
        <w:t>(四)其他社会公益项目：包括流浪乞讨人员救助设施</w:t>
      </w:r>
    </w:p>
    <w:p>
      <w:pPr>
        <w:pStyle w:val="2"/>
        <w:spacing w:before="1" w:line="218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殡葬服务设施建设以及其他符合彩票公益金资助范围的项目。</w:t>
      </w:r>
    </w:p>
    <w:p>
      <w:pPr>
        <w:pStyle w:val="2"/>
        <w:spacing w:before="131" w:line="224" w:lineRule="auto"/>
        <w:ind w:left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第六条</w:t>
      </w:r>
      <w:r>
        <w:rPr>
          <w:rFonts w:ascii="楷体" w:hAnsi="楷体" w:eastAsia="楷体" w:cs="楷体"/>
          <w:spacing w:val="-8"/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福彩公益金不得用于：</w:t>
      </w:r>
    </w:p>
    <w:p>
      <w:pPr>
        <w:pStyle w:val="2"/>
        <w:spacing w:before="146" w:line="512" w:lineRule="exact"/>
        <w:ind w:right="3"/>
        <w:jc w:val="right"/>
        <w:rPr>
          <w:sz w:val="32"/>
          <w:szCs w:val="32"/>
        </w:rPr>
      </w:pPr>
      <w:r>
        <w:rPr>
          <w:spacing w:val="13"/>
          <w:position w:val="13"/>
          <w:sz w:val="32"/>
          <w:szCs w:val="32"/>
        </w:rPr>
        <w:t>(一)行政事业单位的基本支出，如基本工资、津贴、补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贴、奖金、绩效工资等人员支出及水电费等日常公用支出；</w:t>
      </w:r>
    </w:p>
    <w:p>
      <w:pPr>
        <w:pStyle w:val="2"/>
        <w:spacing w:before="119" w:line="515" w:lineRule="exact"/>
        <w:ind w:right="39"/>
        <w:jc w:val="right"/>
        <w:rPr>
          <w:sz w:val="32"/>
          <w:szCs w:val="32"/>
        </w:rPr>
      </w:pPr>
      <w:r>
        <w:rPr>
          <w:spacing w:val="11"/>
          <w:position w:val="14"/>
          <w:sz w:val="32"/>
          <w:szCs w:val="32"/>
        </w:rPr>
        <w:t>(二)因公出国(境)、公务接待、公务用车购置及运行等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支出；</w:t>
      </w:r>
    </w:p>
    <w:p>
      <w:pPr>
        <w:pStyle w:val="2"/>
        <w:spacing w:before="123" w:line="222" w:lineRule="auto"/>
        <w:ind w:left="770"/>
        <w:rPr>
          <w:sz w:val="32"/>
          <w:szCs w:val="32"/>
        </w:rPr>
      </w:pPr>
      <w:r>
        <w:rPr>
          <w:spacing w:val="1"/>
          <w:sz w:val="32"/>
          <w:szCs w:val="32"/>
        </w:rPr>
        <w:t>(三)对外投资和以营利为目的的相关支出；</w:t>
      </w:r>
    </w:p>
    <w:p>
      <w:pPr>
        <w:spacing w:line="222" w:lineRule="auto"/>
        <w:rPr>
          <w:sz w:val="32"/>
          <w:szCs w:val="32"/>
        </w:rPr>
        <w:sectPr>
          <w:footerReference r:id="rId8" w:type="default"/>
          <w:pgSz w:w="11900" w:h="16820"/>
          <w:pgMar w:top="1429" w:right="1540" w:bottom="1564" w:left="1569" w:header="0" w:footer="1247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79"/>
        <w:rPr>
          <w:sz w:val="31"/>
          <w:szCs w:val="31"/>
        </w:rPr>
      </w:pPr>
      <w:r>
        <w:rPr>
          <w:spacing w:val="13"/>
          <w:sz w:val="31"/>
          <w:szCs w:val="31"/>
        </w:rPr>
        <w:t>(四)建设楼堂馆所及职工住宅；</w:t>
      </w:r>
    </w:p>
    <w:p>
      <w:pPr>
        <w:pStyle w:val="2"/>
        <w:spacing w:before="138" w:line="543" w:lineRule="exact"/>
        <w:ind w:right="64"/>
        <w:jc w:val="right"/>
        <w:rPr>
          <w:sz w:val="31"/>
          <w:szCs w:val="31"/>
        </w:rPr>
      </w:pPr>
      <w:r>
        <w:rPr>
          <w:spacing w:val="22"/>
          <w:position w:val="17"/>
          <w:sz w:val="31"/>
          <w:szCs w:val="31"/>
        </w:rPr>
        <w:t>(五)与社会公益事业无关的支出，以及其他国家规定禁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止列支的支出。</w:t>
      </w:r>
    </w:p>
    <w:p>
      <w:pPr>
        <w:spacing w:before="278" w:line="222" w:lineRule="auto"/>
        <w:ind w:left="31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第三章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资金管理</w:t>
      </w:r>
    </w:p>
    <w:p>
      <w:pPr>
        <w:pStyle w:val="2"/>
        <w:spacing w:before="295" w:line="316" w:lineRule="auto"/>
        <w:ind w:right="63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第七条</w:t>
      </w:r>
      <w:r>
        <w:rPr>
          <w:rFonts w:ascii="楷体" w:hAnsi="楷体" w:eastAsia="楷体" w:cs="楷体"/>
          <w:spacing w:val="15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福彩公益金分配坚持“量入为出”,根据福彩公益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金上级下达资金规模，结合当年实际，根据各相关单位各地人</w:t>
      </w:r>
      <w:r>
        <w:rPr>
          <w:spacing w:val="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口总量、救助和服务对象数量、地方财力、地方彩票公益金贡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献情况、机构基数、区域特征、工作绩效等情况进行分配。</w:t>
      </w:r>
    </w:p>
    <w:p>
      <w:pPr>
        <w:pStyle w:val="2"/>
        <w:spacing w:before="125" w:line="311" w:lineRule="auto"/>
        <w:ind w:right="58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第八条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spacing w:val="14"/>
          <w:sz w:val="31"/>
          <w:szCs w:val="31"/>
        </w:rPr>
        <w:t>福彩公益金的分配，由民政局提出意见，经财政</w:t>
      </w:r>
      <w:r>
        <w:rPr>
          <w:spacing w:val="1"/>
          <w:sz w:val="31"/>
          <w:szCs w:val="31"/>
        </w:rPr>
        <w:t xml:space="preserve"> </w:t>
      </w:r>
      <w:r>
        <w:rPr>
          <w:spacing w:val="28"/>
          <w:sz w:val="31"/>
          <w:szCs w:val="31"/>
        </w:rPr>
        <w:t>局审核下达；单个项目额度在20万-100 万元之间(含100万</w:t>
      </w:r>
      <w:r>
        <w:rPr>
          <w:spacing w:val="7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元)的，由民政局提出意见，经财政局审核，报分管民政工作</w:t>
      </w:r>
      <w:r>
        <w:rPr>
          <w:spacing w:val="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副区长审定后下达；单个项目额度超过100 万元的，由民政局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提出意见，经财政局审核，按规定报区政府审定后下达。</w:t>
      </w:r>
    </w:p>
    <w:p>
      <w:pPr>
        <w:pStyle w:val="2"/>
        <w:spacing w:before="141" w:line="316" w:lineRule="auto"/>
        <w:ind w:right="48"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第九条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福彩公益金在下达前，应按照有关规定，提</w:t>
      </w:r>
      <w:r>
        <w:rPr>
          <w:spacing w:val="14"/>
          <w:sz w:val="31"/>
          <w:szCs w:val="31"/>
        </w:rPr>
        <w:t>前启</w:t>
      </w:r>
      <w:r>
        <w:rPr>
          <w:spacing w:val="1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动资金研究分配工作。财政局、民政局根据各相关单位上报项</w:t>
      </w:r>
      <w:r>
        <w:rPr>
          <w:spacing w:val="13"/>
          <w:sz w:val="31"/>
          <w:szCs w:val="31"/>
        </w:rPr>
        <w:t xml:space="preserve"> </w:t>
      </w:r>
      <w:r>
        <w:rPr>
          <w:sz w:val="31"/>
          <w:szCs w:val="31"/>
        </w:rPr>
        <w:t>目情况，  根据资金指标规模，联合下达资金指标文件。民政部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门负责做好项目的组织实施、管理监督等工</w:t>
      </w:r>
      <w:r>
        <w:rPr>
          <w:spacing w:val="5"/>
          <w:sz w:val="31"/>
          <w:szCs w:val="31"/>
        </w:rPr>
        <w:t>作。</w:t>
      </w:r>
    </w:p>
    <w:p>
      <w:pPr>
        <w:pStyle w:val="2"/>
        <w:spacing w:before="147" w:line="530" w:lineRule="exact"/>
        <w:ind w:right="43"/>
        <w:jc w:val="right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position w:val="15"/>
          <w:sz w:val="31"/>
          <w:szCs w:val="31"/>
        </w:rPr>
        <w:t>第十条</w:t>
      </w:r>
      <w:r>
        <w:rPr>
          <w:rFonts w:ascii="楷体" w:hAnsi="楷体" w:eastAsia="楷体" w:cs="楷体"/>
          <w:spacing w:val="8"/>
          <w:position w:val="15"/>
          <w:sz w:val="31"/>
          <w:szCs w:val="31"/>
        </w:rPr>
        <w:t xml:space="preserve">  </w:t>
      </w:r>
      <w:r>
        <w:rPr>
          <w:spacing w:val="15"/>
          <w:position w:val="15"/>
          <w:sz w:val="31"/>
          <w:szCs w:val="31"/>
        </w:rPr>
        <w:t>福彩公益金管理不得按照部门内设机构切块分配</w:t>
      </w:r>
    </w:p>
    <w:p>
      <w:pPr>
        <w:pStyle w:val="2"/>
        <w:spacing w:before="2" w:line="218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资金，不得由财政以外的其他部门和单位转拨资金。</w:t>
      </w:r>
    </w:p>
    <w:p>
      <w:pPr>
        <w:pStyle w:val="2"/>
        <w:spacing w:before="140" w:line="311" w:lineRule="auto"/>
        <w:ind w:firstLine="6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27"/>
          <w:sz w:val="31"/>
          <w:szCs w:val="31"/>
        </w:rPr>
        <w:t>第十一条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 </w:t>
      </w:r>
      <w:r>
        <w:rPr>
          <w:spacing w:val="27"/>
          <w:sz w:val="31"/>
          <w:szCs w:val="31"/>
        </w:rPr>
        <w:t>福彩公益金支持的项目应全部纳入项目库管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理，对没有进入项目库的项目原则上不予安排资金。各级主管</w:t>
      </w:r>
      <w:r>
        <w:rPr>
          <w:spacing w:val="1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部门应规划好拟支持项目范围、数量、规模等，突出支</w:t>
      </w:r>
      <w:r>
        <w:rPr>
          <w:spacing w:val="5"/>
          <w:sz w:val="31"/>
          <w:szCs w:val="31"/>
        </w:rPr>
        <w:t>持重点，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防止“撒胡椒面”,杜绝“小、散、乱”。分期投入的重点项目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应做好资金整体投入计划，有序推进，严禁资金化整为零。</w:t>
      </w:r>
    </w:p>
    <w:p>
      <w:pPr>
        <w:spacing w:line="222" w:lineRule="auto"/>
        <w:rPr>
          <w:sz w:val="31"/>
          <w:szCs w:val="31"/>
        </w:rPr>
        <w:sectPr>
          <w:footerReference r:id="rId9" w:type="default"/>
          <w:pgSz w:w="11900" w:h="16820"/>
          <w:pgMar w:top="1429" w:right="1644" w:bottom="1562" w:left="1410" w:header="0" w:footer="1262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04" w:line="296" w:lineRule="auto"/>
        <w:ind w:right="76" w:firstLine="66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第十二条</w:t>
      </w:r>
      <w:r>
        <w:rPr>
          <w:rFonts w:ascii="楷体" w:hAnsi="楷体" w:eastAsia="楷体" w:cs="楷体"/>
          <w:spacing w:val="15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财政、民政部门在安排福彩公益金项目时，应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积极探索政府购买服务方式，对符合政府购买服务条件的，应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采取政府购买服务方式实施。</w:t>
      </w:r>
    </w:p>
    <w:p>
      <w:pPr>
        <w:pStyle w:val="2"/>
        <w:spacing w:before="128" w:line="296" w:lineRule="auto"/>
        <w:ind w:right="63" w:firstLine="66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第十三条</w:t>
      </w:r>
      <w:r>
        <w:rPr>
          <w:rFonts w:ascii="楷体" w:hAnsi="楷体" w:eastAsia="楷体" w:cs="楷体"/>
          <w:spacing w:val="17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财政、民政部门应当严格按照资金支持范围执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行，在执行过程中发生项目变更、终止，确需调剂的，应当按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11"/>
          <w:sz w:val="32"/>
          <w:szCs w:val="32"/>
        </w:rPr>
        <w:t>程序报批。</w:t>
      </w:r>
    </w:p>
    <w:p>
      <w:pPr>
        <w:pStyle w:val="2"/>
        <w:spacing w:before="149" w:line="295" w:lineRule="auto"/>
        <w:ind w:firstLine="66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第十四条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福彩公益金支付按照财政国库管理制度有关规</w:t>
      </w:r>
      <w:r>
        <w:rPr>
          <w:spacing w:val="1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定执行。福彩公益金使用过程中涉及政府采购的，按照政府采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购有关规定执行；福彩公益金用于项目建设且达到限额以上的，</w:t>
      </w:r>
    </w:p>
    <w:p>
      <w:pPr>
        <w:pStyle w:val="2"/>
        <w:spacing w:before="2" w:line="221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按照财政评审相关要求实施。</w:t>
      </w:r>
    </w:p>
    <w:p>
      <w:pPr>
        <w:pStyle w:val="2"/>
        <w:spacing w:before="160" w:line="530" w:lineRule="exact"/>
        <w:jc w:val="right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position w:val="14"/>
          <w:sz w:val="32"/>
          <w:szCs w:val="32"/>
        </w:rPr>
        <w:t>第十五条</w:t>
      </w:r>
      <w:r>
        <w:rPr>
          <w:rFonts w:ascii="楷体" w:hAnsi="楷体" w:eastAsia="楷体" w:cs="楷体"/>
          <w:spacing w:val="159"/>
          <w:position w:val="14"/>
          <w:sz w:val="32"/>
          <w:szCs w:val="32"/>
        </w:rPr>
        <w:t xml:space="preserve"> </w:t>
      </w:r>
      <w:r>
        <w:rPr>
          <w:spacing w:val="-6"/>
          <w:position w:val="14"/>
          <w:sz w:val="32"/>
          <w:szCs w:val="32"/>
        </w:rPr>
        <w:t>财政部门、民政部门应当加强福彩公益金管理，</w:t>
      </w:r>
    </w:p>
    <w:p>
      <w:pPr>
        <w:pStyle w:val="2"/>
        <w:spacing w:before="2" w:line="218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加快执行进度，结余结转资金处理按预算管理</w:t>
      </w:r>
      <w:r>
        <w:rPr>
          <w:spacing w:val="-4"/>
          <w:sz w:val="32"/>
          <w:szCs w:val="32"/>
        </w:rPr>
        <w:t>有关规定执行。</w:t>
      </w:r>
    </w:p>
    <w:p>
      <w:pPr>
        <w:spacing w:before="292" w:line="221" w:lineRule="auto"/>
        <w:ind w:left="31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第四章</w:t>
      </w:r>
      <w:r>
        <w:rPr>
          <w:rFonts w:ascii="黑体" w:hAnsi="黑体" w:eastAsia="黑体" w:cs="黑体"/>
          <w:spacing w:val="-5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绩效管理</w:t>
      </w:r>
    </w:p>
    <w:p>
      <w:pPr>
        <w:pStyle w:val="2"/>
        <w:spacing w:before="287" w:line="301" w:lineRule="auto"/>
        <w:ind w:right="74" w:firstLine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第十六条</w:t>
      </w:r>
      <w:r>
        <w:rPr>
          <w:rFonts w:ascii="楷体" w:hAnsi="楷体" w:eastAsia="楷体" w:cs="楷体"/>
          <w:spacing w:val="16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财政、民政部门应当按照全面实施预算绩效管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理有关规定，加强福彩公益金绩效管理，严格审</w:t>
      </w:r>
      <w:r>
        <w:rPr>
          <w:spacing w:val="1"/>
          <w:sz w:val="32"/>
          <w:szCs w:val="32"/>
        </w:rPr>
        <w:t>核绩效目标，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做好绩效评价，并强化绩效评价结果应用，定期总结资金管理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使用情况和成效，提高资金使用效益。</w:t>
      </w:r>
    </w:p>
    <w:p>
      <w:pPr>
        <w:pStyle w:val="2"/>
        <w:spacing w:before="148" w:line="295" w:lineRule="auto"/>
        <w:ind w:right="67" w:firstLine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第十七条</w:t>
      </w:r>
      <w:r>
        <w:rPr>
          <w:rFonts w:ascii="楷体" w:hAnsi="楷体" w:eastAsia="楷体" w:cs="楷体"/>
          <w:spacing w:val="17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财政局负责福彩公益金绩效管理的组织指导工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作，民政局负责福彩公益金绩效管理工作。各项目单位按规定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开展绩效评价并报送上年度绩效评价报告。</w:t>
      </w:r>
    </w:p>
    <w:p>
      <w:pPr>
        <w:pStyle w:val="2"/>
        <w:spacing w:before="146" w:line="295" w:lineRule="auto"/>
        <w:ind w:right="86" w:firstLine="66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第十八条</w:t>
      </w:r>
      <w:r>
        <w:rPr>
          <w:rFonts w:ascii="楷体" w:hAnsi="楷体" w:eastAsia="楷体" w:cs="楷体"/>
          <w:spacing w:val="15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财政、民政部门应将绩效评价结果</w:t>
      </w:r>
      <w:r>
        <w:rPr>
          <w:spacing w:val="3"/>
          <w:sz w:val="32"/>
          <w:szCs w:val="32"/>
        </w:rPr>
        <w:t>及有关问题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整改情况作为完善政策、安排资金和改进管理的重要依据。对</w:t>
      </w:r>
      <w:r>
        <w:rPr>
          <w:spacing w:val="1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评价结果较差的项目，限期整改，并视情况在来年项目资金分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配中予以调减直至取消。</w:t>
      </w:r>
    </w:p>
    <w:p>
      <w:pPr>
        <w:spacing w:line="221" w:lineRule="auto"/>
        <w:rPr>
          <w:sz w:val="32"/>
          <w:szCs w:val="32"/>
        </w:rPr>
        <w:sectPr>
          <w:footerReference r:id="rId10" w:type="default"/>
          <w:pgSz w:w="11900" w:h="16820"/>
          <w:pgMar w:top="1429" w:right="1480" w:bottom="1544" w:left="1569" w:header="0" w:footer="1227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2" w:lineRule="auto"/>
        <w:ind w:left="31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宣传公告</w:t>
      </w:r>
    </w:p>
    <w:p>
      <w:pPr>
        <w:pStyle w:val="2"/>
        <w:spacing w:before="283" w:line="318" w:lineRule="auto"/>
        <w:ind w:right="148" w:firstLine="65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第十九条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福彩公益金资助的基本建设设施、设备或者社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会公益活动，应当以显著方式标明“彩票公益金资助-中国福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30"/>
          <w:sz w:val="31"/>
          <w:szCs w:val="31"/>
        </w:rPr>
        <w:t>利彩票”。</w:t>
      </w:r>
    </w:p>
    <w:p>
      <w:pPr>
        <w:pStyle w:val="2"/>
        <w:spacing w:before="97" w:line="317" w:lineRule="auto"/>
        <w:ind w:right="154" w:firstLine="65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第二十条</w:t>
      </w:r>
      <w:r>
        <w:rPr>
          <w:rFonts w:ascii="楷体" w:hAnsi="楷体" w:eastAsia="楷体" w:cs="楷体"/>
          <w:spacing w:val="1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本级财政和民政部门应当在每年3 </w:t>
      </w:r>
      <w:r>
        <w:rPr>
          <w:spacing w:val="15"/>
          <w:sz w:val="31"/>
          <w:szCs w:val="31"/>
        </w:rPr>
        <w:t>月底前，将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上一年度福彩公益金使用情况报省财政厅和省民政厅，包括项</w:t>
      </w:r>
      <w:r>
        <w:rPr>
          <w:spacing w:val="1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目组织实施情况、项目资金使用和结余情况，以及项目</w:t>
      </w:r>
      <w:r>
        <w:rPr>
          <w:spacing w:val="12"/>
          <w:sz w:val="31"/>
          <w:szCs w:val="31"/>
        </w:rPr>
        <w:t>社会效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益和经济效益等。</w:t>
      </w:r>
    </w:p>
    <w:p>
      <w:pPr>
        <w:pStyle w:val="2"/>
        <w:spacing w:before="124" w:line="555" w:lineRule="exact"/>
        <w:ind w:left="7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position w:val="17"/>
          <w:sz w:val="31"/>
          <w:szCs w:val="31"/>
        </w:rPr>
        <w:t>第二十一条</w:t>
      </w:r>
      <w:r>
        <w:rPr>
          <w:rFonts w:ascii="楷体" w:hAnsi="楷体" w:eastAsia="楷体" w:cs="楷体"/>
          <w:spacing w:val="67"/>
          <w:position w:val="17"/>
          <w:sz w:val="31"/>
          <w:szCs w:val="31"/>
        </w:rPr>
        <w:t xml:space="preserve"> </w:t>
      </w:r>
      <w:r>
        <w:rPr>
          <w:spacing w:val="11"/>
          <w:position w:val="17"/>
          <w:sz w:val="31"/>
          <w:szCs w:val="31"/>
        </w:rPr>
        <w:t>民政局于每年6月底以前</w:t>
      </w: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，</w:t>
      </w:r>
      <w:r>
        <w:rPr>
          <w:rFonts w:ascii="宋体" w:hAnsi="宋体" w:eastAsia="宋体" w:cs="宋体"/>
          <w:spacing w:val="73"/>
          <w:position w:val="17"/>
          <w:sz w:val="31"/>
          <w:szCs w:val="31"/>
        </w:rPr>
        <w:t xml:space="preserve"> </w:t>
      </w:r>
      <w:r>
        <w:rPr>
          <w:spacing w:val="11"/>
          <w:position w:val="17"/>
          <w:sz w:val="31"/>
          <w:szCs w:val="31"/>
        </w:rPr>
        <w:t>向社会公告上一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年度福彩公益金使用规模、资助项目、执行情况和实际效果</w:t>
      </w:r>
      <w:r>
        <w:rPr>
          <w:spacing w:val="6"/>
          <w:sz w:val="31"/>
          <w:szCs w:val="31"/>
        </w:rPr>
        <w:t>等。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1" w:lineRule="auto"/>
        <w:ind w:left="31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第六章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监督检查</w:t>
      </w: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01" w:line="318" w:lineRule="auto"/>
        <w:ind w:right="145" w:firstLine="6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第二十二条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福彩公益金使用单位和部门按照“谁使用，谁</w:t>
      </w:r>
      <w:r>
        <w:rPr>
          <w:spacing w:val="5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受益，谁负责”的原则加强福彩公益金使用管理，充分发挥资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金使用效益。</w:t>
      </w:r>
    </w:p>
    <w:p>
      <w:pPr>
        <w:pStyle w:val="2"/>
        <w:spacing w:before="130" w:line="316" w:lineRule="auto"/>
        <w:ind w:right="154" w:firstLine="6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第二十三条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财政部门应当加强福彩公益金监督。民政部</w:t>
      </w:r>
      <w:r>
        <w:rPr>
          <w:spacing w:val="1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门应当加强项目建设监督和管理，推动项目全生命周期跟踪监</w:t>
      </w:r>
      <w:r>
        <w:rPr>
          <w:spacing w:val="18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管。分配、管理、使用福彩公益金的部门、单位和</w:t>
      </w:r>
      <w:r>
        <w:rPr>
          <w:spacing w:val="14"/>
          <w:sz w:val="31"/>
          <w:szCs w:val="31"/>
        </w:rPr>
        <w:t>个人，应当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依法接受审计、纪检监察等部门的监督，对发现的问题，应及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时制定整改措施并落实。</w:t>
      </w:r>
    </w:p>
    <w:p>
      <w:pPr>
        <w:pStyle w:val="2"/>
        <w:spacing w:before="129" w:line="316" w:lineRule="auto"/>
        <w:ind w:firstLine="65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第二十四条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财政和民政部门及其工作人员在资金分配、</w:t>
      </w:r>
      <w:r>
        <w:rPr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管理工作中存在违反规定分配资金以及其他滥用职权、玩忽职</w:t>
      </w:r>
      <w:r>
        <w:rPr>
          <w:spacing w:val="6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守、徇私舞弊等违法违纪行为的，按照《中华人民共和国预算</w:t>
      </w:r>
      <w:r>
        <w:rPr>
          <w:spacing w:val="9"/>
          <w:sz w:val="31"/>
          <w:szCs w:val="31"/>
        </w:rPr>
        <w:t xml:space="preserve">  </w:t>
      </w:r>
      <w:r>
        <w:rPr>
          <w:spacing w:val="-2"/>
          <w:sz w:val="31"/>
          <w:szCs w:val="31"/>
        </w:rPr>
        <w:t>法》《中华人民共和国公务员法》《中华人民共和国行政监察法》</w:t>
      </w:r>
    </w:p>
    <w:p>
      <w:pPr>
        <w:pStyle w:val="2"/>
        <w:spacing w:before="2" w:line="220" w:lineRule="auto"/>
        <w:ind w:left="74"/>
        <w:rPr>
          <w:sz w:val="31"/>
          <w:szCs w:val="31"/>
        </w:rPr>
      </w:pPr>
      <w:r>
        <w:rPr>
          <w:spacing w:val="6"/>
          <w:sz w:val="31"/>
          <w:szCs w:val="31"/>
        </w:rPr>
        <w:t>《财政违法行为处罚处分条例》等国家有关规定追究相应责任，</w:t>
      </w:r>
    </w:p>
    <w:p>
      <w:pPr>
        <w:spacing w:line="220" w:lineRule="auto"/>
        <w:rPr>
          <w:sz w:val="31"/>
          <w:szCs w:val="31"/>
        </w:rPr>
        <w:sectPr>
          <w:footerReference r:id="rId11" w:type="default"/>
          <w:pgSz w:w="11900" w:h="16820"/>
          <w:pgMar w:top="1429" w:right="1552" w:bottom="1552" w:left="1400" w:header="0" w:footer="1252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1035050</wp:posOffset>
            </wp:positionH>
            <wp:positionV relativeFrom="page">
              <wp:posOffset>9137015</wp:posOffset>
            </wp:positionV>
            <wp:extent cx="563880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3" cy="1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1041400</wp:posOffset>
            </wp:positionH>
            <wp:positionV relativeFrom="page">
              <wp:posOffset>9498965</wp:posOffset>
            </wp:positionV>
            <wp:extent cx="5632450" cy="127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2452" cy="1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98" w:line="321" w:lineRule="auto"/>
        <w:ind w:left="40" w:right="69"/>
        <w:jc w:val="both"/>
        <w:rPr>
          <w:sz w:val="30"/>
          <w:szCs w:val="30"/>
        </w:rPr>
      </w:pPr>
      <w:r>
        <w:rPr>
          <w:spacing w:val="25"/>
          <w:sz w:val="30"/>
          <w:szCs w:val="30"/>
        </w:rPr>
        <w:t>涉嫌犯罪的，移送司法机关处理。资金使用单位</w:t>
      </w:r>
      <w:r>
        <w:rPr>
          <w:spacing w:val="24"/>
          <w:sz w:val="30"/>
          <w:szCs w:val="30"/>
        </w:rPr>
        <w:t>和个人在资金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申报、使用过程中存在虚报、冒领等违法违规行为的，按照</w:t>
      </w:r>
      <w:r>
        <w:rPr>
          <w:spacing w:val="10"/>
          <w:sz w:val="30"/>
          <w:szCs w:val="30"/>
        </w:rPr>
        <w:t>《中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华人民共和国预算法》《财政违法行为处罚处分条例》等国家有</w:t>
      </w:r>
    </w:p>
    <w:p>
      <w:pPr>
        <w:pStyle w:val="2"/>
        <w:spacing w:line="221" w:lineRule="auto"/>
        <w:ind w:left="40"/>
        <w:rPr>
          <w:sz w:val="30"/>
          <w:szCs w:val="30"/>
        </w:rPr>
      </w:pPr>
      <w:r>
        <w:rPr>
          <w:spacing w:val="6"/>
          <w:sz w:val="30"/>
          <w:szCs w:val="30"/>
        </w:rPr>
        <w:t>关规定追究相应责任。</w:t>
      </w:r>
    </w:p>
    <w:p>
      <w:pPr>
        <w:pStyle w:val="2"/>
        <w:spacing w:before="163" w:line="224" w:lineRule="auto"/>
        <w:ind w:left="68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第二十五条</w:t>
      </w:r>
      <w:r>
        <w:rPr>
          <w:rFonts w:ascii="楷体" w:hAnsi="楷体" w:eastAsia="楷体" w:cs="楷体"/>
          <w:spacing w:val="150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本办法自发布之日起施行，有效期五年。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300"/>
        <w:rPr>
          <w:rFonts w:ascii="Arial"/>
          <w:sz w:val="21"/>
        </w:rPr>
      </w:pPr>
      <w:r>
        <w:rPr>
          <w:spacing w:val="10"/>
          <w:sz w:val="30"/>
          <w:szCs w:val="30"/>
        </w:rPr>
        <w:t>益阳市资阳区财政局办公室</w:t>
      </w:r>
      <w:r>
        <w:rPr>
          <w:sz w:val="30"/>
          <w:szCs w:val="30"/>
        </w:rPr>
        <w:t xml:space="preserve">             </w:t>
      </w:r>
      <w:r>
        <w:rPr>
          <w:spacing w:val="10"/>
          <w:sz w:val="30"/>
          <w:szCs w:val="30"/>
        </w:rPr>
        <w:t>2023年3月27日</w:t>
      </w:r>
    </w:p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sectPr>
      <w:footerReference r:id="rId12" w:type="default"/>
      <w:pgSz w:w="11900" w:h="16820"/>
      <w:pgMar w:top="1429" w:right="1504" w:bottom="1048" w:left="1785" w:header="0" w:footer="9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2"/>
        <w:w w:val="97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2"/>
        <w:w w:val="96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7"/>
        <w:w w:val="93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ind w:left="7739"/>
      <w:rPr>
        <w:sz w:val="31"/>
        <w:szCs w:val="31"/>
      </w:rPr>
    </w:pPr>
    <w:r>
      <w:rPr>
        <w:spacing w:val="-21"/>
        <w:w w:val="97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9"/>
        <w:w w:val="90"/>
        <w:sz w:val="32"/>
        <w:szCs w:val="32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ind w:left="7730"/>
      <w:rPr>
        <w:sz w:val="31"/>
        <w:szCs w:val="31"/>
      </w:rPr>
    </w:pPr>
    <w:r>
      <w:rPr>
        <w:spacing w:val="-17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5"/>
      <w:rPr>
        <w:rFonts w:ascii="宋体" w:hAnsi="宋体" w:eastAsia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yYjMzNGYyYTFiNWQ3YWZhNzQ1ZWM0Yzc1M2EzYjcifQ=="/>
  </w:docVars>
  <w:rsids>
    <w:rsidRoot w:val="00000000"/>
    <w:rsid w:val="0C5A608F"/>
    <w:rsid w:val="122D02D9"/>
    <w:rsid w:val="13CB7DA9"/>
    <w:rsid w:val="1662251B"/>
    <w:rsid w:val="1C483417"/>
    <w:rsid w:val="233A2855"/>
    <w:rsid w:val="30C13FFB"/>
    <w:rsid w:val="405D597D"/>
    <w:rsid w:val="44B738AE"/>
    <w:rsid w:val="49042285"/>
    <w:rsid w:val="4EC549CB"/>
    <w:rsid w:val="4ECD1F20"/>
    <w:rsid w:val="50E7551B"/>
    <w:rsid w:val="52043EAB"/>
    <w:rsid w:val="57835872"/>
    <w:rsid w:val="591E3AA4"/>
    <w:rsid w:val="5B37709F"/>
    <w:rsid w:val="5E40626B"/>
    <w:rsid w:val="5FE5531C"/>
    <w:rsid w:val="6A9F256B"/>
    <w:rsid w:val="75C4732A"/>
    <w:rsid w:val="7B551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5148</Words>
  <Characters>5278</Characters>
  <TotalTime>1</TotalTime>
  <ScaleCrop>false</ScaleCrop>
  <LinksUpToDate>false</LinksUpToDate>
  <CharactersWithSpaces>5539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2024-06-20T16:15:00Z</dcterms:created>
  <dc:creator>Administrator</dc:creator>
  <cp:lastModifiedBy>C木木C</cp:lastModifiedBy>
  <dcterms:modified xsi:type="dcterms:W3CDTF">2024-06-20T08:25:42Z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2024-06-20T16:16:01Z</vt:filetime>
  </property>
  <property fmtid="{D5CDD505-2E9C-101B-9397-08002B2CF9AE}" pid="4" name="UsrData">
    <vt:lpwstr>6673e53a67d354001feb2abewl</vt:lpwstr>
  </property>
  <property fmtid="{D5CDD505-2E9C-101B-9397-08002B2CF9AE}" pid="5" name="KSOProductBuildVer">
    <vt:lpwstr>2052-12.1.0.16929</vt:lpwstr>
  </property>
  <property fmtid="{D5CDD505-2E9C-101B-9397-08002B2CF9AE}" pid="6" name="ICV">
    <vt:lpwstr>2D82438C1A1A4CC38ACFDF64FE83FEA5_13</vt:lpwstr>
  </property>
</Properties>
</file>