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sz w:val="44"/>
          <w:szCs w:val="44"/>
        </w:rPr>
        <w:t>益阳市资阳区民政局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</w:rPr>
        <w:t>关于印发《资阳区民政局重大行政决策事项清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</w:rPr>
        <w:t>单》和《资阳区民政局2024年度重大行政决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sz w:val="44"/>
          <w:szCs w:val="44"/>
        </w:rPr>
        <w:t>策事项目录》的通知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lef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局属各股室、二级单位：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为进一步规范我局重大行政决策行为，提升依法、科学、民主决策水平和效率，根据《重大行政决策程序暂行条例》《湖南省行政程序规定》等有关要求，现将《资阳区民政局重大行政决策事项清单》和《资阳区民政局2024年度重大行政决策事项目录》予以公布，并就有关事项通知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一、实施重大行政决策应当认真落实公众参与、专家论证、风险评估、合法性审查、集体讨论决定等程序，确保程序正当、过程公开、责任明确。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二、承办股室（单位）要按照重大行政决策法定程序认真组织实施；办公室（政策法规股）要做好重大行政决策程序执行情况的指导、检查、督促工作。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三、承办股室（单位）要建立重大行政决策档案管理制度，对决策过程和决策实施中的文件资料及时整理归档，实行决策程序全过程记录。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附件：1.资阳区民政局重大行政决策事项清单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right="0" w:rightChars="0" w:firstLine="1600" w:firstLineChars="5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2.资阳区民政局2024年度重大行政决策事项目录</w:t>
      </w:r>
    </w:p>
    <w:p>
      <w:pPr>
        <w:spacing w:before="101" w:line="224" w:lineRule="auto"/>
        <w:ind w:left="149"/>
        <w:rPr>
          <w:rFonts w:ascii="黑体" w:hAnsi="黑体" w:eastAsia="黑体" w:cs="黑体"/>
          <w:b w:val="0"/>
          <w:bCs w:val="0"/>
          <w:spacing w:val="29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29"/>
          <w:sz w:val="32"/>
          <w:szCs w:val="32"/>
        </w:rPr>
        <w:t>附件1</w:t>
      </w:r>
    </w:p>
    <w:p>
      <w:pPr>
        <w:spacing w:before="101" w:line="224" w:lineRule="auto"/>
        <w:ind w:left="149"/>
        <w:rPr>
          <w:rFonts w:ascii="黑体" w:hAnsi="黑体" w:eastAsia="黑体" w:cs="黑体"/>
          <w:b w:val="0"/>
          <w:bCs w:val="0"/>
          <w:spacing w:val="29"/>
          <w:sz w:val="32"/>
          <w:szCs w:val="32"/>
        </w:rPr>
      </w:pPr>
    </w:p>
    <w:p>
      <w:pPr>
        <w:spacing w:before="143" w:line="219" w:lineRule="auto"/>
        <w:ind w:left="1021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</w:rPr>
        <w:t>资阳区民政局重大行政决策事项清单</w:t>
      </w:r>
    </w:p>
    <w:p>
      <w:pPr>
        <w:spacing w:before="25"/>
      </w:pPr>
    </w:p>
    <w:tbl>
      <w:tblPr>
        <w:tblStyle w:val="5"/>
        <w:tblW w:w="90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82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87" w:line="221" w:lineRule="auto"/>
              <w:ind w:left="124"/>
              <w:rPr>
                <w:b/>
                <w:bCs/>
              </w:rPr>
            </w:pPr>
            <w:r>
              <w:rPr>
                <w:b/>
                <w:bCs/>
                <w:spacing w:val="8"/>
              </w:rPr>
              <w:t>序号</w:t>
            </w:r>
          </w:p>
        </w:tc>
        <w:tc>
          <w:tcPr>
            <w:tcW w:w="8235" w:type="dxa"/>
            <w:vAlign w:val="top"/>
          </w:tcPr>
          <w:p>
            <w:pPr>
              <w:pStyle w:val="6"/>
              <w:spacing w:before="186" w:line="219" w:lineRule="auto"/>
              <w:ind w:left="3041"/>
              <w:rPr>
                <w:b/>
                <w:bCs/>
              </w:rPr>
            </w:pPr>
            <w:r>
              <w:rPr>
                <w:b/>
                <w:bCs/>
                <w:spacing w:val="2"/>
              </w:rPr>
              <w:t>重大行政决策事项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260" w:line="184" w:lineRule="auto"/>
              <w:ind w:left="324"/>
            </w:pPr>
            <w:r>
              <w:t>1</w:t>
            </w:r>
          </w:p>
        </w:tc>
        <w:tc>
          <w:tcPr>
            <w:tcW w:w="8235" w:type="dxa"/>
            <w:vAlign w:val="top"/>
          </w:tcPr>
          <w:p>
            <w:pPr>
              <w:pStyle w:val="6"/>
              <w:spacing w:before="192" w:line="220" w:lineRule="auto"/>
              <w:ind w:left="160"/>
            </w:pPr>
            <w:r>
              <w:rPr>
                <w:spacing w:val="1"/>
              </w:rPr>
              <w:t>制定和调整民政事业发展中长期规划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262" w:line="183" w:lineRule="auto"/>
              <w:ind w:left="324"/>
            </w:pPr>
            <w:r>
              <w:t>2</w:t>
            </w:r>
          </w:p>
        </w:tc>
        <w:tc>
          <w:tcPr>
            <w:tcW w:w="8235" w:type="dxa"/>
            <w:vAlign w:val="top"/>
          </w:tcPr>
          <w:p>
            <w:pPr>
              <w:pStyle w:val="6"/>
              <w:spacing w:before="193" w:line="219" w:lineRule="auto"/>
              <w:ind w:left="160"/>
            </w:pPr>
            <w:r>
              <w:t>制定事关民政事业发展的重大改革措施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253" w:line="183" w:lineRule="auto"/>
              <w:ind w:left="324"/>
            </w:pPr>
            <w:r>
              <w:t>3</w:t>
            </w:r>
          </w:p>
        </w:tc>
        <w:tc>
          <w:tcPr>
            <w:tcW w:w="8235" w:type="dxa"/>
            <w:vAlign w:val="top"/>
          </w:tcPr>
          <w:p>
            <w:pPr>
              <w:pStyle w:val="6"/>
              <w:spacing w:before="184" w:line="219" w:lineRule="auto"/>
              <w:ind w:left="160"/>
            </w:pPr>
            <w:r>
              <w:t>制定和调整各项民政业务工作的重大政策措施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264" w:line="183" w:lineRule="auto"/>
              <w:ind w:left="324"/>
            </w:pPr>
            <w:r>
              <w:t>4</w:t>
            </w:r>
          </w:p>
        </w:tc>
        <w:tc>
          <w:tcPr>
            <w:tcW w:w="8235" w:type="dxa"/>
            <w:vAlign w:val="top"/>
          </w:tcPr>
          <w:p>
            <w:pPr>
              <w:pStyle w:val="6"/>
              <w:spacing w:before="196" w:line="220" w:lineRule="auto"/>
              <w:ind w:left="160"/>
            </w:pPr>
            <w:r>
              <w:rPr>
                <w:spacing w:val="3"/>
              </w:rPr>
              <w:t>可能造成较大影响的民政重大建设项目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257" w:line="182" w:lineRule="auto"/>
              <w:ind w:left="324"/>
            </w:pPr>
            <w:r>
              <w:t>5</w:t>
            </w:r>
          </w:p>
        </w:tc>
        <w:tc>
          <w:tcPr>
            <w:tcW w:w="8235" w:type="dxa"/>
            <w:vAlign w:val="top"/>
          </w:tcPr>
          <w:p>
            <w:pPr>
              <w:pStyle w:val="6"/>
              <w:spacing w:before="187" w:line="220" w:lineRule="auto"/>
              <w:ind w:left="160"/>
            </w:pPr>
            <w:r>
              <w:rPr>
                <w:spacing w:val="1"/>
              </w:rPr>
              <w:t>民政重大资金安排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266" w:line="183" w:lineRule="auto"/>
              <w:ind w:left="324"/>
            </w:pPr>
            <w:r>
              <w:t>6</w:t>
            </w:r>
          </w:p>
        </w:tc>
        <w:tc>
          <w:tcPr>
            <w:tcW w:w="8235" w:type="dxa"/>
            <w:vAlign w:val="top"/>
          </w:tcPr>
          <w:p>
            <w:pPr>
              <w:pStyle w:val="6"/>
              <w:spacing w:before="197" w:line="219" w:lineRule="auto"/>
              <w:ind w:left="160"/>
            </w:pPr>
            <w:r>
              <w:t>民政重大国有资产处置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260" w:line="182" w:lineRule="auto"/>
              <w:ind w:left="324"/>
            </w:pPr>
            <w:r>
              <w:t>7</w:t>
            </w:r>
          </w:p>
        </w:tc>
        <w:tc>
          <w:tcPr>
            <w:tcW w:w="8235" w:type="dxa"/>
            <w:vAlign w:val="top"/>
          </w:tcPr>
          <w:p>
            <w:pPr>
              <w:pStyle w:val="6"/>
              <w:spacing w:before="187" w:line="219" w:lineRule="auto"/>
              <w:ind w:left="160"/>
            </w:pPr>
            <w:r>
              <w:t>涉及社会稳定的重大事件处理、重大信访矛盾化解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259" w:line="183" w:lineRule="auto"/>
              <w:ind w:left="324"/>
            </w:pPr>
            <w:r>
              <w:t>8</w:t>
            </w:r>
          </w:p>
        </w:tc>
        <w:tc>
          <w:tcPr>
            <w:tcW w:w="8235" w:type="dxa"/>
            <w:vAlign w:val="top"/>
          </w:tcPr>
          <w:p>
            <w:pPr>
              <w:pStyle w:val="6"/>
              <w:spacing w:before="188" w:line="219" w:lineRule="auto"/>
              <w:ind w:left="160"/>
            </w:pPr>
            <w:r>
              <w:t>其他涉及重大公共利益或社会公众切身利益的重大事项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20"/>
          <w:pgMar w:top="1429" w:right="1385" w:bottom="1328" w:left="1455" w:header="0" w:footer="1090" w:gutter="0"/>
          <w:cols w:space="720" w:num="1"/>
        </w:sectPr>
      </w:pPr>
    </w:p>
    <w:p>
      <w:pPr>
        <w:spacing w:before="101" w:line="224" w:lineRule="auto"/>
        <w:ind w:left="69"/>
        <w:rPr>
          <w:rFonts w:ascii="黑体" w:hAnsi="黑体" w:eastAsia="黑体" w:cs="黑体"/>
          <w:b w:val="0"/>
          <w:bCs w:val="0"/>
          <w:spacing w:val="24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24"/>
          <w:sz w:val="32"/>
          <w:szCs w:val="32"/>
        </w:rPr>
        <w:t>附件2</w:t>
      </w:r>
    </w:p>
    <w:p>
      <w:pPr>
        <w:spacing w:before="101" w:line="224" w:lineRule="auto"/>
        <w:ind w:left="69"/>
        <w:rPr>
          <w:rFonts w:ascii="黑体" w:hAnsi="黑体" w:eastAsia="黑体" w:cs="黑体"/>
          <w:b w:val="0"/>
          <w:bCs w:val="0"/>
          <w:spacing w:val="24"/>
          <w:sz w:val="32"/>
          <w:szCs w:val="32"/>
        </w:rPr>
      </w:pPr>
    </w:p>
    <w:p>
      <w:pPr>
        <w:spacing w:before="140" w:line="601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4"/>
          <w:position w:val="11"/>
          <w:sz w:val="44"/>
          <w:szCs w:val="44"/>
        </w:rPr>
        <w:t>资阳区民政局2024年度重大行政决策</w:t>
      </w:r>
    </w:p>
    <w:p>
      <w:pPr>
        <w:spacing w:line="220" w:lineRule="auto"/>
        <w:ind w:left="3541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44"/>
          <w:szCs w:val="44"/>
        </w:rPr>
        <w:t>事项目录</w:t>
      </w:r>
    </w:p>
    <w:p>
      <w:pPr>
        <w:spacing w:before="53"/>
      </w:pPr>
    </w:p>
    <w:tbl>
      <w:tblPr>
        <w:tblStyle w:val="5"/>
        <w:tblW w:w="87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5973"/>
        <w:gridCol w:w="1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317" w:line="221" w:lineRule="auto"/>
              <w:ind w:left="194"/>
              <w:rPr>
                <w:b/>
                <w:bCs/>
              </w:rPr>
            </w:pPr>
            <w:r>
              <w:rPr>
                <w:b/>
                <w:bCs/>
                <w:spacing w:val="8"/>
              </w:rPr>
              <w:t>序号</w:t>
            </w:r>
          </w:p>
        </w:tc>
        <w:tc>
          <w:tcPr>
            <w:tcW w:w="5973" w:type="dxa"/>
            <w:vAlign w:val="top"/>
          </w:tcPr>
          <w:p>
            <w:pPr>
              <w:pStyle w:val="6"/>
              <w:spacing w:before="316" w:line="219" w:lineRule="auto"/>
              <w:ind w:left="2170"/>
              <w:rPr>
                <w:b/>
                <w:bCs/>
              </w:rPr>
            </w:pPr>
            <w:r>
              <w:rPr>
                <w:b/>
                <w:bCs/>
                <w:spacing w:val="2"/>
              </w:rPr>
              <w:t>决策事项名称</w:t>
            </w:r>
          </w:p>
        </w:tc>
        <w:tc>
          <w:tcPr>
            <w:tcW w:w="1842" w:type="dxa"/>
            <w:vAlign w:val="top"/>
          </w:tcPr>
          <w:p>
            <w:pPr>
              <w:pStyle w:val="6"/>
              <w:spacing w:before="316" w:line="219" w:lineRule="auto"/>
              <w:ind w:left="377"/>
              <w:rPr>
                <w:b/>
                <w:bCs/>
              </w:rPr>
            </w:pPr>
            <w:r>
              <w:rPr>
                <w:b/>
                <w:bCs/>
                <w:spacing w:val="2"/>
              </w:rPr>
              <w:t>承办单位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94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3" w:lineRule="auto"/>
              <w:ind w:left="39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973" w:type="dxa"/>
            <w:vAlign w:val="top"/>
          </w:tcPr>
          <w:p>
            <w:pPr>
              <w:pStyle w:val="6"/>
              <w:spacing w:before="314" w:line="219" w:lineRule="auto"/>
              <w:ind w:left="110"/>
            </w:pPr>
            <w:r>
              <w:rPr>
                <w:spacing w:val="1"/>
              </w:rPr>
              <w:t>完成机构改革相关工作</w:t>
            </w:r>
          </w:p>
        </w:tc>
        <w:tc>
          <w:tcPr>
            <w:tcW w:w="1842" w:type="dxa"/>
            <w:vAlign w:val="top"/>
          </w:tcPr>
          <w:p>
            <w:pPr>
              <w:pStyle w:val="6"/>
              <w:spacing w:before="317" w:line="220" w:lineRule="auto"/>
              <w:ind w:left="507"/>
            </w:pPr>
            <w:r>
              <w:rPr>
                <w:spacing w:val="4"/>
              </w:rPr>
              <w:t>人事股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1900" w:h="16820"/>
      <w:pgMar w:top="1429" w:right="1494" w:bottom="1311" w:left="1635" w:header="0" w:footer="108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39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8"/>
        <w:w w:val="62"/>
        <w:sz w:val="24"/>
        <w:szCs w:val="24"/>
      </w:rPr>
      <w:t>—</w:t>
    </w:r>
    <w:r>
      <w:rPr>
        <w:rFonts w:ascii="宋体" w:hAnsi="宋体" w:eastAsia="宋体" w:cs="宋体"/>
        <w:spacing w:val="-19"/>
        <w:w w:val="97"/>
        <w:sz w:val="24"/>
        <w:szCs w:val="24"/>
      </w:rPr>
      <w:t>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419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8"/>
        <w:w w:val="69"/>
        <w:sz w:val="23"/>
        <w:szCs w:val="23"/>
      </w:rPr>
      <w:t>—</w:t>
    </w:r>
    <w:r>
      <w:rPr>
        <w:rFonts w:ascii="宋体" w:hAnsi="宋体" w:eastAsia="宋体" w:cs="宋体"/>
        <w:spacing w:val="-13"/>
        <w:w w:val="96"/>
        <w:sz w:val="23"/>
        <w:szCs w:val="23"/>
      </w:rPr>
      <w:t>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EzZDk1ZTQ3YjhkNDgyYTNiMGUzYzkyOWRiNjQ4YjIifQ=="/>
    <w:docVar w:name="KSO_WPS_MARK_KEY" w:val="9b327319-5e83-4e1a-ba3a-0ffd2f367559"/>
  </w:docVars>
  <w:rsids>
    <w:rsidRoot w:val="00000000"/>
    <w:rsid w:val="16393924"/>
    <w:rsid w:val="291F7550"/>
    <w:rsid w:val="3050190A"/>
    <w:rsid w:val="443800FA"/>
    <w:rsid w:val="56FE658B"/>
    <w:rsid w:val="5A2055BA"/>
    <w:rsid w:val="5ADD20AC"/>
    <w:rsid w:val="759A767E"/>
    <w:rsid w:val="77495A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D2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665</Words>
  <Characters>685</Characters>
  <TotalTime>45</TotalTime>
  <ScaleCrop>false</ScaleCrop>
  <LinksUpToDate>false</LinksUpToDate>
  <CharactersWithSpaces>687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2024-06-05T18:09:00Z</dcterms:created>
  <dc:creator>Administrator</dc:creator>
  <cp:lastModifiedBy>C木木C</cp:lastModifiedBy>
  <cp:lastPrinted>2024-06-19T08:56:00Z</cp:lastPrinted>
  <dcterms:modified xsi:type="dcterms:W3CDTF">2024-06-20T02:10:39Z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2024-06-05T10:09:19Z</vt:filetime>
  </property>
  <property fmtid="{D5CDD505-2E9C-101B-9397-08002B2CF9AE}" pid="4" name="UsrData">
    <vt:lpwstr>665fc8cc614d36001f3d283bwl</vt:lpwstr>
  </property>
  <property fmtid="{D5CDD505-2E9C-101B-9397-08002B2CF9AE}" pid="5" name="KSOProductBuildVer">
    <vt:lpwstr>2052-12.1.0.16929</vt:lpwstr>
  </property>
  <property fmtid="{D5CDD505-2E9C-101B-9397-08002B2CF9AE}" pid="6" name="ICV">
    <vt:lpwstr>0A3A7C499194412A8687328AF4D53FCA_13</vt:lpwstr>
  </property>
</Properties>
</file>