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hint="eastAsia"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楷体_GB2312" w:hAnsi="Calibri" w:eastAsia="楷体_GB2312" w:cs="楷体_GB2312"/>
          <w:color w:val="000000"/>
          <w:sz w:val="28"/>
          <w:szCs w:val="28"/>
          <w:shd w:val="clear" w:color="auto" w:fill="FFFFFF"/>
        </w:rPr>
        <w:t>3</w:t>
      </w:r>
    </w:p>
    <w:p>
      <w:pPr>
        <w:adjustRightInd w:val="0"/>
        <w:spacing w:line="200" w:lineRule="exact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Calibri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资阳区中小学新生入学报名平台</w:t>
      </w:r>
    </w:p>
    <w:p>
      <w:pPr>
        <w:spacing w:line="620" w:lineRule="exact"/>
        <w:jc w:val="center"/>
        <w:rPr>
          <w:rFonts w:ascii="方正小标宋简体" w:hAnsi="Calibri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操</w:t>
      </w:r>
      <w:r>
        <w:rPr>
          <w:rFonts w:ascii="方正小标宋简体" w:hAnsi="Calibri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作</w:t>
      </w:r>
      <w:r>
        <w:rPr>
          <w:rFonts w:ascii="方正小标宋简体" w:hAnsi="Calibri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须</w:t>
      </w:r>
      <w:r>
        <w:rPr>
          <w:rFonts w:ascii="方正小标宋简体" w:hAnsi="Calibri" w:eastAsia="方正小标宋简体" w:cs="方正小标宋简体"/>
          <w:color w:val="000000"/>
          <w:sz w:val="44"/>
          <w:szCs w:val="44"/>
        </w:rPr>
        <w:t xml:space="preserve">  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</w:rPr>
        <w:t>知</w:t>
      </w:r>
    </w:p>
    <w:p>
      <w:pPr>
        <w:spacing w:line="620" w:lineRule="exact"/>
        <w:ind w:firstLine="420" w:firstLineChars="200"/>
        <w:rPr>
          <w:rFonts w:ascii="Calibri" w:hAnsi="Calibri" w:eastAsia="宋体" w:cs="Times New Roman"/>
          <w:color w:val="000000"/>
          <w:szCs w:val="21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资阳区中小学入学报名，在湖南省中小学新生入学在线报名平台上进行。该平台的资阳入口（以下称“资阳区中小学新生入学报名平台”）将于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月16日正式上线，为资阳区中小学新生家长提供在线报名服务，在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月16日－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5日期间，学生家长或监护人可通过平台为学生在城区学校申报学位。在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月16日－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日期间，学生家长或监护人可通过平台为学生在城区学校申报学位。家长可通过“湘易办”APP或微信小程序进入资阳区中小学新生入学报名平台。家长须保证所提交报名资料的真实性、准确性，如因家长虚假填写相关信息造成子女无法就读所报学校，其后果由家长自行承担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一、“湘易办”APP操作流程如下：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433070</wp:posOffset>
            </wp:positionV>
            <wp:extent cx="323850" cy="314325"/>
            <wp:effectExtent l="0" t="0" r="11430" b="5715"/>
            <wp:wrapNone/>
            <wp:docPr id="4" name="图片 0" descr="湘易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湘易办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38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1.先在智能手机上安装“湘易办”APP，点击“湘易办”APP图标    ，启动运行并登录“湘易办”APP；首次登录会要求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“新用户注册”，请以家长联系电话为用户名注册账号，并记住设置的密码以便下次登录。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登录“湘易办”APP后，在主页面搜寻“智慧教育”，若当前页面没发现“智慧教育”，可用手指按住页面左右拨动。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3.点击进入“智慧教育”，依次点选“入学一件事-益阳-资阳区”，确定后将进入资阳区中小学新生入学报名平台。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4.请家长仔细阅读资阳区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2024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年城区中小学招生政策，操作方面有疑问可查看家长操作手册或常见问题集，熟悉政策及平台操作步骤后再进行报名。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首先进入“个人中心”在“我的孩子”中添加孩子，如有多个孩子同时报名，直接再次点击添加即可。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按类选择“小一新生报名入口”或“初一新生报名入口”，进入后选择对应的“公办学校报名通道”或“民办学校报名通道”进行报名。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选择“公办学校报名通道”后，先根据实际情况如实选择报名类别（录取批次），点击“资料提交”后，进入“资料填报”页面，依次点击“学生基本信息”“监护人信息”“住房信息”“资料上传”，填报学生报名相关信息，上传学生报名相关资料，包括户籍证明、房产证明、入住证明，点击“保存”后，可点选“下一步”进入“报读学校填写”，点选报读学校并确认选择，提示预览你填报的相关信息，若信息、资料无误，点击“提交资料”后完成该生的报名，若发现信息、资料有误，可即时选择退回并修改，也可在“提交资料”后再次从首页进入作撤回修改，在报名时间结束前共有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次撤回修改的机会。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Times New Roman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000000"/>
          <w:sz w:val="32"/>
          <w:szCs w:val="32"/>
        </w:rPr>
        <w:t>报名公办学校后，若所报公办学校报名人数超过学校招生计划，经超员摇号后未摇中的，由学校退回报名申请后，家长再进报名平台另报一所还有学位的公办学校。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若选择“民办学校报名通道”，进入“资料填报”页面，依次点击“学生基本信息”“监护人信息”“住房信息”“资料上传”，填报学生报名相关信息，上传学生报名相关资料，包括户籍证明、房产证明、入住证明，点击“保存”后，可点选“下一步”进入“报读学校填写”，点选报读学校并确认选择，提示预览你填报的相关信息，若信息、资料无误，点击“提交资料”后完成该生的报名，若发现信息、资料有误，可点击手机屏幕左上角的返回键，即时退回并修改，也可在“提交资料”后再次从首页进入作撤回修改，在报名时间结束前共有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次撤回修改的机会。一旦进入学校审核阶段，资料网上初步审核通过，则无法使用自主撤销的功能。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报名民办学校后，若民办学校报名人数超过学校招生计划，经超员摇号后未摇中的，由学校退回报名申请后，家长再进报名平台重报一所还有学位的公办学校。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报名资料提交后，学校对资料进行初审，初审未通过的以短信方式发送到家长注册账号的手机号，告之家长补充资料或重新申报学校；学校初审通过后，区教育局再进行核查，核查结果也会以短信方式发送到家长注册账号的手机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436245</wp:posOffset>
            </wp:positionV>
            <wp:extent cx="1264285" cy="1236980"/>
            <wp:effectExtent l="0" t="0" r="635" b="1270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36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sz w:val="32"/>
          <w:szCs w:val="32"/>
        </w:rPr>
        <w:t>二、微信小程序操作流程如下：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家长扫左边二维码，即可通过微信小程序进入资阳区中小学新生入学报名平台，点击首页的“请登录”，登录会弹出获取微信绑定的手机号，点击允许，即可完成注册及登录。下次登录不需要输入帐号（小程序登录不需要登录密码），通过微信点开小程序就对应到自己的个人界面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2.通过微信小程序进入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资阳区中小学新生入学报名平台后，操作流程同“湘易办”APP操作流程第4步至第8步。</w:t>
      </w:r>
    </w:p>
    <w:p>
      <w:pPr>
        <w:spacing w:line="600" w:lineRule="exact"/>
        <w:rPr>
          <w:rFonts w:ascii="Calibri" w:hAnsi="Calibri" w:eastAsia="宋体" w:cs="Calibri"/>
          <w:szCs w:val="21"/>
        </w:rPr>
      </w:pPr>
    </w:p>
    <w:p>
      <w:pPr>
        <w:widowControl/>
        <w:jc w:val="lef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320" w:lineRule="exact"/>
        <w:rPr>
          <w:rFonts w:ascii="仿宋" w:eastAsia="仿宋" w:cs="Times New Roman"/>
          <w:color w:val="000000"/>
          <w:spacing w:val="-4"/>
        </w:rPr>
        <w:sectPr>
          <w:footerReference r:id="rId3" w:type="default"/>
          <w:pgSz w:w="11906" w:h="16838"/>
          <w:pgMar w:top="1985" w:right="1418" w:bottom="1418" w:left="1701" w:header="851" w:footer="1134" w:gutter="0"/>
          <w:cols w:space="720" w:num="1"/>
          <w:docGrid w:linePitch="312" w:charSpace="0"/>
        </w:sectPr>
      </w:pPr>
      <w:bookmarkStart w:id="0" w:name="_GoBack"/>
      <w:bookmarkEnd w:id="0"/>
    </w:p>
    <w:p/>
    <w:p>
      <w:pPr>
        <w:spacing w:line="20" w:lineRule="exact"/>
        <w:rPr>
          <w:rFonts w:ascii="Calibri" w:hAnsi="Calibri" w:eastAsia="宋体" w:cs="Times New Roman"/>
          <w:color w:val="000000"/>
          <w:sz w:val="32"/>
          <w:szCs w:val="32"/>
        </w:rPr>
      </w:pPr>
    </w:p>
    <w:p/>
    <w:sectPr>
      <w:footerReference r:id="rId4" w:type="default"/>
      <w:pgSz w:w="11906" w:h="16838"/>
      <w:pgMar w:top="1984" w:right="1418" w:bottom="1417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t>31</w: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instrText xml:space="preserve">PAGE  </w:instrTex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t>31</w:t>
    </w:r>
    <w:r>
      <w:rPr>
        <w:rFonts w:ascii="Calibri" w:hAnsi="Calibri" w:eastAsia="宋体" w:cs="Times New Roman"/>
        <w:kern w:val="2"/>
        <w:sz w:val="21"/>
        <w:szCs w:val="21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Calibri"/>
        <w:kern w:val="2"/>
        <w:sz w:val="1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WE3ZDM5ZTJiMTNlYWJkNjU1Nzg1MGUyMDNmNWYifQ=="/>
  </w:docVars>
  <w:rsids>
    <w:rsidRoot w:val="280B47FE"/>
    <w:rsid w:val="280B47FE"/>
    <w:rsid w:val="3FB62DC6"/>
    <w:rsid w:val="45A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2024-05-31T07:56:00Z</dcterms:created>
  <dc:creator>Administrator</dc:creator>
  <cp:lastModifiedBy>Administrator</cp:lastModifiedBy>
  <dcterms:modified xsi:type="dcterms:W3CDTF">2024-05-31T07:58:03Z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612BF41E269544FE9FDB1F3074F4686A_13</vt:lpwstr>
  </property>
</Properties>
</file>