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75" w:lineRule="atLeast"/>
        <w:jc w:val="center"/>
        <w:outlineLvl w:val="1"/>
        <w:rPr>
          <w:rFonts w:hint="eastAsia" w:ascii="仿宋" w:hAnsi="仿宋" w:eastAsia="仿宋" w:cs="仿宋"/>
          <w:b/>
          <w:bCs/>
          <w:color w:val="1F5781"/>
          <w:kern w:val="0"/>
          <w:sz w:val="36"/>
          <w:szCs w:val="36"/>
        </w:rPr>
      </w:pPr>
      <w:r>
        <w:rPr>
          <w:rFonts w:hint="eastAsia" w:ascii="仿宋" w:hAnsi="仿宋" w:eastAsia="仿宋" w:cs="仿宋"/>
          <w:b/>
          <w:bCs/>
          <w:color w:val="1F5781"/>
          <w:kern w:val="0"/>
          <w:sz w:val="36"/>
          <w:szCs w:val="36"/>
        </w:rPr>
        <w:t>2022年度益阳市</w:t>
      </w:r>
      <w:r>
        <w:rPr>
          <w:rFonts w:hint="eastAsia" w:ascii="仿宋" w:hAnsi="仿宋" w:eastAsia="仿宋" w:cs="仿宋"/>
          <w:b/>
          <w:bCs/>
          <w:color w:val="1F5781"/>
          <w:kern w:val="0"/>
          <w:sz w:val="36"/>
          <w:szCs w:val="36"/>
          <w:lang w:eastAsia="zh-CN"/>
        </w:rPr>
        <w:t>资阳区农机事务中心</w:t>
      </w:r>
      <w:r>
        <w:rPr>
          <w:rFonts w:hint="eastAsia" w:ascii="仿宋" w:hAnsi="仿宋" w:eastAsia="仿宋" w:cs="仿宋"/>
          <w:b/>
          <w:bCs/>
          <w:color w:val="1F5781"/>
          <w:kern w:val="0"/>
          <w:sz w:val="36"/>
          <w:szCs w:val="36"/>
        </w:rPr>
        <w:t>整体支出绩效自评报告</w:t>
      </w:r>
    </w:p>
    <w:p>
      <w:pPr>
        <w:widowControl/>
        <w:shd w:val="clear" w:color="auto" w:fill="FFFFFF"/>
        <w:spacing w:line="600" w:lineRule="atLeast"/>
        <w:jc w:val="left"/>
        <w:rPr>
          <w:rFonts w:hint="eastAsia" w:ascii="仿宋" w:hAnsi="仿宋" w:eastAsia="仿宋" w:cs="仿宋"/>
          <w:color w:val="000000"/>
          <w:kern w:val="0"/>
          <w:sz w:val="36"/>
          <w:szCs w:val="36"/>
        </w:rPr>
      </w:pPr>
      <w:r>
        <w:rPr>
          <w:rFonts w:hint="eastAsia" w:ascii="仿宋" w:hAnsi="仿宋" w:eastAsia="仿宋" w:cs="仿宋"/>
          <w:color w:val="000000"/>
          <w:kern w:val="0"/>
          <w:sz w:val="36"/>
          <w:szCs w:val="36"/>
        </w:rPr>
        <w:t>  </w:t>
      </w:r>
    </w:p>
    <w:p>
      <w:pPr>
        <w:widowControl/>
        <w:shd w:val="clear" w:color="auto" w:fill="FFFFFF"/>
        <w:spacing w:line="600"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为进一步加强财政资金绩效管理，提高资金使用效益，根据《益阳市</w:t>
      </w:r>
      <w:r>
        <w:rPr>
          <w:rFonts w:hint="eastAsia" w:ascii="仿宋" w:hAnsi="仿宋" w:eastAsia="仿宋" w:cs="仿宋"/>
          <w:color w:val="000000"/>
          <w:kern w:val="0"/>
          <w:sz w:val="30"/>
          <w:szCs w:val="30"/>
          <w:lang w:eastAsia="zh-CN"/>
        </w:rPr>
        <w:t>资阳区</w:t>
      </w:r>
      <w:r>
        <w:rPr>
          <w:rFonts w:hint="eastAsia" w:ascii="仿宋" w:hAnsi="仿宋" w:eastAsia="仿宋" w:cs="仿宋"/>
          <w:color w:val="000000"/>
          <w:kern w:val="0"/>
          <w:sz w:val="30"/>
          <w:szCs w:val="30"/>
        </w:rPr>
        <w:t>财政局关于开展2022年度部门绩效自评工作的通知》要求，我单位积极组织，对2022年部门整体支出情况进行了绩效自评，现将有关情况报告如下：</w:t>
      </w:r>
    </w:p>
    <w:p>
      <w:pPr>
        <w:numPr>
          <w:ilvl w:val="0"/>
          <w:numId w:val="1"/>
        </w:numPr>
        <w:spacing w:line="600" w:lineRule="exact"/>
        <w:ind w:firstLine="643"/>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基本情况</w:t>
      </w:r>
    </w:p>
    <w:p>
      <w:pPr>
        <w:widowControl/>
        <w:shd w:val="clear" w:color="auto" w:fill="FFFFFF"/>
        <w:spacing w:line="600" w:lineRule="atLeast"/>
        <w:ind w:firstLine="640"/>
        <w:jc w:val="left"/>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（一）部门职能</w:t>
      </w:r>
    </w:p>
    <w:p>
      <w:pPr>
        <w:spacing w:line="600" w:lineRule="exact"/>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rPr>
        <w:tab/>
      </w:r>
      <w:r>
        <w:rPr>
          <w:rFonts w:hint="eastAsia" w:ascii="仿宋" w:hAnsi="仿宋" w:eastAsia="仿宋" w:cs="仿宋"/>
          <w:sz w:val="30"/>
          <w:szCs w:val="30"/>
        </w:rPr>
        <w:t>拟订农业机械化科技、教育发展规划和年度实施计划，组织重大农业机械科研和技术推广项目的遴选及实施。</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2、研究提出全区农业机械化发展方向，发展战略，中、长期发展规划及重大技术措施建议，经批准后组织实施。</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rPr>
        <w:tab/>
      </w:r>
      <w:r>
        <w:rPr>
          <w:rFonts w:hint="eastAsia" w:ascii="仿宋" w:hAnsi="仿宋" w:eastAsia="仿宋" w:cs="仿宋"/>
          <w:sz w:val="30"/>
          <w:szCs w:val="30"/>
        </w:rPr>
        <w:t>负责农业机械化新技术，新机具的引进、示范与推广。</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4、负责农业机械化有关经济指标的统计。</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5、负责本单位党组织建设和党风廉政建设及预防职务犯罪工作。</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6、完成区委、区政府交办的其他任务。 </w:t>
      </w:r>
    </w:p>
    <w:p>
      <w:pPr>
        <w:widowControl/>
        <w:shd w:val="clear" w:color="auto" w:fill="FFFFFF"/>
        <w:spacing w:line="600" w:lineRule="atLeast"/>
        <w:ind w:firstLine="64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（二）部门机构设置</w:t>
      </w:r>
    </w:p>
    <w:p>
      <w:pPr>
        <w:spacing w:line="600" w:lineRule="exact"/>
        <w:ind w:firstLine="643"/>
        <w:rPr>
          <w:rFonts w:hint="eastAsia" w:ascii="仿宋" w:hAnsi="仿宋" w:eastAsia="仿宋" w:cs="仿宋"/>
          <w:color w:val="C00000"/>
          <w:kern w:val="1"/>
          <w:sz w:val="30"/>
          <w:szCs w:val="30"/>
          <w:lang w:val="en-US" w:eastAsia="zh-CN"/>
        </w:rPr>
      </w:pPr>
      <w:r>
        <w:rPr>
          <w:rFonts w:hint="eastAsia" w:ascii="仿宋" w:hAnsi="仿宋" w:eastAsia="仿宋" w:cs="仿宋"/>
          <w:kern w:val="1"/>
          <w:sz w:val="30"/>
          <w:szCs w:val="30"/>
        </w:rPr>
        <w:t>我中心是区政府主管全区农业机械行业管理的正科级全额拨款事业单位，主要承担法律法规授予的农业机械安全生产监督管理职能，下设区农机技术推广站、区农业机械化学校</w:t>
      </w:r>
      <w:r>
        <w:rPr>
          <w:rFonts w:hint="eastAsia" w:ascii="仿宋" w:hAnsi="仿宋" w:eastAsia="仿宋" w:cs="仿宋"/>
          <w:color w:val="auto"/>
          <w:kern w:val="1"/>
          <w:sz w:val="30"/>
          <w:szCs w:val="30"/>
          <w:lang w:eastAsia="zh-CN"/>
        </w:rPr>
        <w:t>，办公室，财务室。</w:t>
      </w:r>
    </w:p>
    <w:p>
      <w:pPr>
        <w:widowControl/>
        <w:shd w:val="clear" w:color="auto" w:fill="FFFFFF"/>
        <w:spacing w:line="600" w:lineRule="atLeast"/>
        <w:ind w:firstLine="640"/>
        <w:jc w:val="left"/>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（三）部门人员编制</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2022年末实有在职人数</w:t>
      </w:r>
      <w:r>
        <w:rPr>
          <w:rFonts w:hint="eastAsia" w:ascii="仿宋" w:hAnsi="仿宋" w:eastAsia="仿宋" w:cs="仿宋"/>
          <w:color w:val="000000"/>
          <w:kern w:val="0"/>
          <w:sz w:val="30"/>
          <w:szCs w:val="30"/>
          <w:lang w:eastAsia="zh-CN"/>
        </w:rPr>
        <w:t>21</w:t>
      </w:r>
      <w:r>
        <w:rPr>
          <w:rFonts w:hint="eastAsia" w:ascii="仿宋" w:hAnsi="仿宋" w:eastAsia="仿宋" w:cs="仿宋"/>
          <w:color w:val="000000"/>
          <w:kern w:val="0"/>
          <w:sz w:val="30"/>
          <w:szCs w:val="30"/>
        </w:rPr>
        <w:t>人</w:t>
      </w:r>
    </w:p>
    <w:p>
      <w:pPr>
        <w:widowControl/>
        <w:shd w:val="clear" w:color="auto" w:fill="FFFFFF"/>
        <w:spacing w:line="600" w:lineRule="atLeast"/>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二、一般公共预算支出情况</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我</w:t>
      </w:r>
      <w:r>
        <w:rPr>
          <w:rFonts w:hint="eastAsia" w:ascii="仿宋" w:hAnsi="仿宋" w:eastAsia="仿宋" w:cs="仿宋"/>
          <w:color w:val="000000"/>
          <w:kern w:val="0"/>
          <w:sz w:val="30"/>
          <w:szCs w:val="30"/>
          <w:lang w:eastAsia="zh-CN"/>
        </w:rPr>
        <w:t>中心</w:t>
      </w:r>
      <w:r>
        <w:rPr>
          <w:rFonts w:hint="eastAsia" w:ascii="仿宋" w:hAnsi="仿宋" w:eastAsia="仿宋" w:cs="仿宋"/>
          <w:color w:val="000000"/>
          <w:kern w:val="0"/>
          <w:sz w:val="30"/>
          <w:szCs w:val="30"/>
        </w:rPr>
        <w:t>2022年一般公共预算财政拨款收入</w:t>
      </w:r>
      <w:r>
        <w:rPr>
          <w:rFonts w:hint="eastAsia" w:ascii="仿宋" w:hAnsi="仿宋" w:eastAsia="仿宋" w:cs="仿宋"/>
          <w:color w:val="000000"/>
          <w:kern w:val="0"/>
          <w:sz w:val="30"/>
          <w:szCs w:val="30"/>
          <w:lang w:val="en-US" w:eastAsia="zh-CN"/>
        </w:rPr>
        <w:t>1825.99</w:t>
      </w:r>
      <w:r>
        <w:rPr>
          <w:rFonts w:hint="eastAsia" w:ascii="仿宋" w:hAnsi="仿宋" w:eastAsia="仿宋" w:cs="仿宋"/>
          <w:color w:val="000000"/>
          <w:kern w:val="0"/>
          <w:sz w:val="30"/>
          <w:szCs w:val="30"/>
        </w:rPr>
        <w:t>万元，其他收入</w:t>
      </w:r>
      <w:r>
        <w:rPr>
          <w:rFonts w:hint="eastAsia" w:ascii="仿宋" w:hAnsi="仿宋" w:eastAsia="仿宋" w:cs="仿宋"/>
          <w:color w:val="000000"/>
          <w:kern w:val="0"/>
          <w:sz w:val="30"/>
          <w:szCs w:val="30"/>
          <w:lang w:val="en-US" w:eastAsia="zh-CN"/>
        </w:rPr>
        <w:t>131.26</w:t>
      </w:r>
      <w:r>
        <w:rPr>
          <w:rFonts w:hint="eastAsia" w:ascii="仿宋" w:hAnsi="仿宋" w:eastAsia="仿宋" w:cs="仿宋"/>
          <w:color w:val="000000"/>
          <w:kern w:val="0"/>
          <w:sz w:val="30"/>
          <w:szCs w:val="30"/>
        </w:rPr>
        <w:t>万元，全年一般公共预算收入总计</w:t>
      </w:r>
      <w:r>
        <w:rPr>
          <w:rFonts w:hint="eastAsia" w:ascii="仿宋" w:hAnsi="仿宋" w:eastAsia="仿宋" w:cs="仿宋"/>
          <w:color w:val="000000"/>
          <w:kern w:val="0"/>
          <w:sz w:val="30"/>
          <w:szCs w:val="30"/>
          <w:lang w:val="en-US" w:eastAsia="zh-CN"/>
        </w:rPr>
        <w:t>1957.25</w:t>
      </w:r>
      <w:r>
        <w:rPr>
          <w:rFonts w:hint="eastAsia" w:ascii="仿宋" w:hAnsi="仿宋" w:eastAsia="仿宋" w:cs="仿宋"/>
          <w:color w:val="000000"/>
          <w:kern w:val="0"/>
          <w:sz w:val="30"/>
          <w:szCs w:val="30"/>
        </w:rPr>
        <w:t>万元。2022年一般公共预算支出</w:t>
      </w:r>
      <w:r>
        <w:rPr>
          <w:rFonts w:hint="eastAsia" w:ascii="仿宋" w:hAnsi="仿宋" w:eastAsia="仿宋" w:cs="仿宋"/>
          <w:color w:val="000000"/>
          <w:kern w:val="0"/>
          <w:sz w:val="30"/>
          <w:szCs w:val="30"/>
          <w:lang w:val="en-US" w:eastAsia="zh-CN"/>
        </w:rPr>
        <w:t>1957.25</w:t>
      </w:r>
      <w:r>
        <w:rPr>
          <w:rFonts w:hint="eastAsia" w:ascii="仿宋" w:hAnsi="仿宋" w:eastAsia="仿宋" w:cs="仿宋"/>
          <w:color w:val="000000"/>
          <w:kern w:val="0"/>
          <w:sz w:val="30"/>
          <w:szCs w:val="30"/>
        </w:rPr>
        <w:t>万元，其中基本支出</w:t>
      </w:r>
      <w:r>
        <w:rPr>
          <w:rFonts w:hint="eastAsia" w:ascii="仿宋" w:hAnsi="仿宋" w:eastAsia="仿宋" w:cs="仿宋"/>
          <w:color w:val="000000"/>
          <w:kern w:val="0"/>
          <w:sz w:val="30"/>
          <w:szCs w:val="30"/>
          <w:lang w:val="en-US" w:eastAsia="zh-CN"/>
        </w:rPr>
        <w:t>1421.94</w:t>
      </w:r>
      <w:r>
        <w:rPr>
          <w:rFonts w:hint="eastAsia" w:ascii="仿宋" w:hAnsi="仿宋" w:eastAsia="仿宋" w:cs="仿宋"/>
          <w:color w:val="000000"/>
          <w:kern w:val="0"/>
          <w:sz w:val="30"/>
          <w:szCs w:val="30"/>
        </w:rPr>
        <w:t>万元，占7</w:t>
      </w:r>
      <w:r>
        <w:rPr>
          <w:rFonts w:hint="eastAsia" w:ascii="仿宋" w:hAnsi="仿宋" w:eastAsia="仿宋" w:cs="仿宋"/>
          <w:color w:val="000000"/>
          <w:kern w:val="0"/>
          <w:sz w:val="30"/>
          <w:szCs w:val="30"/>
          <w:lang w:val="en-US" w:eastAsia="zh-CN"/>
        </w:rPr>
        <w:t>2.65</w:t>
      </w:r>
      <w:r>
        <w:rPr>
          <w:rFonts w:hint="eastAsia" w:ascii="仿宋" w:hAnsi="仿宋" w:eastAsia="仿宋" w:cs="仿宋"/>
          <w:color w:val="000000"/>
          <w:kern w:val="0"/>
          <w:sz w:val="30"/>
          <w:szCs w:val="30"/>
        </w:rPr>
        <w:t>%，项目支出</w:t>
      </w:r>
      <w:r>
        <w:rPr>
          <w:rFonts w:hint="eastAsia" w:ascii="仿宋" w:hAnsi="仿宋" w:eastAsia="仿宋" w:cs="仿宋"/>
          <w:color w:val="000000"/>
          <w:kern w:val="0"/>
          <w:sz w:val="30"/>
          <w:szCs w:val="30"/>
          <w:lang w:val="en-US" w:eastAsia="zh-CN"/>
        </w:rPr>
        <w:t>535.31</w:t>
      </w:r>
      <w:r>
        <w:rPr>
          <w:rFonts w:hint="eastAsia" w:ascii="仿宋" w:hAnsi="仿宋" w:eastAsia="仿宋" w:cs="仿宋"/>
          <w:color w:val="000000"/>
          <w:kern w:val="0"/>
          <w:sz w:val="30"/>
          <w:szCs w:val="30"/>
        </w:rPr>
        <w:t>万元，占</w:t>
      </w:r>
      <w:r>
        <w:rPr>
          <w:rFonts w:hint="eastAsia" w:ascii="仿宋" w:hAnsi="仿宋" w:eastAsia="仿宋" w:cs="仿宋"/>
          <w:color w:val="000000"/>
          <w:kern w:val="0"/>
          <w:sz w:val="30"/>
          <w:szCs w:val="30"/>
          <w:lang w:val="en-US" w:eastAsia="zh-CN"/>
        </w:rPr>
        <w:t>27.35</w:t>
      </w:r>
      <w:r>
        <w:rPr>
          <w:rFonts w:hint="eastAsia" w:ascii="仿宋" w:hAnsi="仿宋" w:eastAsia="仿宋" w:cs="仿宋"/>
          <w:color w:val="000000"/>
          <w:kern w:val="0"/>
          <w:sz w:val="30"/>
          <w:szCs w:val="30"/>
        </w:rPr>
        <w:t>%。</w:t>
      </w:r>
    </w:p>
    <w:p>
      <w:pPr>
        <w:widowControl/>
        <w:shd w:val="clear" w:color="auto" w:fill="FFFFFF"/>
        <w:spacing w:line="600" w:lineRule="atLeast"/>
        <w:ind w:firstLine="64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（一）基本支出情况</w:t>
      </w:r>
    </w:p>
    <w:p>
      <w:pPr>
        <w:widowControl/>
        <w:shd w:val="clear" w:color="auto" w:fill="FFFFFF"/>
        <w:spacing w:line="600" w:lineRule="atLeast"/>
        <w:ind w:firstLine="640"/>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基本支出是用于为保障机关正常运转、完成日常工作任务而发生的支出，包括人员经费和日公用经费</w:t>
      </w:r>
      <w:r>
        <w:rPr>
          <w:rFonts w:hint="eastAsia" w:ascii="仿宋" w:hAnsi="仿宋" w:eastAsia="仿宋" w:cs="仿宋"/>
          <w:color w:val="000000"/>
          <w:kern w:val="0"/>
          <w:sz w:val="30"/>
          <w:szCs w:val="30"/>
          <w:lang w:val="en-US" w:eastAsia="zh-CN"/>
        </w:rPr>
        <w:t>,以及支付给农民的农机补贴。</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2022年市</w:t>
      </w:r>
      <w:r>
        <w:rPr>
          <w:rFonts w:hint="eastAsia" w:ascii="仿宋" w:hAnsi="仿宋" w:eastAsia="仿宋" w:cs="仿宋"/>
          <w:color w:val="000000"/>
          <w:kern w:val="0"/>
          <w:sz w:val="30"/>
          <w:szCs w:val="30"/>
          <w:lang w:eastAsia="zh-CN"/>
        </w:rPr>
        <w:t>区</w:t>
      </w:r>
      <w:r>
        <w:rPr>
          <w:rFonts w:hint="eastAsia" w:ascii="仿宋" w:hAnsi="仿宋" w:eastAsia="仿宋" w:cs="仿宋"/>
          <w:color w:val="000000"/>
          <w:kern w:val="0"/>
          <w:sz w:val="30"/>
          <w:szCs w:val="30"/>
        </w:rPr>
        <w:t>财政批复的基本支出年初预算为</w:t>
      </w:r>
      <w:r>
        <w:rPr>
          <w:rFonts w:hint="eastAsia" w:ascii="仿宋" w:hAnsi="仿宋" w:eastAsia="仿宋" w:cs="仿宋"/>
          <w:color w:val="000000"/>
          <w:kern w:val="0"/>
          <w:sz w:val="30"/>
          <w:szCs w:val="30"/>
          <w:lang w:val="en-US" w:eastAsia="zh-CN"/>
        </w:rPr>
        <w:t>1321.42</w:t>
      </w:r>
      <w:r>
        <w:rPr>
          <w:rFonts w:hint="eastAsia" w:ascii="仿宋" w:hAnsi="仿宋" w:eastAsia="仿宋" w:cs="仿宋"/>
          <w:color w:val="000000"/>
          <w:kern w:val="0"/>
          <w:sz w:val="30"/>
          <w:szCs w:val="30"/>
        </w:rPr>
        <w:t>万元，年中调整追加</w:t>
      </w:r>
      <w:r>
        <w:rPr>
          <w:rFonts w:hint="eastAsia" w:ascii="仿宋" w:hAnsi="仿宋" w:eastAsia="仿宋" w:cs="仿宋"/>
          <w:color w:val="000000"/>
          <w:kern w:val="0"/>
          <w:sz w:val="30"/>
          <w:szCs w:val="30"/>
          <w:lang w:val="en-US" w:eastAsia="zh-CN"/>
        </w:rPr>
        <w:t>100.52</w:t>
      </w:r>
      <w:r>
        <w:rPr>
          <w:rFonts w:hint="eastAsia" w:ascii="仿宋" w:hAnsi="仿宋" w:eastAsia="仿宋" w:cs="仿宋"/>
          <w:color w:val="000000"/>
          <w:kern w:val="0"/>
          <w:sz w:val="30"/>
          <w:szCs w:val="30"/>
        </w:rPr>
        <w:t>万元，本年实际支出</w:t>
      </w:r>
      <w:r>
        <w:rPr>
          <w:rFonts w:hint="eastAsia" w:ascii="仿宋" w:hAnsi="仿宋" w:eastAsia="仿宋" w:cs="仿宋"/>
          <w:color w:val="000000"/>
          <w:kern w:val="0"/>
          <w:sz w:val="30"/>
          <w:szCs w:val="30"/>
          <w:lang w:val="en-US" w:eastAsia="zh-CN"/>
        </w:rPr>
        <w:t>1421.94</w:t>
      </w:r>
      <w:r>
        <w:rPr>
          <w:rFonts w:hint="eastAsia" w:ascii="仿宋" w:hAnsi="仿宋" w:eastAsia="仿宋" w:cs="仿宋"/>
          <w:color w:val="000000"/>
          <w:kern w:val="0"/>
          <w:sz w:val="30"/>
          <w:szCs w:val="30"/>
        </w:rPr>
        <w:t>万元。</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按照经济科目划分，各项支出金额分别为：工资福利支出</w:t>
      </w:r>
      <w:r>
        <w:rPr>
          <w:rFonts w:hint="eastAsia" w:ascii="仿宋" w:hAnsi="仿宋" w:eastAsia="仿宋" w:cs="仿宋"/>
          <w:color w:val="000000"/>
          <w:kern w:val="0"/>
          <w:sz w:val="30"/>
          <w:szCs w:val="30"/>
          <w:lang w:val="en-US" w:eastAsia="zh-CN"/>
        </w:rPr>
        <w:t>256.76</w:t>
      </w:r>
      <w:r>
        <w:rPr>
          <w:rFonts w:hint="eastAsia" w:ascii="仿宋" w:hAnsi="仿宋" w:eastAsia="仿宋" w:cs="仿宋"/>
          <w:color w:val="000000"/>
          <w:kern w:val="0"/>
          <w:sz w:val="30"/>
          <w:szCs w:val="30"/>
        </w:rPr>
        <w:t>万元，商品和服务支出</w:t>
      </w:r>
      <w:r>
        <w:rPr>
          <w:rFonts w:hint="eastAsia" w:ascii="仿宋" w:hAnsi="仿宋" w:eastAsia="仿宋" w:cs="仿宋"/>
          <w:color w:val="000000"/>
          <w:kern w:val="0"/>
          <w:sz w:val="30"/>
          <w:szCs w:val="30"/>
          <w:lang w:val="en-US" w:eastAsia="zh-CN"/>
        </w:rPr>
        <w:t>593</w:t>
      </w:r>
      <w:r>
        <w:rPr>
          <w:rFonts w:hint="eastAsia" w:ascii="仿宋" w:hAnsi="仿宋" w:eastAsia="仿宋" w:cs="仿宋"/>
          <w:color w:val="000000"/>
          <w:kern w:val="0"/>
          <w:sz w:val="30"/>
          <w:szCs w:val="30"/>
        </w:rPr>
        <w:t>万元，对个人和家庭补助支出</w:t>
      </w:r>
      <w:r>
        <w:rPr>
          <w:rFonts w:hint="eastAsia" w:ascii="仿宋" w:hAnsi="仿宋" w:eastAsia="仿宋" w:cs="仿宋"/>
          <w:color w:val="000000"/>
          <w:kern w:val="0"/>
          <w:sz w:val="30"/>
          <w:szCs w:val="30"/>
          <w:lang w:val="en-US" w:eastAsia="zh-CN"/>
        </w:rPr>
        <w:t>1107.49</w:t>
      </w:r>
      <w:r>
        <w:rPr>
          <w:rFonts w:hint="eastAsia" w:ascii="仿宋" w:hAnsi="仿宋" w:eastAsia="仿宋" w:cs="仿宋"/>
          <w:color w:val="000000"/>
          <w:kern w:val="0"/>
          <w:sz w:val="30"/>
          <w:szCs w:val="30"/>
        </w:rPr>
        <w:t>万元。</w:t>
      </w:r>
    </w:p>
    <w:p>
      <w:pPr>
        <w:widowControl/>
        <w:shd w:val="clear" w:color="auto" w:fill="FFFFFF"/>
        <w:spacing w:line="600" w:lineRule="atLeast"/>
        <w:ind w:firstLine="64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w:t>
      </w:r>
      <w:r>
        <w:rPr>
          <w:rFonts w:hint="eastAsia" w:ascii="仿宋" w:hAnsi="仿宋" w:eastAsia="仿宋" w:cs="仿宋"/>
          <w:b/>
          <w:bCs/>
          <w:color w:val="000000"/>
          <w:kern w:val="0"/>
          <w:sz w:val="30"/>
          <w:szCs w:val="30"/>
          <w:lang w:eastAsia="zh-CN"/>
        </w:rPr>
        <w:t>二</w:t>
      </w:r>
      <w:r>
        <w:rPr>
          <w:rFonts w:hint="eastAsia" w:ascii="仿宋" w:hAnsi="仿宋" w:eastAsia="仿宋" w:cs="仿宋"/>
          <w:b/>
          <w:bCs/>
          <w:color w:val="000000"/>
          <w:kern w:val="0"/>
          <w:sz w:val="30"/>
          <w:szCs w:val="30"/>
        </w:rPr>
        <w:t>）项目支出情况</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项目支出是行政单位为完成特定的工作任务或事业发展目标，在基本的预算支出外，财政预算专项安排的支出。</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2022年</w:t>
      </w:r>
      <w:r>
        <w:rPr>
          <w:rFonts w:hint="eastAsia" w:ascii="仿宋" w:hAnsi="仿宋" w:eastAsia="仿宋" w:cs="仿宋"/>
          <w:color w:val="000000"/>
          <w:kern w:val="0"/>
          <w:sz w:val="30"/>
          <w:szCs w:val="30"/>
          <w:lang w:eastAsia="zh-CN"/>
        </w:rPr>
        <w:t>区</w:t>
      </w:r>
      <w:r>
        <w:rPr>
          <w:rFonts w:hint="eastAsia" w:ascii="仿宋" w:hAnsi="仿宋" w:eastAsia="仿宋" w:cs="仿宋"/>
          <w:color w:val="000000"/>
          <w:kern w:val="0"/>
          <w:sz w:val="30"/>
          <w:szCs w:val="30"/>
        </w:rPr>
        <w:t>财政批复的项目支出年初预算为</w:t>
      </w:r>
      <w:r>
        <w:rPr>
          <w:rFonts w:hint="eastAsia" w:ascii="仿宋" w:hAnsi="仿宋" w:eastAsia="仿宋" w:cs="仿宋"/>
          <w:color w:val="000000"/>
          <w:kern w:val="0"/>
          <w:sz w:val="30"/>
          <w:szCs w:val="30"/>
          <w:lang w:val="en-US" w:eastAsia="zh-CN"/>
        </w:rPr>
        <w:t>450</w:t>
      </w:r>
      <w:r>
        <w:rPr>
          <w:rFonts w:hint="eastAsia" w:ascii="仿宋" w:hAnsi="仿宋" w:eastAsia="仿宋" w:cs="仿宋"/>
          <w:color w:val="000000"/>
          <w:kern w:val="0"/>
          <w:sz w:val="30"/>
          <w:szCs w:val="30"/>
        </w:rPr>
        <w:t>万元，年中调整追加</w:t>
      </w:r>
      <w:r>
        <w:rPr>
          <w:rFonts w:hint="eastAsia" w:ascii="仿宋" w:hAnsi="仿宋" w:eastAsia="仿宋" w:cs="仿宋"/>
          <w:color w:val="000000"/>
          <w:kern w:val="0"/>
          <w:sz w:val="30"/>
          <w:szCs w:val="30"/>
          <w:lang w:val="en-US" w:eastAsia="zh-CN"/>
        </w:rPr>
        <w:t>85.31</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w:t>
      </w:r>
      <w:r>
        <w:rPr>
          <w:rFonts w:hint="eastAsia" w:ascii="仿宋" w:hAnsi="仿宋" w:eastAsia="仿宋" w:cs="仿宋"/>
          <w:color w:val="000000"/>
          <w:kern w:val="0"/>
          <w:sz w:val="30"/>
          <w:szCs w:val="30"/>
        </w:rPr>
        <w:t>本年实际支出</w:t>
      </w:r>
      <w:r>
        <w:rPr>
          <w:rFonts w:hint="eastAsia" w:ascii="仿宋" w:hAnsi="仿宋" w:eastAsia="仿宋" w:cs="仿宋"/>
          <w:color w:val="000000"/>
          <w:kern w:val="0"/>
          <w:sz w:val="30"/>
          <w:szCs w:val="30"/>
          <w:lang w:val="en-US" w:eastAsia="zh-CN"/>
        </w:rPr>
        <w:t>535.31</w:t>
      </w:r>
      <w:r>
        <w:rPr>
          <w:rFonts w:hint="eastAsia" w:ascii="仿宋" w:hAnsi="仿宋" w:eastAsia="仿宋" w:cs="仿宋"/>
          <w:color w:val="000000"/>
          <w:kern w:val="0"/>
          <w:sz w:val="30"/>
          <w:szCs w:val="30"/>
        </w:rPr>
        <w:t>万元。</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按支出功能科目划分，各项支出金额为：</w:t>
      </w:r>
      <w:r>
        <w:rPr>
          <w:rFonts w:hint="eastAsia" w:ascii="仿宋" w:hAnsi="仿宋" w:eastAsia="仿宋" w:cs="仿宋"/>
          <w:color w:val="000000"/>
          <w:kern w:val="0"/>
          <w:sz w:val="30"/>
          <w:szCs w:val="30"/>
          <w:lang w:eastAsia="zh-CN"/>
        </w:rPr>
        <w:t>社会保障就业支出</w:t>
      </w:r>
      <w:r>
        <w:rPr>
          <w:rFonts w:hint="eastAsia" w:ascii="仿宋" w:hAnsi="仿宋" w:eastAsia="仿宋" w:cs="仿宋"/>
          <w:color w:val="000000"/>
          <w:kern w:val="0"/>
          <w:sz w:val="30"/>
          <w:szCs w:val="30"/>
          <w:lang w:val="en-US" w:eastAsia="zh-CN"/>
        </w:rPr>
        <w:t>2.42</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农林水</w:t>
      </w:r>
      <w:r>
        <w:rPr>
          <w:rFonts w:hint="eastAsia" w:ascii="仿宋" w:hAnsi="仿宋" w:eastAsia="仿宋" w:cs="仿宋"/>
          <w:color w:val="000000"/>
          <w:kern w:val="0"/>
          <w:sz w:val="30"/>
          <w:szCs w:val="30"/>
        </w:rPr>
        <w:t>支出</w:t>
      </w:r>
      <w:r>
        <w:rPr>
          <w:rFonts w:hint="eastAsia" w:ascii="仿宋" w:hAnsi="仿宋" w:eastAsia="仿宋" w:cs="仿宋"/>
          <w:color w:val="000000"/>
          <w:kern w:val="0"/>
          <w:sz w:val="30"/>
          <w:szCs w:val="30"/>
          <w:lang w:val="en-US" w:eastAsia="zh-CN"/>
        </w:rPr>
        <w:t>438.42</w:t>
      </w:r>
      <w:r>
        <w:rPr>
          <w:rFonts w:hint="eastAsia" w:ascii="仿宋" w:hAnsi="仿宋" w:eastAsia="仿宋" w:cs="仿宋"/>
          <w:color w:val="000000"/>
          <w:kern w:val="0"/>
          <w:sz w:val="30"/>
          <w:szCs w:val="30"/>
        </w:rPr>
        <w:t>万元，</w:t>
      </w:r>
      <w:r>
        <w:rPr>
          <w:rFonts w:hint="eastAsia" w:ascii="仿宋" w:hAnsi="仿宋" w:eastAsia="仿宋" w:cs="仿宋"/>
          <w:color w:val="000000"/>
          <w:kern w:val="0"/>
          <w:sz w:val="30"/>
          <w:szCs w:val="30"/>
          <w:lang w:eastAsia="zh-CN"/>
        </w:rPr>
        <w:t>其他</w:t>
      </w:r>
      <w:r>
        <w:rPr>
          <w:rFonts w:hint="eastAsia" w:ascii="仿宋" w:hAnsi="仿宋" w:eastAsia="仿宋" w:cs="仿宋"/>
          <w:color w:val="000000"/>
          <w:kern w:val="0"/>
          <w:sz w:val="30"/>
          <w:szCs w:val="30"/>
        </w:rPr>
        <w:t>支出</w:t>
      </w:r>
      <w:r>
        <w:rPr>
          <w:rFonts w:hint="eastAsia" w:ascii="仿宋" w:hAnsi="仿宋" w:eastAsia="仿宋" w:cs="仿宋"/>
          <w:color w:val="000000"/>
          <w:kern w:val="0"/>
          <w:sz w:val="30"/>
          <w:szCs w:val="30"/>
          <w:lang w:val="en-US" w:eastAsia="zh-CN"/>
        </w:rPr>
        <w:t>94.47</w:t>
      </w:r>
      <w:r>
        <w:rPr>
          <w:rFonts w:hint="eastAsia" w:ascii="仿宋" w:hAnsi="仿宋" w:eastAsia="仿宋" w:cs="仿宋"/>
          <w:color w:val="000000"/>
          <w:kern w:val="0"/>
          <w:sz w:val="30"/>
          <w:szCs w:val="30"/>
        </w:rPr>
        <w:t>万元。</w:t>
      </w:r>
    </w:p>
    <w:p>
      <w:pPr>
        <w:widowControl/>
        <w:shd w:val="clear" w:color="auto" w:fill="FFFFFF"/>
        <w:spacing w:line="600" w:lineRule="atLeast"/>
        <w:ind w:firstLine="64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三、政府性基金预算支出情况</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本单位无政府性基金预算支出。</w:t>
      </w:r>
    </w:p>
    <w:p>
      <w:pPr>
        <w:widowControl/>
        <w:shd w:val="clear" w:color="auto" w:fill="FFFFFF"/>
        <w:spacing w:line="600" w:lineRule="atLeast"/>
        <w:ind w:firstLine="64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四、国有资本经营预算支出情况</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本单位无国有资本经营预算支出。</w:t>
      </w:r>
    </w:p>
    <w:p>
      <w:pPr>
        <w:widowControl/>
        <w:shd w:val="clear" w:color="auto" w:fill="FFFFFF"/>
        <w:spacing w:line="600" w:lineRule="atLeast"/>
        <w:ind w:firstLine="64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五、社会保险基金预算支出情况</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本单位无社会保险基金预算支出。</w:t>
      </w:r>
    </w:p>
    <w:p>
      <w:pPr>
        <w:widowControl/>
        <w:shd w:val="clear" w:color="auto" w:fill="FFFFFF"/>
        <w:spacing w:line="600" w:lineRule="atLeast"/>
        <w:ind w:firstLine="640"/>
        <w:jc w:val="left"/>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六、部门整体支出绩效情况</w:t>
      </w:r>
    </w:p>
    <w:p>
      <w:pPr>
        <w:widowControl/>
        <w:shd w:val="clear" w:color="auto" w:fill="FFFFFF"/>
        <w:spacing w:line="600" w:lineRule="atLeast"/>
        <w:ind w:firstLine="64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（一）绩效评价组织情况</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根据《益阳市</w:t>
      </w:r>
      <w:r>
        <w:rPr>
          <w:rFonts w:hint="eastAsia" w:ascii="仿宋" w:hAnsi="仿宋" w:eastAsia="仿宋" w:cs="仿宋"/>
          <w:color w:val="000000"/>
          <w:kern w:val="0"/>
          <w:sz w:val="30"/>
          <w:szCs w:val="30"/>
          <w:lang w:eastAsia="zh-CN"/>
        </w:rPr>
        <w:t>资阳区</w:t>
      </w:r>
      <w:r>
        <w:rPr>
          <w:rFonts w:hint="eastAsia" w:ascii="仿宋" w:hAnsi="仿宋" w:eastAsia="仿宋" w:cs="仿宋"/>
          <w:color w:val="000000"/>
          <w:kern w:val="0"/>
          <w:sz w:val="30"/>
          <w:szCs w:val="30"/>
        </w:rPr>
        <w:t>财政局关于开展2022年度部门绩效自评工作的通知》文件要求，我</w:t>
      </w:r>
      <w:r>
        <w:rPr>
          <w:rFonts w:hint="eastAsia" w:ascii="仿宋" w:hAnsi="仿宋" w:eastAsia="仿宋" w:cs="仿宋"/>
          <w:color w:val="000000"/>
          <w:kern w:val="0"/>
          <w:sz w:val="30"/>
          <w:szCs w:val="30"/>
          <w:lang w:eastAsia="zh-CN"/>
        </w:rPr>
        <w:t>中心</w:t>
      </w:r>
      <w:r>
        <w:rPr>
          <w:rFonts w:hint="eastAsia" w:ascii="仿宋" w:hAnsi="仿宋" w:eastAsia="仿宋" w:cs="仿宋"/>
          <w:color w:val="000000"/>
          <w:kern w:val="0"/>
          <w:sz w:val="30"/>
          <w:szCs w:val="30"/>
        </w:rPr>
        <w:t>成立了由局办公室牵头，各独立核算单位财务负责人及经办人、专项资金管理科室负责人及经办人组成的绩效自评工作小组，本着实事求是的原则，通过核实数据、收集资料、归纳汇总、认真分析和客观评价，对本部门的整体支出进行了绩效自评。此次评价的对象包括本部门的基本支出和项目支出在内的部门整体支出。</w:t>
      </w:r>
    </w:p>
    <w:p>
      <w:pPr>
        <w:widowControl/>
        <w:shd w:val="clear" w:color="auto" w:fill="FFFFFF"/>
        <w:spacing w:line="600" w:lineRule="atLeast"/>
        <w:ind w:firstLine="64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（二）部门职责履行情况</w:t>
      </w:r>
    </w:p>
    <w:p>
      <w:pPr>
        <w:widowControl/>
        <w:shd w:val="clear" w:color="auto" w:fill="FFFFFF"/>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2022</w:t>
      </w:r>
      <w:r>
        <w:rPr>
          <w:rFonts w:hint="eastAsia" w:ascii="仿宋" w:hAnsi="仿宋" w:eastAsia="仿宋" w:cs="仿宋"/>
          <w:color w:val="000000"/>
          <w:kern w:val="0"/>
          <w:sz w:val="30"/>
          <w:szCs w:val="30"/>
          <w:shd w:val="clear" w:color="auto" w:fill="FFFFFF"/>
        </w:rPr>
        <w:t>年，在</w:t>
      </w:r>
      <w:r>
        <w:rPr>
          <w:rFonts w:hint="eastAsia" w:ascii="仿宋" w:hAnsi="仿宋" w:eastAsia="仿宋" w:cs="仿宋"/>
          <w:color w:val="000000"/>
          <w:kern w:val="0"/>
          <w:sz w:val="30"/>
          <w:szCs w:val="30"/>
          <w:shd w:val="clear" w:color="auto" w:fill="FFFFFF"/>
          <w:lang w:eastAsia="zh-CN"/>
        </w:rPr>
        <w:t>区</w:t>
      </w:r>
      <w:r>
        <w:rPr>
          <w:rFonts w:hint="eastAsia" w:ascii="仿宋" w:hAnsi="仿宋" w:eastAsia="仿宋" w:cs="仿宋"/>
          <w:color w:val="000000"/>
          <w:kern w:val="0"/>
          <w:sz w:val="30"/>
          <w:szCs w:val="30"/>
          <w:shd w:val="clear" w:color="auto" w:fill="FFFFFF"/>
        </w:rPr>
        <w:t>委、</w:t>
      </w:r>
      <w:r>
        <w:rPr>
          <w:rFonts w:hint="eastAsia" w:ascii="仿宋" w:hAnsi="仿宋" w:eastAsia="仿宋" w:cs="仿宋"/>
          <w:color w:val="000000"/>
          <w:kern w:val="0"/>
          <w:sz w:val="30"/>
          <w:szCs w:val="30"/>
          <w:shd w:val="clear" w:color="auto" w:fill="FFFFFF"/>
          <w:lang w:eastAsia="zh-CN"/>
        </w:rPr>
        <w:t>区</w:t>
      </w:r>
      <w:r>
        <w:rPr>
          <w:rFonts w:hint="eastAsia" w:ascii="仿宋" w:hAnsi="仿宋" w:eastAsia="仿宋" w:cs="仿宋"/>
          <w:color w:val="000000"/>
          <w:kern w:val="0"/>
          <w:sz w:val="30"/>
          <w:szCs w:val="30"/>
          <w:shd w:val="clear" w:color="auto" w:fill="FFFFFF"/>
        </w:rPr>
        <w:t>政府的坚强领导下，</w:t>
      </w:r>
      <w:r>
        <w:rPr>
          <w:rFonts w:hint="eastAsia" w:ascii="仿宋" w:hAnsi="仿宋" w:eastAsia="仿宋" w:cs="仿宋"/>
          <w:color w:val="000000"/>
          <w:kern w:val="0"/>
          <w:sz w:val="30"/>
          <w:szCs w:val="30"/>
          <w:shd w:val="clear" w:color="auto" w:fill="FFFFFF"/>
          <w:lang w:eastAsia="zh-CN"/>
        </w:rPr>
        <w:t>我中心以</w:t>
      </w:r>
      <w:r>
        <w:rPr>
          <w:rFonts w:hint="eastAsia" w:ascii="仿宋" w:hAnsi="仿宋" w:eastAsia="仿宋" w:cs="仿宋"/>
          <w:color w:val="000000"/>
          <w:kern w:val="0"/>
          <w:sz w:val="30"/>
          <w:szCs w:val="30"/>
          <w:shd w:val="clear" w:color="auto" w:fill="FFFFFF"/>
        </w:rPr>
        <w:t>迎接、学习、宣传、贯彻党的二十大为主线，全面落实</w:t>
      </w:r>
      <w:r>
        <w:rPr>
          <w:rFonts w:hint="eastAsia" w:ascii="仿宋" w:hAnsi="仿宋" w:eastAsia="仿宋" w:cs="仿宋"/>
          <w:color w:val="000000"/>
          <w:kern w:val="0"/>
          <w:sz w:val="30"/>
          <w:szCs w:val="30"/>
        </w:rPr>
        <w:t>“三高四新”战略定位和使命任务，积极推进“三大支撑八项重点工作”，加快推进</w:t>
      </w:r>
      <w:r>
        <w:rPr>
          <w:rFonts w:hint="eastAsia" w:ascii="仿宋" w:hAnsi="仿宋" w:eastAsia="仿宋" w:cs="仿宋"/>
          <w:color w:val="000000"/>
          <w:kern w:val="0"/>
          <w:sz w:val="30"/>
          <w:szCs w:val="30"/>
          <w:lang w:eastAsia="zh-CN"/>
        </w:rPr>
        <w:t>全区农业机械化</w:t>
      </w:r>
      <w:r>
        <w:rPr>
          <w:rFonts w:hint="eastAsia" w:ascii="仿宋" w:hAnsi="仿宋" w:eastAsia="仿宋" w:cs="仿宋"/>
          <w:color w:val="000000"/>
          <w:kern w:val="0"/>
          <w:sz w:val="30"/>
          <w:szCs w:val="30"/>
        </w:rPr>
        <w:t>，</w:t>
      </w:r>
      <w:r>
        <w:rPr>
          <w:rFonts w:hint="eastAsia" w:ascii="仿宋" w:hAnsi="仿宋" w:eastAsia="仿宋" w:cs="仿宋"/>
          <w:color w:val="auto"/>
          <w:kern w:val="0"/>
          <w:sz w:val="30"/>
          <w:szCs w:val="30"/>
          <w:lang w:eastAsia="zh-CN"/>
        </w:rPr>
        <w:t>培训农业机械化技术人员</w:t>
      </w:r>
      <w:r>
        <w:rPr>
          <w:rFonts w:hint="eastAsia" w:ascii="仿宋" w:hAnsi="仿宋" w:eastAsia="仿宋" w:cs="仿宋"/>
          <w:color w:val="auto"/>
          <w:kern w:val="0"/>
          <w:sz w:val="30"/>
          <w:szCs w:val="30"/>
          <w:shd w:val="clear" w:color="auto" w:fill="FFFFFF"/>
        </w:rPr>
        <w:t>，</w:t>
      </w:r>
      <w:r>
        <w:rPr>
          <w:rFonts w:hint="eastAsia" w:ascii="仿宋" w:hAnsi="仿宋" w:eastAsia="仿宋" w:cs="仿宋"/>
          <w:color w:val="000000"/>
          <w:kern w:val="0"/>
          <w:sz w:val="30"/>
          <w:szCs w:val="30"/>
          <w:shd w:val="clear" w:color="auto" w:fill="FFFFFF"/>
        </w:rPr>
        <w:t>交出了一份难中求成、难能可贵的发展答卷。</w:t>
      </w:r>
    </w:p>
    <w:p>
      <w:pPr>
        <w:keepNext w:val="0"/>
        <w:keepLines w:val="0"/>
        <w:pageBreakBefore w:val="0"/>
        <w:widowControl w:val="0"/>
        <w:kinsoku/>
        <w:wordWrap/>
        <w:overflowPunct/>
        <w:topLinePunct w:val="0"/>
        <w:autoSpaceDE w:val="0"/>
        <w:autoSpaceDN w:val="0"/>
        <w:bidi w:val="0"/>
        <w:adjustRightInd/>
        <w:snapToGrid/>
        <w:spacing w:line="592"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树立“四个意识”情况</w:t>
      </w:r>
    </w:p>
    <w:p>
      <w:pPr>
        <w:keepNext w:val="0"/>
        <w:keepLines w:val="0"/>
        <w:pageBreakBefore w:val="0"/>
        <w:widowControl w:val="0"/>
        <w:kinsoku/>
        <w:wordWrap/>
        <w:overflowPunct/>
        <w:topLinePunct w:val="0"/>
        <w:autoSpaceDE w:val="0"/>
        <w:autoSpaceDN w:val="0"/>
        <w:bidi w:val="0"/>
        <w:adjustRightInd/>
        <w:snapToGrid/>
        <w:spacing w:line="592"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w:t>
      </w:r>
      <w:r>
        <w:rPr>
          <w:rFonts w:hint="eastAsia" w:ascii="仿宋" w:hAnsi="仿宋" w:eastAsia="仿宋" w:cs="仿宋"/>
          <w:sz w:val="30"/>
          <w:szCs w:val="30"/>
          <w:lang w:eastAsia="zh-CN"/>
        </w:rPr>
        <w:t>中心</w:t>
      </w:r>
      <w:r>
        <w:rPr>
          <w:rFonts w:hint="eastAsia" w:ascii="仿宋" w:hAnsi="仿宋" w:eastAsia="仿宋" w:cs="仿宋"/>
          <w:sz w:val="30"/>
          <w:szCs w:val="30"/>
        </w:rPr>
        <w:t>持续推进政治建设，强化理论武装，切实增强广大干部的政治意识、大局意识、核心意识、看齐意识，充分发挥了</w:t>
      </w:r>
      <w:r>
        <w:rPr>
          <w:rFonts w:hint="eastAsia" w:ascii="仿宋" w:hAnsi="仿宋" w:eastAsia="仿宋" w:cs="仿宋"/>
          <w:sz w:val="30"/>
          <w:szCs w:val="30"/>
          <w:lang w:eastAsia="zh-CN"/>
        </w:rPr>
        <w:t>中心</w:t>
      </w:r>
      <w:r>
        <w:rPr>
          <w:rFonts w:hint="eastAsia" w:ascii="仿宋" w:hAnsi="仿宋" w:eastAsia="仿宋" w:cs="仿宋"/>
          <w:sz w:val="30"/>
          <w:szCs w:val="30"/>
        </w:rPr>
        <w:t>党组的领导核心和政治核心作用。组织全</w:t>
      </w:r>
      <w:r>
        <w:rPr>
          <w:rFonts w:hint="eastAsia" w:ascii="仿宋" w:hAnsi="仿宋" w:eastAsia="仿宋" w:cs="仿宋"/>
          <w:sz w:val="30"/>
          <w:szCs w:val="30"/>
          <w:lang w:eastAsia="zh-CN"/>
        </w:rPr>
        <w:t>中心</w:t>
      </w:r>
      <w:r>
        <w:rPr>
          <w:rFonts w:hint="eastAsia" w:ascii="仿宋" w:hAnsi="仿宋" w:eastAsia="仿宋" w:cs="仿宋"/>
          <w:sz w:val="30"/>
          <w:szCs w:val="30"/>
        </w:rPr>
        <w:t>党员干部深入学习习近平新时代中国特色社会主义思想、习近平总书记系列</w:t>
      </w:r>
      <w:r>
        <w:rPr>
          <w:rFonts w:hint="eastAsia" w:ascii="仿宋" w:hAnsi="仿宋" w:eastAsia="仿宋" w:cs="仿宋"/>
          <w:sz w:val="30"/>
          <w:szCs w:val="30"/>
          <w:lang w:val="en-US" w:eastAsia="zh-CN"/>
        </w:rPr>
        <w:t>重要</w:t>
      </w:r>
      <w:bookmarkStart w:id="0" w:name="_GoBack"/>
      <w:bookmarkEnd w:id="0"/>
      <w:r>
        <w:rPr>
          <w:rFonts w:hint="eastAsia" w:ascii="仿宋" w:hAnsi="仿宋" w:eastAsia="仿宋" w:cs="仿宋"/>
          <w:sz w:val="30"/>
          <w:szCs w:val="30"/>
        </w:rPr>
        <w:t>讲话精神和省、市全会精神，积极开展</w:t>
      </w:r>
      <w:r>
        <w:rPr>
          <w:rFonts w:hint="eastAsia" w:ascii="仿宋" w:hAnsi="仿宋" w:eastAsia="仿宋" w:cs="仿宋"/>
          <w:sz w:val="30"/>
          <w:szCs w:val="30"/>
          <w:lang w:eastAsia="zh-CN"/>
        </w:rPr>
        <w:t>党史学习</w:t>
      </w:r>
      <w:r>
        <w:rPr>
          <w:rFonts w:hint="eastAsia" w:ascii="仿宋" w:hAnsi="仿宋" w:eastAsia="仿宋" w:cs="仿宋"/>
          <w:sz w:val="30"/>
          <w:szCs w:val="30"/>
        </w:rPr>
        <w:t>教育，切实把党员干部的思想和行动统一到中央、省委、市委和</w:t>
      </w:r>
      <w:r>
        <w:rPr>
          <w:rFonts w:hint="eastAsia" w:ascii="仿宋" w:hAnsi="仿宋" w:eastAsia="仿宋" w:cs="仿宋"/>
          <w:sz w:val="30"/>
          <w:szCs w:val="30"/>
          <w:lang w:eastAsia="zh-CN"/>
        </w:rPr>
        <w:t>区委</w:t>
      </w:r>
      <w:r>
        <w:rPr>
          <w:rFonts w:hint="eastAsia" w:ascii="仿宋" w:hAnsi="仿宋" w:eastAsia="仿宋" w:cs="仿宋"/>
          <w:sz w:val="30"/>
          <w:szCs w:val="30"/>
        </w:rPr>
        <w:t>的决策部署上来。全</w:t>
      </w:r>
      <w:r>
        <w:rPr>
          <w:rFonts w:hint="eastAsia" w:ascii="仿宋" w:hAnsi="仿宋" w:eastAsia="仿宋" w:cs="仿宋"/>
          <w:sz w:val="30"/>
          <w:szCs w:val="30"/>
          <w:lang w:eastAsia="zh-CN"/>
        </w:rPr>
        <w:t>中心</w:t>
      </w:r>
      <w:r>
        <w:rPr>
          <w:rFonts w:hint="eastAsia" w:ascii="仿宋" w:hAnsi="仿宋" w:eastAsia="仿宋" w:cs="仿宋"/>
          <w:sz w:val="30"/>
          <w:szCs w:val="30"/>
        </w:rPr>
        <w:t>党员干部党性修养、组织观念、政治纪律和政治规矩全面提升，风清气正</w:t>
      </w:r>
      <w:r>
        <w:rPr>
          <w:rFonts w:hint="eastAsia" w:ascii="仿宋" w:hAnsi="仿宋" w:eastAsia="仿宋" w:cs="仿宋"/>
          <w:sz w:val="30"/>
          <w:szCs w:val="30"/>
          <w:lang w:eastAsia="zh-CN"/>
        </w:rPr>
        <w:t>的</w:t>
      </w:r>
      <w:r>
        <w:rPr>
          <w:rFonts w:hint="eastAsia" w:ascii="仿宋" w:hAnsi="仿宋" w:eastAsia="仿宋" w:cs="仿宋"/>
          <w:sz w:val="30"/>
          <w:szCs w:val="30"/>
        </w:rPr>
        <w:t>良好政治氛围进一步增强。</w:t>
      </w:r>
    </w:p>
    <w:p>
      <w:pPr>
        <w:keepNext w:val="0"/>
        <w:keepLines w:val="0"/>
        <w:pageBreakBefore w:val="0"/>
        <w:widowControl w:val="0"/>
        <w:kinsoku/>
        <w:wordWrap/>
        <w:overflowPunct/>
        <w:topLinePunct w:val="0"/>
        <w:autoSpaceDE w:val="0"/>
        <w:autoSpaceDN w:val="0"/>
        <w:bidi w:val="0"/>
        <w:adjustRightInd/>
        <w:snapToGrid/>
        <w:spacing w:line="592"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领导班子建设情况</w:t>
      </w:r>
    </w:p>
    <w:p>
      <w:pPr>
        <w:keepNext w:val="0"/>
        <w:keepLines w:val="0"/>
        <w:pageBreakBefore w:val="0"/>
        <w:widowControl w:val="0"/>
        <w:kinsoku/>
        <w:wordWrap/>
        <w:overflowPunct/>
        <w:topLinePunct w:val="0"/>
        <w:autoSpaceDE w:val="0"/>
        <w:autoSpaceDN w:val="0"/>
        <w:bidi w:val="0"/>
        <w:adjustRightInd/>
        <w:snapToGrid/>
        <w:spacing w:line="592"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w:t>
      </w:r>
      <w:r>
        <w:rPr>
          <w:rFonts w:hint="eastAsia" w:ascii="仿宋" w:hAnsi="仿宋" w:eastAsia="仿宋" w:cs="仿宋"/>
          <w:sz w:val="30"/>
          <w:szCs w:val="30"/>
          <w:lang w:eastAsia="zh-CN"/>
        </w:rPr>
        <w:t>中心</w:t>
      </w:r>
      <w:r>
        <w:rPr>
          <w:rFonts w:hint="eastAsia" w:ascii="仿宋" w:hAnsi="仿宋" w:eastAsia="仿宋" w:cs="仿宋"/>
          <w:sz w:val="30"/>
          <w:szCs w:val="30"/>
        </w:rPr>
        <w:t>坚持把提高凝聚力、战斗力、执行力、创新力做为领导班子建设的工作重点。</w:t>
      </w:r>
      <w:r>
        <w:rPr>
          <w:rFonts w:hint="eastAsia" w:ascii="仿宋" w:hAnsi="仿宋" w:eastAsia="仿宋" w:cs="仿宋"/>
          <w:b/>
          <w:bCs/>
          <w:sz w:val="30"/>
          <w:szCs w:val="30"/>
        </w:rPr>
        <w:t>一是严格执行民主集中制。</w:t>
      </w:r>
      <w:r>
        <w:rPr>
          <w:rFonts w:hint="eastAsia" w:ascii="仿宋" w:hAnsi="仿宋" w:eastAsia="仿宋" w:cs="仿宋"/>
          <w:sz w:val="30"/>
          <w:szCs w:val="30"/>
        </w:rPr>
        <w:t>本着“集体领导、民主集中、个别酝酿、会议决定”的原则，严格按照民主集中制的要求和程序办事，党组书记和各班子成员各司其职，做到了心往一处想、劲往一处使。召开党组会议、</w:t>
      </w:r>
      <w:r>
        <w:rPr>
          <w:rFonts w:hint="eastAsia" w:ascii="仿宋" w:hAnsi="仿宋" w:eastAsia="仿宋" w:cs="仿宋"/>
          <w:sz w:val="30"/>
          <w:szCs w:val="30"/>
          <w:lang w:eastAsia="zh-CN"/>
        </w:rPr>
        <w:t>中心</w:t>
      </w:r>
      <w:r>
        <w:rPr>
          <w:rFonts w:hint="eastAsia" w:ascii="仿宋" w:hAnsi="仿宋" w:eastAsia="仿宋" w:cs="仿宋"/>
          <w:sz w:val="30"/>
          <w:szCs w:val="30"/>
        </w:rPr>
        <w:t>办公会议</w:t>
      </w:r>
      <w:r>
        <w:rPr>
          <w:rFonts w:hint="eastAsia" w:ascii="仿宋" w:hAnsi="仿宋" w:eastAsia="仿宋" w:cs="仿宋"/>
          <w:sz w:val="30"/>
          <w:szCs w:val="30"/>
          <w:lang w:eastAsia="zh-CN"/>
        </w:rPr>
        <w:t>等</w:t>
      </w:r>
      <w:r>
        <w:rPr>
          <w:rFonts w:hint="eastAsia" w:ascii="仿宋" w:hAnsi="仿宋" w:eastAsia="仿宋" w:cs="仿宋"/>
          <w:sz w:val="30"/>
          <w:szCs w:val="30"/>
          <w:lang w:val="en-US" w:eastAsia="zh-CN"/>
        </w:rPr>
        <w:t>28</w:t>
      </w:r>
      <w:r>
        <w:rPr>
          <w:rFonts w:hint="eastAsia" w:ascii="仿宋" w:hAnsi="仿宋" w:eastAsia="仿宋" w:cs="仿宋"/>
          <w:sz w:val="30"/>
          <w:szCs w:val="30"/>
        </w:rPr>
        <w:t>次，对“三重一大”及重点工作、重要决策进行集体讨论研究决定。</w:t>
      </w:r>
      <w:r>
        <w:rPr>
          <w:rFonts w:hint="eastAsia" w:ascii="仿宋" w:hAnsi="仿宋" w:eastAsia="仿宋" w:cs="仿宋"/>
          <w:b/>
          <w:bCs/>
          <w:sz w:val="30"/>
          <w:szCs w:val="30"/>
        </w:rPr>
        <w:t>二是高质量召开民主生活会。</w:t>
      </w:r>
      <w:r>
        <w:rPr>
          <w:rFonts w:hint="eastAsia" w:ascii="仿宋" w:hAnsi="仿宋" w:eastAsia="仿宋" w:cs="仿宋"/>
          <w:sz w:val="30"/>
          <w:szCs w:val="30"/>
        </w:rPr>
        <w:t>累计召开了</w:t>
      </w:r>
      <w:r>
        <w:rPr>
          <w:rFonts w:hint="eastAsia" w:ascii="仿宋" w:hAnsi="仿宋" w:eastAsia="仿宋" w:cs="仿宋"/>
          <w:sz w:val="30"/>
          <w:szCs w:val="30"/>
          <w:lang w:val="en-US" w:eastAsia="zh-CN"/>
        </w:rPr>
        <w:t>2</w:t>
      </w:r>
      <w:r>
        <w:rPr>
          <w:rFonts w:hint="eastAsia" w:ascii="仿宋" w:hAnsi="仿宋" w:eastAsia="仿宋" w:cs="仿宋"/>
          <w:sz w:val="30"/>
          <w:szCs w:val="30"/>
        </w:rPr>
        <w:t>次专题民主生活会，班子成员按照会议主题亲自撰写对照材料，会上积极开展批评和自我批评，班子成员在交换意见、沟通思想、总结经验的过程中达到了统一思想，提高自身综合素质的目的。</w:t>
      </w:r>
    </w:p>
    <w:p>
      <w:pPr>
        <w:keepNext w:val="0"/>
        <w:keepLines w:val="0"/>
        <w:pageBreakBefore w:val="0"/>
        <w:widowControl w:val="0"/>
        <w:kinsoku/>
        <w:wordWrap/>
        <w:overflowPunct/>
        <w:topLinePunct w:val="0"/>
        <w:autoSpaceDE w:val="0"/>
        <w:autoSpaceDN w:val="0"/>
        <w:bidi w:val="0"/>
        <w:adjustRightInd/>
        <w:snapToGrid/>
        <w:spacing w:line="592"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选人用人情况</w:t>
      </w:r>
    </w:p>
    <w:p>
      <w:pPr>
        <w:keepNext w:val="0"/>
        <w:keepLines w:val="0"/>
        <w:pageBreakBefore w:val="0"/>
        <w:widowControl w:val="0"/>
        <w:kinsoku/>
        <w:wordWrap/>
        <w:overflowPunct/>
        <w:topLinePunct w:val="0"/>
        <w:autoSpaceDE w:val="0"/>
        <w:autoSpaceDN w:val="0"/>
        <w:bidi w:val="0"/>
        <w:adjustRightInd/>
        <w:snapToGrid/>
        <w:spacing w:line="592"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认真贯彻执行党的干部路线方针政策，坚持党管干部、任人唯贤、德才兼备、以德优先、注重实绩、群众公认的原则。</w:t>
      </w:r>
      <w:r>
        <w:rPr>
          <w:rFonts w:hint="eastAsia" w:ascii="仿宋" w:hAnsi="仿宋" w:eastAsia="仿宋" w:cs="仿宋"/>
          <w:b/>
          <w:bCs/>
          <w:sz w:val="30"/>
          <w:szCs w:val="30"/>
        </w:rPr>
        <w:t>一是树立正确的用人导向。</w:t>
      </w:r>
      <w:r>
        <w:rPr>
          <w:rFonts w:hint="eastAsia" w:ascii="仿宋" w:hAnsi="仿宋" w:eastAsia="仿宋" w:cs="仿宋"/>
          <w:sz w:val="30"/>
          <w:szCs w:val="30"/>
        </w:rPr>
        <w:t>坚持把“树正气、在状态、敢担当、重实干、顾大局”的干部选拔到</w:t>
      </w:r>
      <w:r>
        <w:rPr>
          <w:rFonts w:hint="eastAsia" w:ascii="仿宋" w:hAnsi="仿宋" w:eastAsia="仿宋" w:cs="仿宋"/>
          <w:sz w:val="30"/>
          <w:szCs w:val="30"/>
          <w:lang w:eastAsia="zh-CN"/>
        </w:rPr>
        <w:t>股室</w:t>
      </w:r>
      <w:r>
        <w:rPr>
          <w:rFonts w:hint="eastAsia" w:ascii="仿宋" w:hAnsi="仿宋" w:eastAsia="仿宋" w:cs="仿宋"/>
          <w:sz w:val="30"/>
          <w:szCs w:val="30"/>
        </w:rPr>
        <w:t>岗位。近年新任职的干部在各自岗位上想事、干事，担当、作为，赢得了全</w:t>
      </w:r>
      <w:r>
        <w:rPr>
          <w:rFonts w:hint="eastAsia" w:ascii="仿宋" w:hAnsi="仿宋" w:eastAsia="仿宋" w:cs="仿宋"/>
          <w:sz w:val="30"/>
          <w:szCs w:val="30"/>
          <w:lang w:eastAsia="zh-CN"/>
        </w:rPr>
        <w:t>中心</w:t>
      </w:r>
      <w:r>
        <w:rPr>
          <w:rFonts w:hint="eastAsia" w:ascii="仿宋" w:hAnsi="仿宋" w:eastAsia="仿宋" w:cs="仿宋"/>
          <w:sz w:val="30"/>
          <w:szCs w:val="30"/>
        </w:rPr>
        <w:t>干部职工一致好评。</w:t>
      </w:r>
      <w:r>
        <w:rPr>
          <w:rFonts w:hint="eastAsia" w:ascii="仿宋" w:hAnsi="仿宋" w:eastAsia="仿宋" w:cs="仿宋"/>
          <w:b/>
          <w:bCs/>
          <w:sz w:val="30"/>
          <w:szCs w:val="30"/>
        </w:rPr>
        <w:t>二是强化干部任用流程监管。</w:t>
      </w:r>
      <w:r>
        <w:rPr>
          <w:rFonts w:hint="eastAsia" w:ascii="仿宋" w:hAnsi="仿宋" w:eastAsia="仿宋" w:cs="仿宋"/>
          <w:sz w:val="30"/>
          <w:szCs w:val="30"/>
        </w:rPr>
        <w:t>严格履行干部选拔任用、民主推荐、考察、讨论决定等组织程序，强化党组织领导和把关作用，抓好选育管用各个环节，切实把德才兼备、业绩突出的优秀人才充实到</w:t>
      </w:r>
      <w:r>
        <w:rPr>
          <w:rFonts w:hint="eastAsia" w:ascii="仿宋" w:hAnsi="仿宋" w:eastAsia="仿宋" w:cs="仿宋"/>
          <w:sz w:val="30"/>
          <w:szCs w:val="30"/>
          <w:lang w:eastAsia="zh-CN"/>
        </w:rPr>
        <w:t>重要岗位</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val="0"/>
        <w:autoSpaceDN w:val="0"/>
        <w:bidi w:val="0"/>
        <w:adjustRightInd/>
        <w:snapToGrid/>
        <w:spacing w:line="592" w:lineRule="exact"/>
        <w:ind w:firstLine="602" w:firstLineChars="200"/>
        <w:textAlignment w:val="auto"/>
        <w:outlineLvl w:val="0"/>
        <w:rPr>
          <w:rFonts w:hint="eastAsia" w:ascii="仿宋" w:hAnsi="仿宋" w:eastAsia="仿宋" w:cs="仿宋"/>
          <w:sz w:val="30"/>
          <w:szCs w:val="30"/>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遵守政治纪律和政治规矩方面</w:t>
      </w:r>
      <w:r>
        <w:rPr>
          <w:rFonts w:hint="eastAsia" w:ascii="仿宋" w:hAnsi="仿宋" w:eastAsia="仿宋" w:cs="仿宋"/>
          <w:b/>
          <w:bCs/>
          <w:sz w:val="30"/>
          <w:szCs w:val="30"/>
          <w:lang w:eastAsia="zh-CN"/>
        </w:rPr>
        <w:t>。</w:t>
      </w:r>
      <w:r>
        <w:rPr>
          <w:rFonts w:hint="eastAsia" w:ascii="仿宋" w:hAnsi="仿宋" w:eastAsia="仿宋" w:cs="仿宋"/>
          <w:b/>
          <w:bCs/>
          <w:sz w:val="30"/>
          <w:szCs w:val="30"/>
        </w:rPr>
        <w:t>一是严格落实请示报告制度。</w:t>
      </w:r>
      <w:r>
        <w:rPr>
          <w:rFonts w:hint="eastAsia" w:ascii="仿宋" w:hAnsi="仿宋" w:eastAsia="仿宋" w:cs="仿宋"/>
          <w:sz w:val="30"/>
          <w:szCs w:val="30"/>
        </w:rPr>
        <w:t>单位科级及以上干部均严格按要求报告个人重大事项，并严格按照</w:t>
      </w:r>
      <w:r>
        <w:rPr>
          <w:rFonts w:hint="eastAsia" w:ascii="仿宋" w:hAnsi="仿宋" w:eastAsia="仿宋" w:cs="仿宋"/>
          <w:sz w:val="30"/>
          <w:szCs w:val="30"/>
          <w:lang w:eastAsia="zh-CN"/>
        </w:rPr>
        <w:t>区</w:t>
      </w:r>
      <w:r>
        <w:rPr>
          <w:rFonts w:hint="eastAsia" w:ascii="仿宋" w:hAnsi="仿宋" w:eastAsia="仿宋" w:cs="仿宋"/>
          <w:sz w:val="30"/>
          <w:szCs w:val="30"/>
        </w:rPr>
        <w:t>委</w:t>
      </w:r>
      <w:r>
        <w:rPr>
          <w:rFonts w:hint="eastAsia" w:ascii="仿宋" w:hAnsi="仿宋" w:eastAsia="仿宋" w:cs="仿宋"/>
          <w:sz w:val="30"/>
          <w:szCs w:val="30"/>
          <w:lang w:eastAsia="zh-CN"/>
        </w:rPr>
        <w:t>关于</w:t>
      </w:r>
      <w:r>
        <w:rPr>
          <w:rFonts w:hint="eastAsia" w:ascii="仿宋" w:hAnsi="仿宋" w:eastAsia="仿宋" w:cs="仿宋"/>
          <w:sz w:val="30"/>
          <w:szCs w:val="30"/>
        </w:rPr>
        <w:t>领导干部请销假及党员领导干部操办婚丧喜庆事宜相关规定，做到干部外出履行书面请假及备案手续，办理婚丧喜庆事宜履行报批备案手续。同时，坚持重要工作和重要事项及时向</w:t>
      </w:r>
      <w:r>
        <w:rPr>
          <w:rFonts w:hint="eastAsia" w:ascii="仿宋" w:hAnsi="仿宋" w:eastAsia="仿宋" w:cs="仿宋"/>
          <w:sz w:val="30"/>
          <w:szCs w:val="30"/>
          <w:lang w:eastAsia="zh-CN"/>
        </w:rPr>
        <w:t>区委</w:t>
      </w:r>
      <w:r>
        <w:rPr>
          <w:rFonts w:hint="eastAsia" w:ascii="仿宋" w:hAnsi="仿宋" w:eastAsia="仿宋" w:cs="仿宋"/>
          <w:sz w:val="30"/>
          <w:szCs w:val="30"/>
        </w:rPr>
        <w:t>、</w:t>
      </w:r>
      <w:r>
        <w:rPr>
          <w:rFonts w:hint="eastAsia" w:ascii="仿宋" w:hAnsi="仿宋" w:eastAsia="仿宋" w:cs="仿宋"/>
          <w:sz w:val="30"/>
          <w:szCs w:val="30"/>
          <w:lang w:eastAsia="zh-CN"/>
        </w:rPr>
        <w:t>区政府</w:t>
      </w:r>
      <w:r>
        <w:rPr>
          <w:rFonts w:hint="eastAsia" w:ascii="仿宋" w:hAnsi="仿宋" w:eastAsia="仿宋" w:cs="仿宋"/>
          <w:sz w:val="30"/>
          <w:szCs w:val="30"/>
        </w:rPr>
        <w:t>请示报告，单位不存在团团伙伙、弄虚作假等现象。</w:t>
      </w:r>
      <w:r>
        <w:rPr>
          <w:rFonts w:hint="eastAsia" w:ascii="仿宋" w:hAnsi="仿宋" w:eastAsia="仿宋" w:cs="仿宋"/>
          <w:b/>
          <w:bCs/>
          <w:sz w:val="30"/>
          <w:szCs w:val="30"/>
        </w:rPr>
        <w:t>二是全面落实党风廉政建设责任制。</w:t>
      </w:r>
      <w:r>
        <w:rPr>
          <w:rFonts w:hint="eastAsia" w:ascii="仿宋" w:hAnsi="仿宋" w:eastAsia="仿宋" w:cs="仿宋"/>
          <w:sz w:val="30"/>
          <w:szCs w:val="30"/>
        </w:rPr>
        <w:t>切实履行党风廉政建设主体责任，主要负责人对党风廉政建设工作做到了亲自部署、协调、督办，班子成员认真抓好职责范围内的党风廉政建设，确保“一岗双责”落实到位，并层层传导责任压力，确保责任明确，同时，严格落实廉政</w:t>
      </w:r>
      <w:r>
        <w:rPr>
          <w:rFonts w:hint="eastAsia" w:ascii="仿宋" w:hAnsi="仿宋" w:eastAsia="仿宋" w:cs="仿宋"/>
          <w:sz w:val="30"/>
          <w:szCs w:val="30"/>
          <w:lang w:eastAsia="zh-CN"/>
        </w:rPr>
        <w:t>谈话</w:t>
      </w:r>
      <w:r>
        <w:rPr>
          <w:rFonts w:hint="eastAsia" w:ascii="仿宋" w:hAnsi="仿宋" w:eastAsia="仿宋" w:cs="仿宋"/>
          <w:sz w:val="30"/>
          <w:szCs w:val="30"/>
        </w:rPr>
        <w:t>制度，主要负责人与班子成员，班子成员与分管</w:t>
      </w:r>
      <w:r>
        <w:rPr>
          <w:rFonts w:hint="eastAsia" w:ascii="仿宋" w:hAnsi="仿宋" w:eastAsia="仿宋" w:cs="仿宋"/>
          <w:sz w:val="30"/>
          <w:szCs w:val="30"/>
          <w:lang w:eastAsia="zh-CN"/>
        </w:rPr>
        <w:t>股</w:t>
      </w:r>
      <w:r>
        <w:rPr>
          <w:rFonts w:hint="eastAsia" w:ascii="仿宋" w:hAnsi="仿宋" w:eastAsia="仿宋" w:cs="仿宋"/>
          <w:sz w:val="30"/>
          <w:szCs w:val="30"/>
        </w:rPr>
        <w:t>室负责人、</w:t>
      </w:r>
      <w:r>
        <w:rPr>
          <w:rFonts w:hint="eastAsia" w:ascii="仿宋" w:hAnsi="仿宋" w:eastAsia="仿宋" w:cs="仿宋"/>
          <w:sz w:val="30"/>
          <w:szCs w:val="30"/>
          <w:lang w:eastAsia="zh-CN"/>
        </w:rPr>
        <w:t>股</w:t>
      </w:r>
      <w:r>
        <w:rPr>
          <w:rFonts w:hint="eastAsia" w:ascii="仿宋" w:hAnsi="仿宋" w:eastAsia="仿宋" w:cs="仿宋"/>
          <w:sz w:val="30"/>
          <w:szCs w:val="30"/>
        </w:rPr>
        <w:t>室负责人与</w:t>
      </w:r>
      <w:r>
        <w:rPr>
          <w:rFonts w:hint="eastAsia" w:ascii="仿宋" w:hAnsi="仿宋" w:eastAsia="仿宋" w:cs="仿宋"/>
          <w:sz w:val="30"/>
          <w:szCs w:val="30"/>
          <w:lang w:eastAsia="zh-CN"/>
        </w:rPr>
        <w:t>股</w:t>
      </w:r>
      <w:r>
        <w:rPr>
          <w:rFonts w:hint="eastAsia" w:ascii="仿宋" w:hAnsi="仿宋" w:eastAsia="仿宋" w:cs="仿宋"/>
          <w:sz w:val="30"/>
          <w:szCs w:val="30"/>
        </w:rPr>
        <w:t>室工作人员定期开展廉政</w:t>
      </w:r>
      <w:r>
        <w:rPr>
          <w:rFonts w:hint="eastAsia" w:ascii="仿宋" w:hAnsi="仿宋" w:eastAsia="仿宋" w:cs="仿宋"/>
          <w:sz w:val="30"/>
          <w:szCs w:val="30"/>
          <w:lang w:eastAsia="zh-CN"/>
        </w:rPr>
        <w:t>谈话</w:t>
      </w:r>
      <w:r>
        <w:rPr>
          <w:rFonts w:hint="eastAsia" w:ascii="仿宋" w:hAnsi="仿宋" w:eastAsia="仿宋" w:cs="仿宋"/>
          <w:sz w:val="30"/>
          <w:szCs w:val="30"/>
        </w:rPr>
        <w:t>制度，在全</w:t>
      </w:r>
      <w:r>
        <w:rPr>
          <w:rFonts w:hint="eastAsia" w:ascii="仿宋" w:hAnsi="仿宋" w:eastAsia="仿宋" w:cs="仿宋"/>
          <w:sz w:val="30"/>
          <w:szCs w:val="30"/>
          <w:lang w:eastAsia="zh-CN"/>
        </w:rPr>
        <w:t>中心</w:t>
      </w:r>
      <w:r>
        <w:rPr>
          <w:rFonts w:hint="eastAsia" w:ascii="仿宋" w:hAnsi="仿宋" w:eastAsia="仿宋" w:cs="仿宋"/>
          <w:sz w:val="30"/>
          <w:szCs w:val="30"/>
        </w:rPr>
        <w:t>形成了“一把手”负总责，班子成员对分管</w:t>
      </w:r>
      <w:r>
        <w:rPr>
          <w:rFonts w:hint="eastAsia" w:ascii="仿宋" w:hAnsi="仿宋" w:eastAsia="仿宋" w:cs="仿宋"/>
          <w:sz w:val="30"/>
          <w:szCs w:val="30"/>
          <w:lang w:eastAsia="zh-CN"/>
        </w:rPr>
        <w:t>股</w:t>
      </w:r>
      <w:r>
        <w:rPr>
          <w:rFonts w:hint="eastAsia" w:ascii="仿宋" w:hAnsi="仿宋" w:eastAsia="仿宋" w:cs="仿宋"/>
          <w:sz w:val="30"/>
          <w:szCs w:val="30"/>
        </w:rPr>
        <w:t>室负全责，</w:t>
      </w:r>
      <w:r>
        <w:rPr>
          <w:rFonts w:hint="eastAsia" w:ascii="仿宋" w:hAnsi="仿宋" w:eastAsia="仿宋" w:cs="仿宋"/>
          <w:sz w:val="30"/>
          <w:szCs w:val="30"/>
          <w:lang w:eastAsia="zh-CN"/>
        </w:rPr>
        <w:t>股</w:t>
      </w:r>
      <w:r>
        <w:rPr>
          <w:rFonts w:hint="eastAsia" w:ascii="仿宋" w:hAnsi="仿宋" w:eastAsia="仿宋" w:cs="仿宋"/>
          <w:sz w:val="30"/>
          <w:szCs w:val="30"/>
        </w:rPr>
        <w:t>室负责人具体负责，一级抓一级，层层抓落实的工作格局。</w:t>
      </w:r>
      <w:r>
        <w:rPr>
          <w:rFonts w:hint="eastAsia" w:ascii="仿宋" w:hAnsi="仿宋" w:eastAsia="仿宋" w:cs="仿宋"/>
          <w:b/>
          <w:bCs/>
          <w:sz w:val="30"/>
          <w:szCs w:val="30"/>
        </w:rPr>
        <w:t>三是严格执行中央八项规定，驰而不息反对“四风”。</w:t>
      </w:r>
      <w:r>
        <w:rPr>
          <w:rFonts w:hint="eastAsia" w:ascii="仿宋" w:hAnsi="仿宋" w:eastAsia="仿宋" w:cs="仿宋"/>
          <w:sz w:val="30"/>
          <w:szCs w:val="30"/>
        </w:rPr>
        <w:t>相继制定了公文处理、厉行勤俭节约、调查研究等相关制度，严格落实会议活动报批程序，按照党政机关信息化建设要求，严格执行公务接待相关规定，按照中央相关文件精神，及时清理办公用房，并强化干部职工思想教育，跟紧学习《关于违反中央八项规定精神典型问题的通报》，促使干部职工以案反思，切实增强了干部职工反对“四风”的自觉性。同时，把牢重要节点关口，实行春节、元宵、清明、五一、国庆等重要节假日节前提醒，从严要求，严防奢靡之风，杜绝了“节日病”。</w:t>
      </w:r>
    </w:p>
    <w:p>
      <w:pPr>
        <w:pStyle w:val="6"/>
        <w:shd w:val="clear" w:color="auto" w:fill="FFFFFF"/>
        <w:spacing w:before="0" w:beforeAutospacing="0" w:after="0" w:afterAutospacing="0" w:line="600" w:lineRule="exact"/>
        <w:ind w:firstLine="452" w:firstLineChars="150"/>
        <w:jc w:val="both"/>
        <w:rPr>
          <w:rFonts w:hint="eastAsia" w:ascii="仿宋" w:hAnsi="仿宋" w:eastAsia="仿宋" w:cs="仿宋"/>
          <w:sz w:val="30"/>
          <w:szCs w:val="30"/>
        </w:rPr>
      </w:pPr>
      <w:r>
        <w:rPr>
          <w:rFonts w:hint="eastAsia" w:ascii="仿宋" w:hAnsi="仿宋" w:eastAsia="仿宋" w:cs="仿宋"/>
          <w:b/>
          <w:bCs/>
          <w:color w:val="333333"/>
          <w:sz w:val="30"/>
          <w:szCs w:val="30"/>
        </w:rPr>
        <w:t>扎实开展作风建设活动，</w:t>
      </w:r>
      <w:r>
        <w:rPr>
          <w:rFonts w:hint="eastAsia" w:ascii="仿宋" w:hAnsi="仿宋" w:eastAsia="仿宋" w:cs="仿宋"/>
          <w:b/>
          <w:bCs/>
          <w:sz w:val="30"/>
          <w:szCs w:val="30"/>
        </w:rPr>
        <w:t>狠抓农机事务中心队伍建设 。</w:t>
      </w:r>
      <w:r>
        <w:rPr>
          <w:rFonts w:hint="eastAsia" w:ascii="仿宋" w:hAnsi="仿宋" w:eastAsia="仿宋" w:cs="仿宋"/>
          <w:sz w:val="30"/>
          <w:szCs w:val="30"/>
        </w:rPr>
        <w:t>我中心把作风建设融入到农机工作中，通过内强素质、外树形象、标本兼治和纠建并举，工作作风有了新转变，服务水平有了新提升，行业风气有了新改善。 一是加强学习教育，全面提升党员素质。 通过多种形式的学习教育活动，使广大党员干部的党性修养和理论素养、党纪党规意识不断得到提升。二是学做结合，全力推进党日活动。结合每月9号的党员活动日，开展形式多样的党员活动日，如下乡开展扶贫、组织农机服务等活动。三是精准发力，助力乡村振兴。以“党建+乡村振兴”工作为核心，组建梅花园村、南丰村定点帮扶驻村干部队伍，到村入户，摸清情况，核准台账信息，认真研究，调研产业发展方向，积极发挥党组织领导核心作用，实现助力乡村振兴与基层党建整体“双赢”。</w:t>
      </w:r>
    </w:p>
    <w:p>
      <w:pPr>
        <w:pStyle w:val="6"/>
        <w:shd w:val="clear" w:color="auto" w:fill="FFFFFF"/>
        <w:spacing w:before="0" w:beforeAutospacing="0" w:after="0" w:afterAutospacing="0" w:line="600" w:lineRule="exact"/>
        <w:ind w:firstLine="645"/>
        <w:jc w:val="both"/>
        <w:rPr>
          <w:rFonts w:hint="eastAsia" w:ascii="仿宋" w:hAnsi="仿宋" w:eastAsia="仿宋" w:cs="仿宋"/>
          <w:color w:val="333333"/>
          <w:sz w:val="30"/>
          <w:szCs w:val="30"/>
        </w:rPr>
      </w:pPr>
      <w:r>
        <w:rPr>
          <w:rFonts w:hint="eastAsia" w:ascii="仿宋" w:hAnsi="仿宋" w:eastAsia="仿宋" w:cs="仿宋"/>
          <w:b/>
          <w:bCs/>
          <w:color w:val="333333"/>
          <w:sz w:val="30"/>
          <w:szCs w:val="30"/>
        </w:rPr>
        <w:t>全力搞好机械化生产技术服务工作。</w:t>
      </w:r>
      <w:r>
        <w:rPr>
          <w:rFonts w:hint="eastAsia" w:ascii="仿宋" w:hAnsi="仿宋" w:eastAsia="仿宋" w:cs="仿宋"/>
          <w:color w:val="333333"/>
          <w:sz w:val="30"/>
          <w:szCs w:val="30"/>
        </w:rPr>
        <w:t>在春耕农业生产中，我们强化服务，加强组织领导，精心组织协调，充分发挥了农机服务农业生产的作用。在农忙时节，</w:t>
      </w:r>
      <w:r>
        <w:rPr>
          <w:rFonts w:hint="eastAsia" w:ascii="仿宋" w:hAnsi="仿宋" w:eastAsia="仿宋" w:cs="仿宋"/>
          <w:color w:val="auto"/>
          <w:sz w:val="30"/>
          <w:szCs w:val="30"/>
        </w:rPr>
        <w:t>我中心组织农机技术人员90余人次深入到村户、田间地头，为农机户提供技术支持，确保农机具以良好的技术状态投入到农业</w:t>
      </w:r>
      <w:r>
        <w:rPr>
          <w:rFonts w:hint="eastAsia" w:ascii="仿宋" w:hAnsi="仿宋" w:eastAsia="仿宋" w:cs="仿宋"/>
          <w:color w:val="333333"/>
          <w:sz w:val="30"/>
          <w:szCs w:val="30"/>
        </w:rPr>
        <w:t>生产中去 。</w:t>
      </w:r>
    </w:p>
    <w:p>
      <w:pPr>
        <w:pStyle w:val="6"/>
        <w:shd w:val="clear" w:color="auto" w:fill="FFFFFF"/>
        <w:spacing w:before="0" w:beforeAutospacing="0" w:after="0" w:afterAutospacing="0" w:line="600" w:lineRule="exact"/>
        <w:ind w:firstLine="645"/>
        <w:jc w:val="both"/>
        <w:rPr>
          <w:rFonts w:hint="eastAsia" w:ascii="仿宋" w:hAnsi="仿宋" w:eastAsia="仿宋" w:cs="仿宋"/>
          <w:color w:val="auto"/>
          <w:sz w:val="30"/>
          <w:szCs w:val="30"/>
        </w:rPr>
      </w:pPr>
      <w:r>
        <w:rPr>
          <w:rFonts w:hint="eastAsia" w:ascii="仿宋" w:hAnsi="仿宋" w:eastAsia="仿宋" w:cs="仿宋"/>
          <w:b/>
          <w:bCs/>
          <w:color w:val="333333"/>
          <w:sz w:val="30"/>
          <w:szCs w:val="30"/>
        </w:rPr>
        <w:t>抓好新技术新机具的推广示范。</w:t>
      </w:r>
      <w:r>
        <w:rPr>
          <w:rFonts w:hint="eastAsia" w:ascii="仿宋" w:hAnsi="仿宋" w:eastAsia="仿宋" w:cs="仿宋"/>
          <w:color w:val="333333"/>
          <w:sz w:val="30"/>
          <w:szCs w:val="30"/>
        </w:rPr>
        <w:t>结合我区地形、地块实际，以及现有水稻生产机械的现状，主要推广高速插秧机、高速抛秧机、粮食烘干机、植保机械、北斗终端等，进一步提高了我区水稻生产全程机械化水平；其次是大力推广粮食加工机械，该机械的推广起到了示范带动作用，提高了粮食加工质量，增加了农民的收入。</w:t>
      </w:r>
      <w:r>
        <w:rPr>
          <w:rFonts w:hint="eastAsia" w:ascii="仿宋" w:hAnsi="仿宋" w:eastAsia="仿宋" w:cs="仿宋"/>
          <w:kern w:val="1"/>
          <w:sz w:val="30"/>
          <w:szCs w:val="30"/>
        </w:rPr>
        <w:t>我区继续加大水稻机械化栽种技术示范推广力度，努力破解水稻生产瓶颈，从技术培训、试点示范、集中育插秧基地建设等方面入手，不断提高水稻机械化作业水平。坚持早谋划、早安排、早启动，通过网络、演示会等多种平台宣传推介水稻机械化育插秧技术和政策，积极选派农机技术人员、农机合作组织、种粮大户参加水稻机械化栽种技术培训班，组织技术人员走村入户，现场指导农户秧盘育苗、机械作业、田间管理，为机插秧推广提供技术服务保障</w:t>
      </w:r>
      <w:r>
        <w:rPr>
          <w:rFonts w:hint="eastAsia" w:ascii="仿宋" w:hAnsi="仿宋" w:eastAsia="仿宋" w:cs="仿宋"/>
          <w:color w:val="auto"/>
          <w:kern w:val="1"/>
          <w:sz w:val="30"/>
          <w:szCs w:val="30"/>
        </w:rPr>
        <w:t>。截止目前，共主办机插机抛秧技术等内容的培训4期，培训育插秧机械化技术员220余人(次), 印发宣传、培训材料350多份,截至目前推广高速插秧机19台、高速抛秧机1</w:t>
      </w:r>
      <w:r>
        <w:rPr>
          <w:rFonts w:hint="eastAsia" w:ascii="仿宋" w:hAnsi="仿宋" w:eastAsia="仿宋" w:cs="仿宋"/>
          <w:color w:val="auto"/>
          <w:kern w:val="1"/>
          <w:sz w:val="30"/>
          <w:szCs w:val="30"/>
          <w:lang w:val="en-US" w:eastAsia="zh-CN"/>
        </w:rPr>
        <w:t>5</w:t>
      </w:r>
      <w:r>
        <w:rPr>
          <w:rFonts w:hint="eastAsia" w:ascii="仿宋" w:hAnsi="仿宋" w:eastAsia="仿宋" w:cs="仿宋"/>
          <w:color w:val="auto"/>
          <w:kern w:val="1"/>
          <w:sz w:val="30"/>
          <w:szCs w:val="30"/>
        </w:rPr>
        <w:t>台、粮食烘干机6台、植保机械56台、</w:t>
      </w:r>
      <w:r>
        <w:rPr>
          <w:rFonts w:hint="eastAsia" w:ascii="仿宋" w:hAnsi="仿宋" w:eastAsia="仿宋" w:cs="仿宋"/>
          <w:color w:val="auto"/>
          <w:sz w:val="30"/>
          <w:szCs w:val="30"/>
        </w:rPr>
        <w:t>北斗终端</w:t>
      </w:r>
      <w:r>
        <w:rPr>
          <w:rFonts w:hint="eastAsia" w:ascii="仿宋" w:hAnsi="仿宋" w:eastAsia="仿宋" w:cs="仿宋"/>
          <w:color w:val="auto"/>
          <w:kern w:val="1"/>
          <w:sz w:val="30"/>
          <w:szCs w:val="30"/>
        </w:rPr>
        <w:t>73台。</w:t>
      </w:r>
    </w:p>
    <w:p>
      <w:pPr>
        <w:pStyle w:val="16"/>
        <w:spacing w:line="600" w:lineRule="exact"/>
        <w:ind w:firstLine="452" w:firstLineChars="150"/>
        <w:jc w:val="both"/>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精准发力，积极争取项目建设。</w:t>
      </w:r>
    </w:p>
    <w:p>
      <w:pPr>
        <w:pStyle w:val="2"/>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今年我区争取水稻机插机抛秧服务面积项目需投入资金707.334万元，采取整乡镇、区域行政村相对集中连片，推进水稻机插机抛秧服务的方式，确保全年完成作业面积6万亩。根据湖南省农业农村厅办公室《关于统筹落实农业社</w:t>
      </w:r>
      <w:r>
        <w:rPr>
          <w:rFonts w:hint="eastAsia" w:ascii="仿宋" w:hAnsi="仿宋" w:eastAsia="仿宋" w:cs="仿宋"/>
          <w:sz w:val="30"/>
          <w:szCs w:val="30"/>
        </w:rPr>
        <w:t>会化服务资金稳定发展粮食生产的通知》（湘农办函【2022】61号）文件</w:t>
      </w:r>
      <w:r>
        <w:rPr>
          <w:rFonts w:hint="eastAsia" w:ascii="仿宋" w:hAnsi="仿宋" w:eastAsia="仿宋" w:cs="仿宋"/>
          <w:color w:val="auto"/>
          <w:sz w:val="30"/>
          <w:szCs w:val="30"/>
        </w:rPr>
        <w:t>精神，水稻机插机抛服务46元/亩，确定农机合作社、种粮大户等31家项目实施主体开展水稻机插机抛秧服务。我区在5月16日前已完成机插秧服务面积3万亩，在7月14日前已完成机抛秧服务面积3万亩，水稻机插机抛服务面积6万亩补助资金276万元由省级财政下达拨付。</w:t>
      </w:r>
    </w:p>
    <w:p>
      <w:pPr>
        <w:pStyle w:val="16"/>
        <w:spacing w:line="600" w:lineRule="exact"/>
        <w:ind w:firstLine="452" w:firstLineChars="150"/>
        <w:jc w:val="both"/>
        <w:rPr>
          <w:rFonts w:hint="eastAsia" w:ascii="仿宋" w:hAnsi="仿宋" w:eastAsia="仿宋" w:cs="仿宋"/>
          <w:color w:val="auto"/>
          <w:sz w:val="30"/>
          <w:szCs w:val="30"/>
        </w:rPr>
      </w:pPr>
      <w:r>
        <w:rPr>
          <w:rFonts w:hint="eastAsia" w:ascii="仿宋" w:hAnsi="仿宋" w:eastAsia="仿宋" w:cs="仿宋"/>
          <w:b/>
          <w:bCs/>
          <w:color w:val="333333"/>
          <w:sz w:val="30"/>
          <w:szCs w:val="30"/>
        </w:rPr>
        <w:t>加大工作力度，全力抓好农机购置补贴工作。</w:t>
      </w:r>
      <w:r>
        <w:rPr>
          <w:rFonts w:hint="eastAsia" w:ascii="仿宋" w:hAnsi="仿宋" w:eastAsia="仿宋" w:cs="仿宋"/>
          <w:sz w:val="30"/>
          <w:szCs w:val="30"/>
        </w:rPr>
        <w:t>农机购置补贴工作政策性强、操作严格、涉及面广，我中心多措并举，规范有序，提高购机补贴工作力度。一是</w:t>
      </w:r>
      <w:r>
        <w:rPr>
          <w:rFonts w:hint="eastAsia" w:ascii="仿宋" w:hAnsi="仿宋" w:eastAsia="仿宋" w:cs="仿宋"/>
          <w:color w:val="000000"/>
          <w:sz w:val="30"/>
          <w:szCs w:val="30"/>
        </w:rPr>
        <w:t>加强领导,明确分工</w:t>
      </w:r>
      <w:r>
        <w:rPr>
          <w:rFonts w:hint="eastAsia" w:ascii="仿宋" w:hAnsi="仿宋" w:eastAsia="仿宋" w:cs="仿宋"/>
          <w:sz w:val="30"/>
          <w:szCs w:val="30"/>
        </w:rPr>
        <w:t>。成立相应工作机构，切实加强组织领导认真落实购机补贴政策。</w:t>
      </w:r>
      <w:r>
        <w:rPr>
          <w:rFonts w:hint="eastAsia" w:ascii="仿宋" w:hAnsi="仿宋" w:eastAsia="仿宋" w:cs="仿宋"/>
          <w:color w:val="000000"/>
          <w:sz w:val="30"/>
          <w:szCs w:val="30"/>
        </w:rPr>
        <w:t>建立健全政府领导下的联合实施和监管机制，切实加强组织协调， 密切沟通配合，健全完善风险防控工作制度和内部控制规程，明确职责分工，形成工作合力。</w:t>
      </w:r>
      <w:r>
        <w:rPr>
          <w:rFonts w:hint="eastAsia" w:ascii="仿宋" w:hAnsi="仿宋" w:eastAsia="仿宋" w:cs="仿宋"/>
          <w:sz w:val="30"/>
          <w:szCs w:val="30"/>
        </w:rPr>
        <w:t xml:space="preserve"> 二是强化管理，规范操作。</w:t>
      </w:r>
      <w:r>
        <w:rPr>
          <w:rFonts w:hint="eastAsia" w:ascii="仿宋" w:hAnsi="仿宋" w:eastAsia="仿宋" w:cs="仿宋"/>
          <w:color w:val="000000"/>
          <w:sz w:val="30"/>
          <w:szCs w:val="30"/>
        </w:rPr>
        <w:t>严格执行办理补贴申请具体时限，加快补贴申请受理、资格审核、机具核验、资金兑付等工作。</w:t>
      </w:r>
      <w:r>
        <w:rPr>
          <w:rFonts w:hint="eastAsia" w:ascii="仿宋" w:hAnsi="仿宋" w:eastAsia="仿宋" w:cs="仿宋"/>
          <w:sz w:val="30"/>
          <w:szCs w:val="30"/>
        </w:rPr>
        <w:t xml:space="preserve"> 强化机具核实，切实做到见人、见机、见票、查参数。加强补贴软件系统管理，确保系统安全、稳定、高效运行。</w:t>
      </w:r>
      <w:r>
        <w:rPr>
          <w:rFonts w:hint="eastAsia" w:ascii="仿宋" w:hAnsi="仿宋" w:eastAsia="仿宋" w:cs="仿宋"/>
          <w:color w:val="000000"/>
          <w:sz w:val="30"/>
          <w:szCs w:val="30"/>
        </w:rPr>
        <w:t>积极探索补贴申请、核验、兑付全流程线上办理</w:t>
      </w:r>
      <w:r>
        <w:rPr>
          <w:rFonts w:hint="eastAsia" w:ascii="仿宋" w:hAnsi="仿宋" w:eastAsia="仿宋" w:cs="仿宋"/>
          <w:color w:val="000000"/>
          <w:sz w:val="30"/>
          <w:szCs w:val="30"/>
          <w:lang w:val="zh-CN" w:eastAsia="zh-CN" w:bidi="zh-CN"/>
        </w:rPr>
        <w:t>“三合</w:t>
      </w:r>
      <w:r>
        <w:rPr>
          <w:rFonts w:hint="eastAsia" w:ascii="仿宋" w:hAnsi="仿宋" w:eastAsia="仿宋" w:cs="仿宋"/>
          <w:color w:val="000000"/>
          <w:sz w:val="30"/>
          <w:szCs w:val="30"/>
        </w:rPr>
        <w:t>一”新模式，推进农机购置补贴实施与监管信息化技术集成应用。</w:t>
      </w:r>
      <w:r>
        <w:rPr>
          <w:rFonts w:hint="eastAsia" w:ascii="仿宋" w:hAnsi="仿宋" w:eastAsia="仿宋" w:cs="仿宋"/>
          <w:sz w:val="30"/>
          <w:szCs w:val="30"/>
        </w:rPr>
        <w:t>三是强化宣传，公开信息</w:t>
      </w:r>
      <w:r>
        <w:rPr>
          <w:rFonts w:hint="eastAsia" w:ascii="仿宋" w:hAnsi="仿宋" w:eastAsia="仿宋" w:cs="仿宋"/>
          <w:sz w:val="30"/>
          <w:szCs w:val="30"/>
          <w:lang w:eastAsia="zh-CN"/>
        </w:rPr>
        <w:t>。</w:t>
      </w:r>
      <w:r>
        <w:rPr>
          <w:rFonts w:hint="eastAsia" w:ascii="仿宋" w:hAnsi="仿宋" w:eastAsia="仿宋" w:cs="仿宋"/>
          <w:sz w:val="30"/>
          <w:szCs w:val="30"/>
        </w:rPr>
        <w:t>要多形式、多渠道地开展补贴政策宣传，要让生产经销企业、购机者和广大农民群众全面了解政策，</w:t>
      </w:r>
      <w:r>
        <w:rPr>
          <w:rFonts w:hint="eastAsia" w:ascii="仿宋" w:hAnsi="仿宋" w:eastAsia="仿宋" w:cs="仿宋"/>
          <w:color w:val="000000"/>
          <w:sz w:val="30"/>
          <w:szCs w:val="30"/>
        </w:rPr>
        <w:t>着力提升政策知晓度。</w:t>
      </w:r>
      <w:r>
        <w:rPr>
          <w:rFonts w:hint="eastAsia" w:ascii="仿宋" w:hAnsi="仿宋" w:eastAsia="仿宋" w:cs="仿宋"/>
          <w:sz w:val="30"/>
          <w:szCs w:val="30"/>
        </w:rPr>
        <w:t>（四）强化监督，严惩违规。</w:t>
      </w:r>
      <w:r>
        <w:rPr>
          <w:rFonts w:hint="eastAsia" w:ascii="仿宋" w:hAnsi="仿宋" w:eastAsia="仿宋" w:cs="仿宋"/>
          <w:color w:val="000000"/>
          <w:sz w:val="30"/>
          <w:szCs w:val="30"/>
        </w:rPr>
        <w:t>认真落实风险防控责任和异常情形主动报告制度，严格信用管理和农机产销企业承诺制，充分发挥专业机构的技术优势和大数据的信息优势，有效开展违规行为全流程分析排查，从严整治突出违规行为，有效维护政策实施良好秩序。</w:t>
      </w:r>
      <w:r>
        <w:rPr>
          <w:rFonts w:hint="eastAsia" w:ascii="仿宋" w:hAnsi="仿宋" w:eastAsia="仿宋" w:cs="仿宋"/>
          <w:sz w:val="30"/>
          <w:szCs w:val="30"/>
        </w:rPr>
        <w:t>要高度重视群众举报投诉受理查处工作，建立健全相关机制。对实名投诉举报的问题和线索，要做到凡报必查</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截至目前我区共完成国家补贴资金录入</w:t>
      </w:r>
      <w:r>
        <w:rPr>
          <w:rFonts w:hint="eastAsia" w:ascii="仿宋" w:hAnsi="仿宋" w:eastAsia="仿宋" w:cs="仿宋"/>
          <w:color w:val="auto"/>
          <w:sz w:val="30"/>
          <w:szCs w:val="30"/>
          <w:lang w:val="en-US" w:eastAsia="zh-CN"/>
        </w:rPr>
        <w:t>1099</w:t>
      </w:r>
      <w:r>
        <w:rPr>
          <w:rFonts w:hint="eastAsia" w:ascii="仿宋" w:hAnsi="仿宋" w:eastAsia="仿宋" w:cs="仿宋"/>
          <w:color w:val="auto"/>
          <w:sz w:val="30"/>
          <w:szCs w:val="30"/>
          <w:lang w:eastAsia="zh-CN"/>
        </w:rPr>
        <w:t>万元.</w:t>
      </w:r>
    </w:p>
    <w:p>
      <w:pPr>
        <w:widowControl/>
        <w:shd w:val="clear" w:color="auto" w:fill="FFFFFF"/>
        <w:spacing w:line="600" w:lineRule="atLeast"/>
        <w:ind w:firstLine="640"/>
        <w:jc w:val="left"/>
        <w:rPr>
          <w:rFonts w:hint="eastAsia" w:ascii="仿宋" w:hAnsi="仿宋" w:eastAsia="仿宋" w:cs="仿宋"/>
          <w:color w:val="auto"/>
          <w:kern w:val="0"/>
          <w:sz w:val="30"/>
          <w:szCs w:val="30"/>
        </w:rPr>
      </w:pPr>
    </w:p>
    <w:p>
      <w:pPr>
        <w:widowControl/>
        <w:shd w:val="clear" w:color="auto" w:fill="FFFFFF"/>
        <w:spacing w:line="600" w:lineRule="atLeast"/>
        <w:ind w:firstLine="64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（三）绩效自评结论</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根据基础数据分析计算，</w:t>
      </w:r>
      <w:r>
        <w:rPr>
          <w:rFonts w:hint="eastAsia" w:ascii="仿宋" w:hAnsi="仿宋" w:eastAsia="仿宋" w:cs="仿宋"/>
          <w:color w:val="000000"/>
          <w:kern w:val="0"/>
          <w:sz w:val="30"/>
          <w:szCs w:val="30"/>
          <w:lang w:eastAsia="zh-CN"/>
        </w:rPr>
        <w:t>资阳区农机事务中心</w:t>
      </w:r>
      <w:r>
        <w:rPr>
          <w:rFonts w:hint="eastAsia" w:ascii="仿宋" w:hAnsi="仿宋" w:eastAsia="仿宋" w:cs="仿宋"/>
          <w:color w:val="000000"/>
          <w:kern w:val="0"/>
          <w:sz w:val="30"/>
          <w:szCs w:val="30"/>
        </w:rPr>
        <w:t>2022年度部门整体支出自评综合得分为99分，其中预算执行率得分为10 分、产出指标类得分为49分、效益指标类得分为40分，为“优”等级。</w:t>
      </w:r>
    </w:p>
    <w:p>
      <w:pPr>
        <w:numPr>
          <w:ilvl w:val="0"/>
          <w:numId w:val="2"/>
        </w:numPr>
        <w:spacing w:line="600" w:lineRule="exact"/>
        <w:ind w:firstLine="650"/>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存在的问题及原因分析</w:t>
      </w:r>
    </w:p>
    <w:p>
      <w:pPr>
        <w:widowControl/>
        <w:pBdr>
          <w:bottom w:val="single" w:color="FFFFFF" w:sz="8" w:space="17"/>
        </w:pBdr>
        <w:shd w:val="clear" w:color="auto" w:fill="FFFFFF"/>
        <w:spacing w:line="600" w:lineRule="atLeast"/>
        <w:ind w:firstLine="616"/>
        <w:rPr>
          <w:rFonts w:hint="eastAsia" w:ascii="仿宋" w:hAnsi="仿宋" w:eastAsia="仿宋" w:cs="仿宋"/>
          <w:color w:val="000000"/>
          <w:kern w:val="0"/>
          <w:sz w:val="30"/>
          <w:szCs w:val="30"/>
        </w:rPr>
      </w:pPr>
      <w:r>
        <w:rPr>
          <w:rFonts w:hint="eastAsia" w:ascii="仿宋" w:hAnsi="仿宋" w:eastAsia="仿宋" w:cs="仿宋"/>
          <w:color w:val="000000"/>
          <w:spacing w:val="-6"/>
          <w:kern w:val="0"/>
          <w:sz w:val="30"/>
          <w:szCs w:val="30"/>
        </w:rPr>
        <w:t>我</w:t>
      </w:r>
      <w:r>
        <w:rPr>
          <w:rFonts w:hint="eastAsia" w:ascii="仿宋" w:hAnsi="仿宋" w:eastAsia="仿宋" w:cs="仿宋"/>
          <w:color w:val="000000"/>
          <w:spacing w:val="-6"/>
          <w:kern w:val="0"/>
          <w:sz w:val="30"/>
          <w:szCs w:val="30"/>
          <w:lang w:eastAsia="zh-CN"/>
        </w:rPr>
        <w:t>中心</w:t>
      </w:r>
      <w:r>
        <w:rPr>
          <w:rFonts w:hint="eastAsia" w:ascii="仿宋" w:hAnsi="仿宋" w:eastAsia="仿宋" w:cs="仿宋"/>
          <w:color w:val="000000"/>
          <w:spacing w:val="-6"/>
          <w:kern w:val="0"/>
          <w:sz w:val="30"/>
          <w:szCs w:val="30"/>
        </w:rPr>
        <w:t>虽然在绩效考核上取得一定成绩，但目前在整体支出的预算编制、执行和管理过程中，依然存在一些问题和不足：</w:t>
      </w:r>
    </w:p>
    <w:p>
      <w:pPr>
        <w:widowControl/>
        <w:pBdr>
          <w:bottom w:val="single" w:color="FFFFFF" w:sz="8" w:space="17"/>
        </w:pBdr>
        <w:shd w:val="clear" w:color="auto" w:fill="FFFFFF"/>
        <w:spacing w:line="600" w:lineRule="atLeast"/>
        <w:ind w:firstLine="640"/>
        <w:rPr>
          <w:rFonts w:hint="eastAsia" w:ascii="仿宋" w:hAnsi="仿宋" w:eastAsia="仿宋" w:cs="仿宋"/>
          <w:sz w:val="30"/>
          <w:szCs w:val="30"/>
        </w:rPr>
      </w:pPr>
      <w:r>
        <w:rPr>
          <w:rFonts w:hint="eastAsia" w:ascii="仿宋" w:hAnsi="仿宋" w:eastAsia="仿宋" w:cs="仿宋"/>
          <w:color w:val="000000"/>
          <w:kern w:val="0"/>
          <w:sz w:val="30"/>
          <w:szCs w:val="30"/>
        </w:rPr>
        <w:t>虽然我局实施绩效管理后财政预算资金管理精细化水平已有提高，但在绩效指标设置的精准性、合理性上有待进一步改善。</w:t>
      </w:r>
    </w:p>
    <w:p>
      <w:pPr>
        <w:widowControl/>
        <w:shd w:val="clear" w:color="auto" w:fill="FFFFFF"/>
        <w:spacing w:line="600" w:lineRule="atLeast"/>
        <w:ind w:firstLine="64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八、下一步改进措施</w:t>
      </w:r>
    </w:p>
    <w:p>
      <w:pPr>
        <w:widowControl/>
        <w:pBdr>
          <w:bottom w:val="single" w:color="FFFFFF" w:sz="8" w:space="17"/>
        </w:pBdr>
        <w:shd w:val="clear" w:color="auto" w:fill="FFFFFF"/>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针对上述存在的问题及</w:t>
      </w:r>
      <w:r>
        <w:rPr>
          <w:rFonts w:hint="eastAsia" w:ascii="仿宋" w:hAnsi="仿宋" w:eastAsia="仿宋" w:cs="仿宋"/>
          <w:color w:val="000000"/>
          <w:kern w:val="0"/>
          <w:sz w:val="30"/>
          <w:szCs w:val="30"/>
          <w:lang w:eastAsia="zh-CN"/>
        </w:rPr>
        <w:t>资阳区农机事务中心</w:t>
      </w:r>
      <w:r>
        <w:rPr>
          <w:rFonts w:hint="eastAsia" w:ascii="仿宋" w:hAnsi="仿宋" w:eastAsia="仿宋" w:cs="仿宋"/>
          <w:color w:val="000000"/>
          <w:kern w:val="0"/>
          <w:sz w:val="30"/>
          <w:szCs w:val="30"/>
        </w:rPr>
        <w:t>预算管理工作的需要，今后工作中要严格按照《会计法》、《预算法》等相关规定，参考近年来的预算执行实际情况，结合年度收支计划，严格预算执行，尽力提高资金使用效率。</w:t>
      </w:r>
    </w:p>
    <w:p>
      <w:pPr>
        <w:widowControl/>
        <w:pBdr>
          <w:bottom w:val="single" w:color="FFFFFF" w:sz="8" w:space="17"/>
        </w:pBdr>
        <w:shd w:val="clear" w:color="auto" w:fill="FFFFFF"/>
        <w:spacing w:line="600" w:lineRule="atLeast"/>
        <w:ind w:firstLine="640"/>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九、部门整体支出绩效自评结果拟应用和公开情况</w:t>
      </w:r>
    </w:p>
    <w:p>
      <w:pPr>
        <w:widowControl/>
        <w:pBdr>
          <w:bottom w:val="single" w:color="FFFFFF" w:sz="8" w:space="17"/>
        </w:pBdr>
        <w:shd w:val="clear" w:color="auto" w:fill="FFFFFF"/>
        <w:spacing w:line="600" w:lineRule="atLeast"/>
        <w:ind w:firstLine="640"/>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（一）绩效自评结果拟应用</w:t>
      </w:r>
    </w:p>
    <w:p>
      <w:pPr>
        <w:widowControl/>
        <w:pBdr>
          <w:bottom w:val="single" w:color="FFFFFF" w:sz="8" w:space="17"/>
        </w:pBdr>
        <w:shd w:val="clear" w:color="auto" w:fill="FFFFFF"/>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通过绩效自评，进一步掌握了资金使用情况和取得的效果，总结了专项资金管理经验，认识到了工作中存在的问题和不足，为今后完善年初预算编制、加强资金使用管理、健全资金支出项目、提高资金绩效管理、加大资金使用效益工作提供了重要的参考依据。</w:t>
      </w:r>
    </w:p>
    <w:p>
      <w:pPr>
        <w:widowControl/>
        <w:pBdr>
          <w:bottom w:val="single" w:color="FFFFFF" w:sz="8" w:space="17"/>
        </w:pBdr>
        <w:shd w:val="clear" w:color="auto" w:fill="FFFFFF"/>
        <w:spacing w:line="600" w:lineRule="atLeast"/>
        <w:ind w:firstLine="640"/>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（二）绩效自评结果公开情况</w:t>
      </w:r>
    </w:p>
    <w:p>
      <w:pPr>
        <w:widowControl/>
        <w:pBdr>
          <w:bottom w:val="single" w:color="FFFFFF" w:sz="8" w:space="17"/>
        </w:pBdr>
        <w:shd w:val="clear" w:color="auto" w:fill="FFFFFF"/>
        <w:spacing w:line="600" w:lineRule="atLeast"/>
        <w:ind w:firstLine="64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将此次绩效自评报告在本部门官网上予以全文公布，向社会公开，广泛接受群众监督。</w:t>
      </w:r>
    </w:p>
    <w:p>
      <w:pPr>
        <w:widowControl/>
        <w:shd w:val="clear" w:color="auto" w:fill="FFFFFF"/>
        <w:spacing w:line="600" w:lineRule="atLeast"/>
        <w:ind w:firstLine="64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附件：1. 2022年度部门整体支出绩效评价基础数据表</w:t>
      </w:r>
    </w:p>
    <w:p>
      <w:pPr>
        <w:widowControl/>
        <w:shd w:val="clear" w:color="auto" w:fill="FFFFFF"/>
        <w:spacing w:line="600" w:lineRule="atLeast"/>
        <w:ind w:firstLine="1600"/>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 2022年度部门整体支出绩效自评表</w:t>
      </w:r>
    </w:p>
    <w:p>
      <w:pPr>
        <w:widowControl/>
        <w:shd w:val="clear" w:color="auto" w:fill="FFFFFF"/>
        <w:spacing w:line="600"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p>
      <w:pPr>
        <w:widowControl/>
        <w:shd w:val="clear" w:color="auto" w:fill="FFFFFF"/>
        <w:spacing w:line="600" w:lineRule="atLeast"/>
        <w:jc w:val="center"/>
        <w:rPr>
          <w:rFonts w:hint="eastAsia" w:ascii="仿宋" w:hAnsi="仿宋" w:eastAsia="仿宋" w:cs="仿宋"/>
          <w:b/>
          <w:bCs/>
          <w:color w:val="000000"/>
          <w:kern w:val="0"/>
          <w:sz w:val="30"/>
          <w:szCs w:val="30"/>
          <w:lang w:val="en-US" w:eastAsia="zh-CN"/>
        </w:rPr>
      </w:pPr>
      <w:r>
        <w:rPr>
          <w:rFonts w:hint="eastAsia" w:ascii="仿宋" w:hAnsi="仿宋" w:eastAsia="仿宋" w:cs="仿宋"/>
          <w:b/>
          <w:bCs/>
          <w:color w:val="000000"/>
          <w:kern w:val="0"/>
          <w:sz w:val="30"/>
          <w:szCs w:val="30"/>
          <w:lang w:eastAsia="zh-CN"/>
        </w:rPr>
        <w:t>资阳区农机事务中心</w:t>
      </w:r>
    </w:p>
    <w:p>
      <w:pPr>
        <w:widowControl/>
        <w:shd w:val="clear" w:color="auto" w:fill="FFFFFF"/>
        <w:spacing w:line="600" w:lineRule="atLeast"/>
        <w:jc w:val="left"/>
        <w:rPr>
          <w:rFonts w:hint="eastAsia" w:ascii="仿宋" w:hAnsi="仿宋" w:eastAsia="仿宋" w:cs="仿宋"/>
          <w:color w:val="000000"/>
          <w:kern w:val="0"/>
          <w:sz w:val="30"/>
          <w:szCs w:val="30"/>
        </w:rPr>
      </w:pPr>
    </w:p>
    <w:p>
      <w:pPr>
        <w:widowControl/>
        <w:shd w:val="clear" w:color="auto" w:fill="FFFFFF"/>
        <w:spacing w:line="600" w:lineRule="atLeast"/>
        <w:jc w:val="left"/>
        <w:rPr>
          <w:rFonts w:hint="eastAsia" w:ascii="仿宋" w:hAnsi="仿宋" w:eastAsia="仿宋" w:cs="仿宋"/>
          <w:color w:val="000000"/>
          <w:kern w:val="0"/>
          <w:sz w:val="30"/>
          <w:szCs w:val="30"/>
        </w:rPr>
      </w:pPr>
    </w:p>
    <w:p>
      <w:pPr>
        <w:widowControl/>
        <w:shd w:val="clear" w:color="auto" w:fill="FFFFFF"/>
        <w:spacing w:line="600" w:lineRule="atLeast"/>
        <w:jc w:val="left"/>
        <w:rPr>
          <w:rFonts w:hint="eastAsia" w:ascii="仿宋" w:hAnsi="仿宋" w:eastAsia="仿宋" w:cs="仿宋"/>
          <w:color w:val="000000"/>
          <w:kern w:val="0"/>
          <w:sz w:val="30"/>
          <w:szCs w:val="30"/>
        </w:rPr>
      </w:pPr>
    </w:p>
    <w:p>
      <w:pPr>
        <w:widowControl/>
        <w:shd w:val="clear" w:color="auto" w:fill="FFFFFF"/>
        <w:spacing w:line="600" w:lineRule="atLeast"/>
        <w:jc w:val="left"/>
        <w:rPr>
          <w:rFonts w:hint="eastAsia" w:ascii="仿宋" w:hAnsi="仿宋" w:eastAsia="仿宋" w:cs="仿宋"/>
          <w:color w:val="000000"/>
          <w:kern w:val="0"/>
          <w:sz w:val="30"/>
          <w:szCs w:val="30"/>
        </w:rPr>
      </w:pPr>
    </w:p>
    <w:p>
      <w:pPr>
        <w:widowControl/>
        <w:shd w:val="clear" w:color="auto" w:fill="FFFFFF"/>
        <w:spacing w:line="600" w:lineRule="atLeast"/>
        <w:jc w:val="left"/>
        <w:rPr>
          <w:rFonts w:hint="eastAsia" w:ascii="仿宋" w:hAnsi="仿宋" w:eastAsia="仿宋" w:cs="仿宋"/>
          <w:color w:val="000000"/>
          <w:kern w:val="0"/>
          <w:sz w:val="30"/>
          <w:szCs w:val="30"/>
        </w:rPr>
      </w:pPr>
    </w:p>
    <w:p>
      <w:pPr>
        <w:widowControl/>
        <w:shd w:val="clear" w:color="auto" w:fill="FFFFFF"/>
        <w:spacing w:line="600"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附件1</w:t>
      </w:r>
    </w:p>
    <w:p>
      <w:pPr>
        <w:widowControl/>
        <w:shd w:val="clear" w:color="auto" w:fill="FFFFFF"/>
        <w:spacing w:line="600" w:lineRule="atLeas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2022年度部门整体支出绩效评价基础数据表</w:t>
      </w:r>
    </w:p>
    <w:tbl>
      <w:tblPr>
        <w:tblStyle w:val="8"/>
        <w:tblW w:w="9672" w:type="dxa"/>
        <w:jc w:val="center"/>
        <w:tblLayout w:type="autofit"/>
        <w:tblCellMar>
          <w:top w:w="15" w:type="dxa"/>
          <w:left w:w="15" w:type="dxa"/>
          <w:bottom w:w="15" w:type="dxa"/>
          <w:right w:w="15" w:type="dxa"/>
        </w:tblCellMar>
      </w:tblPr>
      <w:tblGrid>
        <w:gridCol w:w="3136"/>
        <w:gridCol w:w="1903"/>
        <w:gridCol w:w="2597"/>
        <w:gridCol w:w="2036"/>
      </w:tblGrid>
      <w:tr>
        <w:tblPrEx>
          <w:tblCellMar>
            <w:top w:w="15" w:type="dxa"/>
            <w:left w:w="15" w:type="dxa"/>
            <w:bottom w:w="15" w:type="dxa"/>
            <w:right w:w="15" w:type="dxa"/>
          </w:tblCellMar>
        </w:tblPrEx>
        <w:trPr>
          <w:trHeight w:val="680" w:hRule="atLeast"/>
          <w:jc w:val="center"/>
        </w:trPr>
        <w:tc>
          <w:tcPr>
            <w:tcW w:w="3136"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财政供养人员情况（人）</w:t>
            </w:r>
          </w:p>
        </w:tc>
        <w:tc>
          <w:tcPr>
            <w:tcW w:w="19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编制数</w:t>
            </w:r>
          </w:p>
        </w:tc>
        <w:tc>
          <w:tcPr>
            <w:tcW w:w="259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202</w:t>
            </w:r>
            <w:r>
              <w:rPr>
                <w:rFonts w:hint="eastAsia" w:ascii="仿宋" w:hAnsi="仿宋" w:eastAsia="仿宋" w:cs="仿宋"/>
                <w:b/>
                <w:bCs/>
                <w:kern w:val="0"/>
                <w:sz w:val="24"/>
                <w:szCs w:val="24"/>
                <w:lang w:val="en-US" w:eastAsia="zh-CN"/>
              </w:rPr>
              <w:t>2</w:t>
            </w:r>
            <w:r>
              <w:rPr>
                <w:rFonts w:hint="eastAsia" w:ascii="仿宋" w:hAnsi="仿宋" w:eastAsia="仿宋" w:cs="仿宋"/>
                <w:b/>
                <w:bCs/>
                <w:kern w:val="0"/>
                <w:sz w:val="24"/>
                <w:szCs w:val="24"/>
              </w:rPr>
              <w:t>年实际在职人数</w:t>
            </w:r>
          </w:p>
        </w:tc>
        <w:tc>
          <w:tcPr>
            <w:tcW w:w="20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控制率</w:t>
            </w:r>
          </w:p>
        </w:tc>
      </w:tr>
      <w:tr>
        <w:tblPrEx>
          <w:tblCellMar>
            <w:top w:w="15" w:type="dxa"/>
            <w:left w:w="15" w:type="dxa"/>
            <w:bottom w:w="15" w:type="dxa"/>
            <w:right w:w="15" w:type="dxa"/>
          </w:tblCellMar>
        </w:tblPrEx>
        <w:trPr>
          <w:trHeight w:val="68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100</w:t>
            </w:r>
            <w:r>
              <w:rPr>
                <w:rFonts w:hint="eastAsia" w:ascii="仿宋" w:hAnsi="仿宋" w:eastAsia="仿宋" w:cs="仿宋"/>
                <w:kern w:val="0"/>
                <w:sz w:val="24"/>
                <w:szCs w:val="24"/>
              </w:rPr>
              <w:t>%</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经费控制情况（万元）</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2021年决算数</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2022年预算数（调整）</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b/>
                <w:bCs/>
                <w:kern w:val="0"/>
                <w:sz w:val="24"/>
                <w:szCs w:val="24"/>
              </w:rPr>
              <w:t>22年决算数</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b/>
                <w:bCs/>
                <w:kern w:val="0"/>
                <w:sz w:val="24"/>
                <w:szCs w:val="24"/>
              </w:rPr>
              <w:t>支出总额</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1405.75</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1957.25</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1957.25</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b/>
                <w:bCs/>
                <w:kern w:val="0"/>
                <w:sz w:val="24"/>
                <w:szCs w:val="24"/>
              </w:rPr>
              <w:t>基本支出</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915.53</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1421.94</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1421.94</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其中：公用经费</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39.08</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57.69</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57.69</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b/>
                <w:bCs/>
                <w:kern w:val="0"/>
                <w:sz w:val="24"/>
                <w:szCs w:val="24"/>
              </w:rPr>
              <w:t>项目支出</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490.22</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535.31</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535.31</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其中：1、运行维护经费</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17.42</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17.42</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2、专项资金</w:t>
            </w:r>
          </w:p>
          <w:p>
            <w:pPr>
              <w:widowControl/>
              <w:spacing w:line="320" w:lineRule="atLeast"/>
              <w:ind w:firstLine="80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机插机抛</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276</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276</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现代合作社建设</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145</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145</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科技转化与推广服务</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21.59</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21.59</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农业生产发展支出</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445.22</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75.3</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firstLine="4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75.3</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农村合作经济支出</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45</w:t>
            </w:r>
            <w:r>
              <w:rPr>
                <w:rFonts w:hint="eastAsia" w:ascii="仿宋" w:hAnsi="仿宋" w:eastAsia="仿宋" w:cs="仿宋"/>
                <w:kern w:val="0"/>
                <w:sz w:val="24"/>
                <w:szCs w:val="24"/>
              </w:rPr>
              <w:t> </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b/>
                <w:bCs/>
                <w:kern w:val="0"/>
                <w:sz w:val="24"/>
                <w:szCs w:val="24"/>
              </w:rPr>
              <w:t>三公经费</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1、公务用车购置和维护经费</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其中：公车购置</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公车运行维护</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2、出国经费</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0</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   3、公务接待</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eastAsia="zh-CN"/>
              </w:rPr>
            </w:pP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0</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b/>
                <w:bCs/>
                <w:kern w:val="0"/>
                <w:sz w:val="24"/>
                <w:szCs w:val="24"/>
              </w:rPr>
              <w:t>政府采购金额</w:t>
            </w:r>
          </w:p>
        </w:tc>
        <w:tc>
          <w:tcPr>
            <w:tcW w:w="19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p>
        </w:tc>
        <w:tc>
          <w:tcPr>
            <w:tcW w:w="259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10.65</w:t>
            </w:r>
          </w:p>
        </w:tc>
        <w:tc>
          <w:tcPr>
            <w:tcW w:w="20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10.65</w:t>
            </w:r>
          </w:p>
        </w:tc>
      </w:tr>
      <w:tr>
        <w:tblPrEx>
          <w:tblCellMar>
            <w:top w:w="15" w:type="dxa"/>
            <w:left w:w="15" w:type="dxa"/>
            <w:bottom w:w="15" w:type="dxa"/>
            <w:right w:w="15" w:type="dxa"/>
          </w:tblCellMar>
        </w:tblPrEx>
        <w:trPr>
          <w:trHeight w:val="680" w:hRule="atLeast"/>
          <w:jc w:val="center"/>
        </w:trPr>
        <w:tc>
          <w:tcPr>
            <w:tcW w:w="31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厉行节约保障措施</w:t>
            </w:r>
          </w:p>
        </w:tc>
        <w:tc>
          <w:tcPr>
            <w:tcW w:w="6536"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left"/>
              <w:rPr>
                <w:rFonts w:hint="eastAsia" w:ascii="仿宋" w:hAnsi="仿宋" w:eastAsia="仿宋" w:cs="仿宋"/>
                <w:kern w:val="0"/>
                <w:sz w:val="24"/>
                <w:szCs w:val="24"/>
              </w:rPr>
            </w:pPr>
            <w:r>
              <w:rPr>
                <w:rFonts w:hint="eastAsia" w:ascii="仿宋" w:hAnsi="仿宋" w:eastAsia="仿宋" w:cs="仿宋"/>
                <w:kern w:val="0"/>
                <w:sz w:val="24"/>
                <w:szCs w:val="24"/>
              </w:rPr>
              <w:t>严格落实中央八项规定和省委九项规定，坚持勤俭节约、反对铺张浪费，带头过紧日子，细化预算，确保机关运转。　</w:t>
            </w:r>
          </w:p>
        </w:tc>
      </w:tr>
    </w:tbl>
    <w:p>
      <w:pPr>
        <w:widowControl/>
        <w:shd w:val="clear" w:color="auto" w:fill="FFFFFF"/>
        <w:spacing w:line="400"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说明：“公用经费”填报基本支出中的一般商品和服务支出。“项目支出”需要填报基本支出以外的所有项目支出情况，“运行维护经费”填报项目支出中用于人员类和公用运转类的支出。</w:t>
      </w:r>
    </w:p>
    <w:p>
      <w:pPr>
        <w:widowControl/>
        <w:shd w:val="clear" w:color="auto" w:fill="FFFFFF"/>
        <w:spacing w:line="400"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p>
      <w:pPr>
        <w:widowControl/>
        <w:shd w:val="clear" w:color="auto" w:fill="FFFFFF"/>
        <w:spacing w:line="400" w:lineRule="atLeast"/>
        <w:jc w:val="left"/>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填表人：</w:t>
      </w:r>
      <w:r>
        <w:rPr>
          <w:rFonts w:hint="eastAsia" w:ascii="仿宋" w:hAnsi="仿宋" w:eastAsia="仿宋" w:cs="仿宋"/>
          <w:color w:val="000000"/>
          <w:kern w:val="0"/>
          <w:sz w:val="30"/>
          <w:szCs w:val="30"/>
          <w:lang w:eastAsia="zh-CN"/>
        </w:rPr>
        <w:t>郭凤英</w:t>
      </w:r>
      <w:r>
        <w:rPr>
          <w:rFonts w:hint="eastAsia" w:ascii="仿宋" w:hAnsi="仿宋" w:eastAsia="仿宋" w:cs="仿宋"/>
          <w:color w:val="000000"/>
          <w:kern w:val="0"/>
          <w:sz w:val="30"/>
          <w:szCs w:val="30"/>
        </w:rPr>
        <w:t>　填报日期：2023.</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8</w:t>
      </w:r>
      <w:r>
        <w:rPr>
          <w:rFonts w:hint="eastAsia" w:ascii="仿宋" w:hAnsi="仿宋" w:eastAsia="仿宋" w:cs="仿宋"/>
          <w:color w:val="000000"/>
          <w:kern w:val="0"/>
          <w:sz w:val="30"/>
          <w:szCs w:val="30"/>
        </w:rPr>
        <w:t>  　　联系电话：</w:t>
      </w:r>
      <w:r>
        <w:rPr>
          <w:rFonts w:hint="eastAsia" w:ascii="仿宋" w:hAnsi="仿宋" w:eastAsia="仿宋" w:cs="仿宋"/>
          <w:color w:val="000000"/>
          <w:kern w:val="0"/>
          <w:sz w:val="30"/>
          <w:szCs w:val="30"/>
          <w:lang w:val="en-US" w:eastAsia="zh-CN"/>
        </w:rPr>
        <w:t>13467370608</w:t>
      </w:r>
    </w:p>
    <w:p>
      <w:pPr>
        <w:shd w:val="clear" w:color="auto" w:fill="FFFFFF"/>
        <w:spacing w:line="600" w:lineRule="atLeast"/>
        <w:rPr>
          <w:rFonts w:hint="eastAsia" w:ascii="仿宋" w:hAnsi="仿宋" w:eastAsia="仿宋" w:cs="仿宋"/>
          <w:color w:val="000000"/>
          <w:kern w:val="0"/>
          <w:sz w:val="30"/>
          <w:szCs w:val="30"/>
          <w:lang w:eastAsia="zh-CN"/>
        </w:rPr>
      </w:pPr>
      <w:r>
        <w:rPr>
          <w:rFonts w:hint="eastAsia" w:ascii="仿宋" w:hAnsi="仿宋" w:eastAsia="仿宋" w:cs="仿宋"/>
          <w:color w:val="000000"/>
          <w:kern w:val="0"/>
          <w:sz w:val="30"/>
          <w:szCs w:val="30"/>
        </w:rPr>
        <w:t>单位负责人签字：</w:t>
      </w:r>
    </w:p>
    <w:p>
      <w:pPr>
        <w:pStyle w:val="2"/>
        <w:rPr>
          <w:rFonts w:hint="eastAsia"/>
          <w:lang w:eastAsia="zh-CN"/>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shd w:val="clear" w:color="auto" w:fill="FFFFFF"/>
        <w:spacing w:line="600" w:lineRule="atLeast"/>
        <w:rPr>
          <w:rFonts w:hint="eastAsia" w:ascii="仿宋" w:hAnsi="仿宋" w:eastAsia="仿宋" w:cs="仿宋"/>
          <w:color w:val="000000"/>
          <w:kern w:val="0"/>
          <w:sz w:val="30"/>
          <w:szCs w:val="30"/>
        </w:rPr>
      </w:pPr>
    </w:p>
    <w:p>
      <w:pPr>
        <w:widowControl/>
        <w:shd w:val="clear" w:color="auto" w:fill="FFFFFF"/>
        <w:spacing w:line="600" w:lineRule="atLeast"/>
        <w:jc w:val="left"/>
        <w:rPr>
          <w:rFonts w:hint="eastAsia" w:ascii="仿宋" w:hAnsi="仿宋" w:eastAsia="仿宋" w:cs="仿宋"/>
          <w:color w:val="000000"/>
          <w:kern w:val="0"/>
          <w:sz w:val="30"/>
          <w:szCs w:val="30"/>
        </w:rPr>
      </w:pPr>
    </w:p>
    <w:p>
      <w:pPr>
        <w:widowControl/>
        <w:shd w:val="clear" w:color="auto" w:fill="FFFFFF"/>
        <w:spacing w:line="600"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附件2</w:t>
      </w:r>
    </w:p>
    <w:p>
      <w:pPr>
        <w:widowControl/>
        <w:shd w:val="clear" w:color="auto" w:fill="FFFFFF"/>
        <w:spacing w:line="600" w:lineRule="atLeas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2022年度部门整体支出绩效自评表</w:t>
      </w:r>
    </w:p>
    <w:tbl>
      <w:tblPr>
        <w:tblStyle w:val="8"/>
        <w:tblW w:w="11055" w:type="dxa"/>
        <w:jc w:val="center"/>
        <w:tblLayout w:type="autofit"/>
        <w:tblCellMar>
          <w:top w:w="15" w:type="dxa"/>
          <w:left w:w="15" w:type="dxa"/>
          <w:bottom w:w="15" w:type="dxa"/>
          <w:right w:w="15" w:type="dxa"/>
        </w:tblCellMar>
      </w:tblPr>
      <w:tblGrid>
        <w:gridCol w:w="965"/>
        <w:gridCol w:w="93"/>
        <w:gridCol w:w="932"/>
        <w:gridCol w:w="246"/>
        <w:gridCol w:w="742"/>
        <w:gridCol w:w="338"/>
        <w:gridCol w:w="810"/>
        <w:gridCol w:w="143"/>
        <w:gridCol w:w="98"/>
        <w:gridCol w:w="1239"/>
        <w:gridCol w:w="34"/>
        <w:gridCol w:w="1157"/>
        <w:gridCol w:w="136"/>
        <w:gridCol w:w="719"/>
        <w:gridCol w:w="407"/>
        <w:gridCol w:w="636"/>
        <w:gridCol w:w="170"/>
        <w:gridCol w:w="872"/>
        <w:gridCol w:w="141"/>
        <w:gridCol w:w="1177"/>
      </w:tblGrid>
      <w:tr>
        <w:tblPrEx>
          <w:tblCellMar>
            <w:top w:w="15" w:type="dxa"/>
            <w:left w:w="15" w:type="dxa"/>
            <w:bottom w:w="15" w:type="dxa"/>
            <w:right w:w="15" w:type="dxa"/>
          </w:tblCellMar>
        </w:tblPrEx>
        <w:trPr>
          <w:gridAfter w:val="1"/>
          <w:wAfter w:w="1190" w:type="dxa"/>
          <w:trHeight w:val="624" w:hRule="atLeast"/>
          <w:jc w:val="center"/>
        </w:trPr>
        <w:tc>
          <w:tcPr>
            <w:tcW w:w="97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预算</w:t>
            </w:r>
          </w:p>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部门</w:t>
            </w:r>
          </w:p>
        </w:tc>
        <w:tc>
          <w:tcPr>
            <w:tcW w:w="8890" w:type="dxa"/>
            <w:gridSpan w:val="1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益阳市</w:t>
            </w:r>
            <w:r>
              <w:rPr>
                <w:rFonts w:hint="eastAsia" w:ascii="仿宋" w:hAnsi="仿宋" w:eastAsia="仿宋" w:cs="仿宋"/>
                <w:kern w:val="0"/>
                <w:sz w:val="24"/>
                <w:szCs w:val="24"/>
                <w:lang w:eastAsia="zh-CN"/>
              </w:rPr>
              <w:t>资阳区农机事务中心</w:t>
            </w:r>
          </w:p>
        </w:tc>
      </w:tr>
      <w:tr>
        <w:tblPrEx>
          <w:tblCellMar>
            <w:top w:w="15" w:type="dxa"/>
            <w:left w:w="15" w:type="dxa"/>
            <w:bottom w:w="15" w:type="dxa"/>
            <w:right w:w="15" w:type="dxa"/>
          </w:tblCellMar>
        </w:tblPrEx>
        <w:trPr>
          <w:gridAfter w:val="1"/>
          <w:wAfter w:w="1190" w:type="dxa"/>
          <w:trHeight w:val="624" w:hRule="atLeast"/>
          <w:jc w:val="center"/>
        </w:trPr>
        <w:tc>
          <w:tcPr>
            <w:tcW w:w="97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年度预</w:t>
            </w:r>
          </w:p>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算申请</w:t>
            </w:r>
          </w:p>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（万元）</w:t>
            </w:r>
          </w:p>
        </w:tc>
        <w:tc>
          <w:tcPr>
            <w:tcW w:w="1933"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c>
          <w:tcPr>
            <w:tcW w:w="115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年初</w:t>
            </w:r>
          </w:p>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预算数</w:t>
            </w:r>
          </w:p>
        </w:tc>
        <w:tc>
          <w:tcPr>
            <w:tcW w:w="1528"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全年预算数</w:t>
            </w:r>
          </w:p>
        </w:tc>
        <w:tc>
          <w:tcPr>
            <w:tcW w:w="130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全年执行数</w:t>
            </w:r>
          </w:p>
        </w:tc>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105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执行率</w:t>
            </w:r>
          </w:p>
        </w:tc>
        <w:tc>
          <w:tcPr>
            <w:tcW w:w="120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得分</w:t>
            </w:r>
          </w:p>
        </w:tc>
      </w:tr>
      <w:tr>
        <w:tblPrEx>
          <w:tblCellMar>
            <w:top w:w="15" w:type="dxa"/>
            <w:left w:w="15" w:type="dxa"/>
            <w:bottom w:w="15" w:type="dxa"/>
            <w:right w:w="15" w:type="dxa"/>
          </w:tblCellMar>
        </w:tblPrEx>
        <w:trPr>
          <w:gridAfter w:val="1"/>
          <w:wAfter w:w="1190" w:type="dxa"/>
          <w:trHeight w:val="624" w:hRule="atLeast"/>
          <w:jc w:val="center"/>
        </w:trPr>
        <w:tc>
          <w:tcPr>
            <w:tcW w:w="975"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1933"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年度资金总额</w:t>
            </w:r>
          </w:p>
        </w:tc>
        <w:tc>
          <w:tcPr>
            <w:tcW w:w="115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1771.42</w:t>
            </w:r>
          </w:p>
        </w:tc>
        <w:tc>
          <w:tcPr>
            <w:tcW w:w="1528"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1957.25</w:t>
            </w:r>
          </w:p>
        </w:tc>
        <w:tc>
          <w:tcPr>
            <w:tcW w:w="13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1957.25</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w:t>
            </w:r>
          </w:p>
        </w:tc>
        <w:tc>
          <w:tcPr>
            <w:tcW w:w="105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120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tblPrEx>
          <w:tblCellMar>
            <w:top w:w="15" w:type="dxa"/>
            <w:left w:w="15" w:type="dxa"/>
            <w:bottom w:w="15" w:type="dxa"/>
            <w:right w:w="15" w:type="dxa"/>
          </w:tblCellMar>
        </w:tblPrEx>
        <w:trPr>
          <w:gridAfter w:val="1"/>
          <w:wAfter w:w="1190" w:type="dxa"/>
          <w:trHeight w:val="567" w:hRule="atLeast"/>
          <w:jc w:val="center"/>
        </w:trPr>
        <w:tc>
          <w:tcPr>
            <w:tcW w:w="975"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4611" w:type="dxa"/>
            <w:gridSpan w:val="10"/>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按收入性质分：</w:t>
            </w:r>
          </w:p>
        </w:tc>
        <w:tc>
          <w:tcPr>
            <w:tcW w:w="427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按支出性质分：</w:t>
            </w:r>
          </w:p>
        </w:tc>
      </w:tr>
      <w:tr>
        <w:tblPrEx>
          <w:tblCellMar>
            <w:top w:w="15" w:type="dxa"/>
            <w:left w:w="15" w:type="dxa"/>
            <w:bottom w:w="15" w:type="dxa"/>
            <w:right w:w="15" w:type="dxa"/>
          </w:tblCellMar>
        </w:tblPrEx>
        <w:trPr>
          <w:gridAfter w:val="1"/>
          <w:wAfter w:w="1190" w:type="dxa"/>
          <w:trHeight w:val="567" w:hRule="atLeast"/>
          <w:jc w:val="center"/>
        </w:trPr>
        <w:tc>
          <w:tcPr>
            <w:tcW w:w="975"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4611" w:type="dxa"/>
            <w:gridSpan w:val="10"/>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其中：  一般公共预算：</w:t>
            </w:r>
            <w:r>
              <w:rPr>
                <w:rFonts w:hint="eastAsia" w:ascii="仿宋" w:hAnsi="仿宋" w:eastAsia="仿宋" w:cs="仿宋"/>
                <w:kern w:val="0"/>
                <w:sz w:val="24"/>
                <w:szCs w:val="24"/>
                <w:lang w:val="en-US" w:eastAsia="zh-CN"/>
              </w:rPr>
              <w:t>1825.99</w:t>
            </w:r>
          </w:p>
        </w:tc>
        <w:tc>
          <w:tcPr>
            <w:tcW w:w="427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其中：基本支出：</w:t>
            </w:r>
            <w:r>
              <w:rPr>
                <w:rFonts w:hint="eastAsia" w:ascii="仿宋" w:hAnsi="仿宋" w:eastAsia="仿宋" w:cs="仿宋"/>
                <w:kern w:val="0"/>
                <w:sz w:val="24"/>
                <w:szCs w:val="24"/>
                <w:lang w:val="en-US" w:eastAsia="zh-CN"/>
              </w:rPr>
              <w:t>1421.94</w:t>
            </w:r>
          </w:p>
        </w:tc>
      </w:tr>
      <w:tr>
        <w:tblPrEx>
          <w:tblCellMar>
            <w:top w:w="15" w:type="dxa"/>
            <w:left w:w="15" w:type="dxa"/>
            <w:bottom w:w="15" w:type="dxa"/>
            <w:right w:w="15" w:type="dxa"/>
          </w:tblCellMar>
        </w:tblPrEx>
        <w:trPr>
          <w:gridAfter w:val="1"/>
          <w:wAfter w:w="1190" w:type="dxa"/>
          <w:trHeight w:val="567" w:hRule="atLeast"/>
          <w:jc w:val="center"/>
        </w:trPr>
        <w:tc>
          <w:tcPr>
            <w:tcW w:w="975"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4611" w:type="dxa"/>
            <w:gridSpan w:val="10"/>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firstLine="800"/>
              <w:jc w:val="center"/>
              <w:rPr>
                <w:rFonts w:hint="eastAsia" w:ascii="仿宋" w:hAnsi="仿宋" w:eastAsia="仿宋" w:cs="仿宋"/>
                <w:kern w:val="0"/>
                <w:sz w:val="24"/>
                <w:szCs w:val="24"/>
              </w:rPr>
            </w:pPr>
            <w:r>
              <w:rPr>
                <w:rFonts w:hint="eastAsia" w:ascii="仿宋" w:hAnsi="仿宋" w:eastAsia="仿宋" w:cs="仿宋"/>
                <w:kern w:val="0"/>
                <w:sz w:val="24"/>
                <w:szCs w:val="24"/>
              </w:rPr>
              <w:t>政府性基金拨款：</w:t>
            </w:r>
          </w:p>
        </w:tc>
        <w:tc>
          <w:tcPr>
            <w:tcW w:w="427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firstLine="60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项目支出：</w:t>
            </w:r>
            <w:r>
              <w:rPr>
                <w:rFonts w:hint="eastAsia" w:ascii="仿宋" w:hAnsi="仿宋" w:eastAsia="仿宋" w:cs="仿宋"/>
                <w:kern w:val="0"/>
                <w:sz w:val="24"/>
                <w:szCs w:val="24"/>
                <w:lang w:val="en-US" w:eastAsia="zh-CN"/>
              </w:rPr>
              <w:t>535.31</w:t>
            </w:r>
          </w:p>
        </w:tc>
      </w:tr>
      <w:tr>
        <w:tblPrEx>
          <w:tblCellMar>
            <w:top w:w="15" w:type="dxa"/>
            <w:left w:w="15" w:type="dxa"/>
            <w:bottom w:w="15" w:type="dxa"/>
            <w:right w:w="15" w:type="dxa"/>
          </w:tblCellMar>
        </w:tblPrEx>
        <w:trPr>
          <w:gridAfter w:val="1"/>
          <w:wAfter w:w="1190" w:type="dxa"/>
          <w:trHeight w:val="567" w:hRule="atLeast"/>
          <w:jc w:val="center"/>
        </w:trPr>
        <w:tc>
          <w:tcPr>
            <w:tcW w:w="975"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4611" w:type="dxa"/>
            <w:gridSpan w:val="10"/>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纳入专户管理的非税收入拨款：</w:t>
            </w:r>
          </w:p>
        </w:tc>
        <w:tc>
          <w:tcPr>
            <w:tcW w:w="427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15" w:type="dxa"/>
            <w:left w:w="15" w:type="dxa"/>
            <w:bottom w:w="15" w:type="dxa"/>
            <w:right w:w="15" w:type="dxa"/>
          </w:tblCellMar>
        </w:tblPrEx>
        <w:trPr>
          <w:gridAfter w:val="1"/>
          <w:wAfter w:w="1190" w:type="dxa"/>
          <w:trHeight w:val="567" w:hRule="atLeast"/>
          <w:jc w:val="center"/>
        </w:trPr>
        <w:tc>
          <w:tcPr>
            <w:tcW w:w="975"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4"/>
                <w:szCs w:val="24"/>
              </w:rPr>
            </w:pPr>
          </w:p>
        </w:tc>
        <w:tc>
          <w:tcPr>
            <w:tcW w:w="4611" w:type="dxa"/>
            <w:gridSpan w:val="10"/>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firstLine="140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其他资金：</w:t>
            </w:r>
            <w:r>
              <w:rPr>
                <w:rFonts w:hint="eastAsia" w:ascii="仿宋" w:hAnsi="仿宋" w:eastAsia="仿宋" w:cs="仿宋"/>
                <w:kern w:val="0"/>
                <w:sz w:val="24"/>
                <w:szCs w:val="24"/>
                <w:lang w:val="en-US" w:eastAsia="zh-CN"/>
              </w:rPr>
              <w:t>131.26</w:t>
            </w:r>
          </w:p>
        </w:tc>
        <w:tc>
          <w:tcPr>
            <w:tcW w:w="427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15" w:type="dxa"/>
            <w:left w:w="15" w:type="dxa"/>
            <w:bottom w:w="15" w:type="dxa"/>
            <w:right w:w="15" w:type="dxa"/>
          </w:tblCellMar>
        </w:tblPrEx>
        <w:trPr>
          <w:gridAfter w:val="1"/>
          <w:wAfter w:w="1190" w:type="dxa"/>
          <w:trHeight w:val="567" w:hRule="atLeast"/>
          <w:jc w:val="center"/>
        </w:trPr>
        <w:tc>
          <w:tcPr>
            <w:tcW w:w="97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年度总体目标</w:t>
            </w:r>
          </w:p>
        </w:tc>
        <w:tc>
          <w:tcPr>
            <w:tcW w:w="4611" w:type="dxa"/>
            <w:gridSpan w:val="10"/>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预期目标</w:t>
            </w:r>
          </w:p>
        </w:tc>
        <w:tc>
          <w:tcPr>
            <w:tcW w:w="427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实际完成情况</w:t>
            </w:r>
          </w:p>
        </w:tc>
      </w:tr>
      <w:tr>
        <w:tblPrEx>
          <w:tblCellMar>
            <w:top w:w="15" w:type="dxa"/>
            <w:left w:w="15" w:type="dxa"/>
            <w:bottom w:w="15" w:type="dxa"/>
            <w:right w:w="15" w:type="dxa"/>
          </w:tblCellMar>
        </w:tblPrEx>
        <w:trPr>
          <w:gridAfter w:val="1"/>
          <w:wAfter w:w="1190" w:type="dxa"/>
          <w:trHeight w:val="3156" w:hRule="atLeast"/>
          <w:jc w:val="center"/>
        </w:trPr>
        <w:tc>
          <w:tcPr>
            <w:tcW w:w="975"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30"/>
                <w:szCs w:val="30"/>
              </w:rPr>
            </w:pPr>
          </w:p>
        </w:tc>
        <w:tc>
          <w:tcPr>
            <w:tcW w:w="4611" w:type="dxa"/>
            <w:gridSpan w:val="10"/>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rPr>
                <w:rFonts w:hint="eastAsia" w:ascii="仿宋" w:hAnsi="仿宋" w:eastAsia="仿宋" w:cs="仿宋"/>
                <w:kern w:val="0"/>
                <w:sz w:val="24"/>
                <w:szCs w:val="24"/>
              </w:rPr>
            </w:pPr>
            <w:r>
              <w:rPr>
                <w:rFonts w:hint="eastAsia" w:ascii="仿宋" w:hAnsi="仿宋" w:eastAsia="仿宋" w:cs="仿宋"/>
                <w:kern w:val="0"/>
                <w:sz w:val="24"/>
                <w:szCs w:val="24"/>
              </w:rPr>
              <w:t>1、保证</w:t>
            </w:r>
            <w:r>
              <w:rPr>
                <w:rFonts w:hint="eastAsia" w:ascii="仿宋" w:hAnsi="仿宋" w:eastAsia="仿宋" w:cs="仿宋"/>
                <w:kern w:val="0"/>
                <w:sz w:val="24"/>
                <w:szCs w:val="24"/>
                <w:lang w:eastAsia="zh-CN"/>
              </w:rPr>
              <w:t>中心</w:t>
            </w:r>
            <w:r>
              <w:rPr>
                <w:rFonts w:hint="eastAsia" w:ascii="仿宋" w:hAnsi="仿宋" w:eastAsia="仿宋" w:cs="仿宋"/>
                <w:kern w:val="0"/>
                <w:sz w:val="24"/>
                <w:szCs w:val="24"/>
              </w:rPr>
              <w:t>正常运转，推进各项专项工作正常运作，编制内在职人员控制率≤100%，控制在预算编制以内，2、全面完成</w:t>
            </w:r>
            <w:r>
              <w:rPr>
                <w:rFonts w:hint="eastAsia" w:ascii="仿宋" w:hAnsi="仿宋" w:eastAsia="仿宋" w:cs="仿宋"/>
                <w:kern w:val="0"/>
                <w:sz w:val="24"/>
                <w:szCs w:val="24"/>
                <w:lang w:eastAsia="zh-CN"/>
              </w:rPr>
              <w:t>区</w:t>
            </w:r>
            <w:r>
              <w:rPr>
                <w:rFonts w:hint="eastAsia" w:ascii="仿宋" w:hAnsi="仿宋" w:eastAsia="仿宋" w:cs="仿宋"/>
                <w:kern w:val="0"/>
                <w:sz w:val="24"/>
                <w:szCs w:val="24"/>
              </w:rPr>
              <w:t>委经济工作会议和</w:t>
            </w:r>
            <w:r>
              <w:rPr>
                <w:rFonts w:hint="eastAsia" w:ascii="仿宋" w:hAnsi="仿宋" w:eastAsia="仿宋" w:cs="仿宋"/>
                <w:kern w:val="0"/>
                <w:sz w:val="24"/>
                <w:szCs w:val="24"/>
                <w:lang w:eastAsia="zh-CN"/>
              </w:rPr>
              <w:t>区</w:t>
            </w:r>
            <w:r>
              <w:rPr>
                <w:rFonts w:hint="eastAsia" w:ascii="仿宋" w:hAnsi="仿宋" w:eastAsia="仿宋" w:cs="仿宋"/>
                <w:kern w:val="0"/>
                <w:sz w:val="24"/>
                <w:szCs w:val="24"/>
              </w:rPr>
              <w:t>政府工作报告确定的各项任务；</w:t>
            </w:r>
          </w:p>
          <w:p>
            <w:pPr>
              <w:widowControl/>
              <w:spacing w:line="300" w:lineRule="atLeast"/>
              <w:rPr>
                <w:rFonts w:hint="eastAsia" w:ascii="仿宋" w:hAnsi="仿宋" w:eastAsia="仿宋" w:cs="仿宋"/>
                <w:kern w:val="0"/>
                <w:sz w:val="24"/>
                <w:szCs w:val="24"/>
              </w:rPr>
            </w:pPr>
            <w:r>
              <w:rPr>
                <w:rFonts w:hint="eastAsia" w:ascii="仿宋" w:hAnsi="仿宋" w:eastAsia="仿宋" w:cs="仿宋"/>
                <w:kern w:val="0"/>
                <w:sz w:val="24"/>
                <w:szCs w:val="24"/>
              </w:rPr>
              <w:t>3采取整乡镇、区域行政村相对集中连片，推进水稻机插机抛秧服务的方式主办机插机抛秧技术等内容的培训，培训育插秧机械化技术员, 印发宣传、培训材料,推广高速插秧机、高速抛秧机、粮食烘干机、植保机械、北斗终端</w:t>
            </w:r>
            <w:r>
              <w:rPr>
                <w:rFonts w:hint="eastAsia" w:ascii="仿宋" w:hAnsi="仿宋" w:eastAsia="仿宋" w:cs="仿宋"/>
                <w:kern w:val="0"/>
                <w:sz w:val="24"/>
                <w:szCs w:val="24"/>
                <w:lang w:eastAsia="zh-CN"/>
              </w:rPr>
              <w:t>等技术</w:t>
            </w:r>
            <w:r>
              <w:rPr>
                <w:rFonts w:hint="eastAsia" w:ascii="仿宋" w:hAnsi="仿宋" w:eastAsia="仿宋" w:cs="仿宋"/>
                <w:kern w:val="0"/>
                <w:sz w:val="24"/>
                <w:szCs w:val="24"/>
              </w:rPr>
              <w:t>。</w:t>
            </w:r>
          </w:p>
        </w:tc>
        <w:tc>
          <w:tcPr>
            <w:tcW w:w="4279"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2022年</w:t>
            </w:r>
            <w:r>
              <w:rPr>
                <w:rFonts w:hint="eastAsia" w:ascii="仿宋" w:hAnsi="仿宋" w:eastAsia="仿宋" w:cs="仿宋"/>
                <w:kern w:val="0"/>
                <w:sz w:val="24"/>
                <w:szCs w:val="24"/>
              </w:rPr>
              <w:t>保证</w:t>
            </w:r>
            <w:r>
              <w:rPr>
                <w:rFonts w:hint="eastAsia" w:ascii="仿宋" w:hAnsi="仿宋" w:eastAsia="仿宋" w:cs="仿宋"/>
                <w:kern w:val="0"/>
                <w:sz w:val="24"/>
                <w:szCs w:val="24"/>
                <w:lang w:eastAsia="zh-CN"/>
              </w:rPr>
              <w:t>中心</w:t>
            </w:r>
            <w:r>
              <w:rPr>
                <w:rFonts w:hint="eastAsia" w:ascii="仿宋" w:hAnsi="仿宋" w:eastAsia="仿宋" w:cs="仿宋"/>
                <w:kern w:val="0"/>
                <w:sz w:val="24"/>
                <w:szCs w:val="24"/>
              </w:rPr>
              <w:t>正常运转，推进各项专项工作正常运作，编制内在职人员控制率≤100%，控制在预算编制以内，2、全面完成</w:t>
            </w:r>
            <w:r>
              <w:rPr>
                <w:rFonts w:hint="eastAsia" w:ascii="仿宋" w:hAnsi="仿宋" w:eastAsia="仿宋" w:cs="仿宋"/>
                <w:kern w:val="0"/>
                <w:sz w:val="24"/>
                <w:szCs w:val="24"/>
                <w:lang w:eastAsia="zh-CN"/>
              </w:rPr>
              <w:t>了区</w:t>
            </w:r>
            <w:r>
              <w:rPr>
                <w:rFonts w:hint="eastAsia" w:ascii="仿宋" w:hAnsi="仿宋" w:eastAsia="仿宋" w:cs="仿宋"/>
                <w:kern w:val="0"/>
                <w:sz w:val="24"/>
                <w:szCs w:val="24"/>
              </w:rPr>
              <w:t>委经济工作会议和</w:t>
            </w:r>
            <w:r>
              <w:rPr>
                <w:rFonts w:hint="eastAsia" w:ascii="仿宋" w:hAnsi="仿宋" w:eastAsia="仿宋" w:cs="仿宋"/>
                <w:kern w:val="0"/>
                <w:sz w:val="24"/>
                <w:szCs w:val="24"/>
                <w:lang w:eastAsia="zh-CN"/>
              </w:rPr>
              <w:t>区</w:t>
            </w:r>
            <w:r>
              <w:rPr>
                <w:rFonts w:hint="eastAsia" w:ascii="仿宋" w:hAnsi="仿宋" w:eastAsia="仿宋" w:cs="仿宋"/>
                <w:kern w:val="0"/>
                <w:sz w:val="24"/>
                <w:szCs w:val="24"/>
              </w:rPr>
              <w:t>政府工作报告确定的各项任务；</w:t>
            </w:r>
          </w:p>
          <w:p>
            <w:pPr>
              <w:widowControl/>
              <w:spacing w:line="30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2022年共</w:t>
            </w:r>
            <w:r>
              <w:rPr>
                <w:rFonts w:hint="eastAsia" w:ascii="仿宋" w:hAnsi="仿宋" w:eastAsia="仿宋" w:cs="仿宋"/>
                <w:kern w:val="0"/>
                <w:sz w:val="24"/>
                <w:szCs w:val="24"/>
              </w:rPr>
              <w:t>主办机插机抛秧技术等内容的培训4期，培训育插秧机械化技术员220余人(次), 印发宣传、培训材料350多份,截至目前推广高速插秧机19台、高速抛秧机1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台、粮食烘干机6台、植保机械56台、北斗终端73台。</w:t>
            </w:r>
          </w:p>
        </w:tc>
      </w:tr>
      <w:tr>
        <w:tblPrEx>
          <w:tblCellMar>
            <w:top w:w="15" w:type="dxa"/>
            <w:left w:w="15" w:type="dxa"/>
            <w:bottom w:w="15" w:type="dxa"/>
            <w:right w:w="15" w:type="dxa"/>
          </w:tblCellMar>
        </w:tblPrEx>
        <w:trPr>
          <w:gridAfter w:val="1"/>
          <w:wAfter w:w="1190" w:type="dxa"/>
          <w:jc w:val="center"/>
        </w:trPr>
        <w:tc>
          <w:tcPr>
            <w:tcW w:w="97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绩</w:t>
            </w:r>
          </w:p>
          <w:p>
            <w:pPr>
              <w:widowControl/>
              <w:spacing w:line="32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效</w:t>
            </w:r>
          </w:p>
          <w:p>
            <w:pPr>
              <w:widowControl/>
              <w:spacing w:line="32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指</w:t>
            </w:r>
          </w:p>
          <w:p>
            <w:pPr>
              <w:widowControl/>
              <w:spacing w:line="32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标</w:t>
            </w:r>
          </w:p>
          <w:p>
            <w:pPr>
              <w:widowControl/>
              <w:spacing w:line="32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绩</w:t>
            </w:r>
          </w:p>
          <w:p>
            <w:pPr>
              <w:widowControl/>
              <w:spacing w:line="32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效</w:t>
            </w:r>
          </w:p>
          <w:p>
            <w:pPr>
              <w:widowControl/>
              <w:spacing w:line="32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指</w:t>
            </w:r>
          </w:p>
          <w:p>
            <w:pPr>
              <w:widowControl/>
              <w:spacing w:line="32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标</w:t>
            </w:r>
          </w:p>
        </w:tc>
        <w:tc>
          <w:tcPr>
            <w:tcW w:w="943"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一级</w:t>
            </w:r>
          </w:p>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指标</w:t>
            </w:r>
          </w:p>
        </w:tc>
        <w:tc>
          <w:tcPr>
            <w:tcW w:w="99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二级指标</w:t>
            </w:r>
          </w:p>
        </w:tc>
        <w:tc>
          <w:tcPr>
            <w:tcW w:w="1393"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三级指标</w:t>
            </w:r>
          </w:p>
        </w:tc>
        <w:tc>
          <w:tcPr>
            <w:tcW w:w="1285"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年度</w:t>
            </w:r>
          </w:p>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指标值</w:t>
            </w:r>
          </w:p>
        </w:tc>
        <w:tc>
          <w:tcPr>
            <w:tcW w:w="1301"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实际完成值</w:t>
            </w:r>
          </w:p>
        </w:tc>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分值</w:t>
            </w:r>
          </w:p>
        </w:tc>
        <w:tc>
          <w:tcPr>
            <w:tcW w:w="1050"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得分</w:t>
            </w:r>
          </w:p>
        </w:tc>
        <w:tc>
          <w:tcPr>
            <w:tcW w:w="1200"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偏差原因</w:t>
            </w:r>
          </w:p>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分析及改进措施</w:t>
            </w:r>
          </w:p>
        </w:tc>
      </w:tr>
      <w:tr>
        <w:tblPrEx>
          <w:tblCellMar>
            <w:top w:w="15" w:type="dxa"/>
            <w:left w:w="15" w:type="dxa"/>
            <w:bottom w:w="15" w:type="dxa"/>
            <w:right w:w="15" w:type="dxa"/>
          </w:tblCellMar>
        </w:tblPrEx>
        <w:trPr>
          <w:gridAfter w:val="1"/>
          <w:wAfter w:w="1190" w:type="dxa"/>
          <w:trHeight w:val="90" w:hRule="atLeast"/>
          <w:jc w:val="center"/>
        </w:trPr>
        <w:tc>
          <w:tcPr>
            <w:tcW w:w="975"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21"/>
                <w:szCs w:val="21"/>
              </w:rPr>
            </w:pPr>
          </w:p>
        </w:tc>
        <w:tc>
          <w:tcPr>
            <w:tcW w:w="943"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产出</w:t>
            </w:r>
          </w:p>
          <w:p>
            <w:pPr>
              <w:widowControl/>
              <w:spacing w:line="30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指标</w:t>
            </w:r>
          </w:p>
          <w:p>
            <w:pPr>
              <w:widowControl/>
              <w:spacing w:line="9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（50分）</w:t>
            </w:r>
          </w:p>
        </w:tc>
        <w:tc>
          <w:tcPr>
            <w:tcW w:w="990"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hint="eastAsia" w:ascii="仿宋" w:hAnsi="仿宋" w:eastAsia="仿宋" w:cs="仿宋"/>
                <w:kern w:val="0"/>
                <w:sz w:val="21"/>
                <w:szCs w:val="21"/>
              </w:rPr>
            </w:pPr>
          </w:p>
        </w:tc>
        <w:tc>
          <w:tcPr>
            <w:tcW w:w="1393"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机插机抛秧技术等内容的培训</w:t>
            </w:r>
          </w:p>
        </w:tc>
        <w:tc>
          <w:tcPr>
            <w:tcW w:w="12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hint="eastAsia" w:ascii="仿宋" w:hAnsi="仿宋" w:eastAsia="仿宋" w:cs="仿宋"/>
                <w:kern w:val="0"/>
                <w:sz w:val="21"/>
                <w:szCs w:val="21"/>
              </w:rPr>
            </w:pPr>
            <w:r>
              <w:rPr>
                <w:rFonts w:hint="eastAsia" w:ascii="仿宋" w:hAnsi="仿宋" w:eastAsia="仿宋" w:cs="仿宋"/>
                <w:kern w:val="0"/>
                <w:sz w:val="21"/>
                <w:szCs w:val="21"/>
              </w:rPr>
              <w:t>≥全省平均水平</w:t>
            </w:r>
          </w:p>
        </w:tc>
        <w:tc>
          <w:tcPr>
            <w:tcW w:w="13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4次</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105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center"/>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6</w:t>
            </w:r>
          </w:p>
        </w:tc>
        <w:tc>
          <w:tcPr>
            <w:tcW w:w="120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90" w:lineRule="atLeast"/>
              <w:jc w:val="both"/>
              <w:rPr>
                <w:rFonts w:hint="eastAsia" w:ascii="仿宋" w:hAnsi="仿宋" w:eastAsia="仿宋" w:cs="仿宋"/>
                <w:kern w:val="0"/>
                <w:sz w:val="21"/>
                <w:szCs w:val="21"/>
              </w:rPr>
            </w:pPr>
          </w:p>
        </w:tc>
      </w:tr>
      <w:tr>
        <w:tblPrEx>
          <w:tblCellMar>
            <w:top w:w="15" w:type="dxa"/>
            <w:left w:w="15" w:type="dxa"/>
            <w:bottom w:w="15" w:type="dxa"/>
            <w:right w:w="15" w:type="dxa"/>
          </w:tblCellMar>
        </w:tblPrEx>
        <w:trPr>
          <w:gridAfter w:val="1"/>
          <w:wAfter w:w="1190" w:type="dxa"/>
          <w:trHeight w:val="1431" w:hRule="atLeast"/>
          <w:jc w:val="center"/>
        </w:trPr>
        <w:tc>
          <w:tcPr>
            <w:tcW w:w="975" w:type="dxa"/>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30"/>
                <w:szCs w:val="30"/>
              </w:rPr>
            </w:pPr>
          </w:p>
        </w:tc>
        <w:tc>
          <w:tcPr>
            <w:tcW w:w="943"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30"/>
                <w:szCs w:val="30"/>
              </w:rPr>
            </w:pPr>
          </w:p>
        </w:tc>
        <w:tc>
          <w:tcPr>
            <w:tcW w:w="990"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hint="eastAsia" w:ascii="仿宋" w:hAnsi="仿宋" w:eastAsia="仿宋" w:cs="仿宋"/>
                <w:kern w:val="0"/>
                <w:sz w:val="30"/>
                <w:szCs w:val="30"/>
              </w:rPr>
            </w:pPr>
          </w:p>
        </w:tc>
        <w:tc>
          <w:tcPr>
            <w:tcW w:w="1393"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培训育插秧机械化技术员</w:t>
            </w:r>
          </w:p>
        </w:tc>
        <w:tc>
          <w:tcPr>
            <w:tcW w:w="1285"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≥全省平均水平</w:t>
            </w:r>
          </w:p>
        </w:tc>
        <w:tc>
          <w:tcPr>
            <w:tcW w:w="1301"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220人</w:t>
            </w:r>
          </w:p>
        </w:tc>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050"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200"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715" w:hRule="atLeast"/>
          <w:jc w:val="center"/>
        </w:trPr>
        <w:tc>
          <w:tcPr>
            <w:tcW w:w="1091" w:type="dxa"/>
            <w:gridSpan w:val="2"/>
            <w:vMerge w:val="restart"/>
          </w:tcPr>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spacing w:line="213" w:lineRule="auto"/>
              <w:ind w:left="452" w:right="410" w:firstLine="7"/>
              <w:jc w:val="center"/>
              <w:rPr>
                <w:rFonts w:hint="eastAsia" w:ascii="仿宋" w:hAnsi="仿宋" w:eastAsia="仿宋" w:cs="仿宋"/>
                <w:sz w:val="30"/>
                <w:szCs w:val="30"/>
              </w:rPr>
            </w:pPr>
            <w:r>
              <w:rPr>
                <w:rFonts w:hint="eastAsia" w:ascii="仿宋" w:hAnsi="仿宋" w:eastAsia="仿宋" w:cs="仿宋"/>
                <w:color w:val="2A2A2A"/>
                <w:w w:val="95"/>
                <w:sz w:val="30"/>
                <w:szCs w:val="30"/>
              </w:rPr>
              <w:t>绩</w:t>
            </w:r>
            <w:r>
              <w:rPr>
                <w:rFonts w:hint="eastAsia" w:ascii="仿宋" w:hAnsi="仿宋" w:eastAsia="仿宋" w:cs="仿宋"/>
                <w:color w:val="2A2A2A"/>
                <w:sz w:val="30"/>
                <w:szCs w:val="30"/>
              </w:rPr>
              <w:t>效指标</w:t>
            </w:r>
          </w:p>
        </w:tc>
        <w:tc>
          <w:tcPr>
            <w:tcW w:w="1086" w:type="dxa"/>
            <w:gridSpan w:val="2"/>
          </w:tcPr>
          <w:p>
            <w:pPr>
              <w:pStyle w:val="17"/>
              <w:spacing w:before="7"/>
              <w:jc w:val="center"/>
              <w:rPr>
                <w:rFonts w:hint="eastAsia" w:ascii="仿宋" w:hAnsi="仿宋" w:eastAsia="仿宋" w:cs="仿宋"/>
                <w:sz w:val="30"/>
                <w:szCs w:val="30"/>
              </w:rPr>
            </w:pPr>
          </w:p>
          <w:p>
            <w:pPr>
              <w:pStyle w:val="17"/>
              <w:ind w:left="156"/>
              <w:jc w:val="center"/>
              <w:rPr>
                <w:rFonts w:hint="eastAsia" w:ascii="仿宋" w:hAnsi="仿宋" w:eastAsia="仿宋" w:cs="仿宋"/>
                <w:sz w:val="30"/>
                <w:szCs w:val="30"/>
              </w:rPr>
            </w:pPr>
            <w:r>
              <w:rPr>
                <w:rFonts w:hint="eastAsia" w:ascii="仿宋" w:hAnsi="仿宋" w:eastAsia="仿宋" w:cs="仿宋"/>
                <w:color w:val="595959"/>
                <w:sz w:val="30"/>
                <w:szCs w:val="30"/>
              </w:rPr>
              <w:t>一级指标</w:t>
            </w:r>
          </w:p>
        </w:tc>
        <w:tc>
          <w:tcPr>
            <w:tcW w:w="956" w:type="dxa"/>
            <w:gridSpan w:val="2"/>
          </w:tcPr>
          <w:p>
            <w:pPr>
              <w:pStyle w:val="17"/>
              <w:spacing w:before="93" w:line="218" w:lineRule="auto"/>
              <w:ind w:left="390" w:right="141" w:hanging="200"/>
              <w:jc w:val="center"/>
              <w:rPr>
                <w:rFonts w:hint="eastAsia" w:ascii="仿宋" w:hAnsi="仿宋" w:eastAsia="仿宋" w:cs="仿宋"/>
                <w:sz w:val="30"/>
                <w:szCs w:val="30"/>
              </w:rPr>
            </w:pPr>
            <w:r>
              <w:rPr>
                <w:rFonts w:hint="eastAsia" w:ascii="仿宋" w:hAnsi="仿宋" w:eastAsia="仿宋" w:cs="仿宋"/>
                <w:color w:val="595959"/>
                <w:w w:val="95"/>
                <w:sz w:val="30"/>
                <w:szCs w:val="30"/>
              </w:rPr>
              <w:t>二级指</w:t>
            </w:r>
            <w:r>
              <w:rPr>
                <w:rFonts w:hint="eastAsia" w:ascii="仿宋" w:hAnsi="仿宋" w:eastAsia="仿宋" w:cs="仿宋"/>
                <w:color w:val="595959"/>
                <w:sz w:val="30"/>
                <w:szCs w:val="30"/>
              </w:rPr>
              <w:t>标</w:t>
            </w:r>
          </w:p>
        </w:tc>
        <w:tc>
          <w:tcPr>
            <w:tcW w:w="1350" w:type="dxa"/>
            <w:gridSpan w:val="2"/>
          </w:tcPr>
          <w:p>
            <w:pPr>
              <w:pStyle w:val="17"/>
              <w:spacing w:before="7"/>
              <w:jc w:val="center"/>
              <w:rPr>
                <w:rFonts w:hint="eastAsia" w:ascii="仿宋" w:hAnsi="仿宋" w:eastAsia="仿宋" w:cs="仿宋"/>
                <w:sz w:val="30"/>
                <w:szCs w:val="30"/>
              </w:rPr>
            </w:pPr>
          </w:p>
          <w:p>
            <w:pPr>
              <w:pStyle w:val="17"/>
              <w:ind w:left="301"/>
              <w:jc w:val="center"/>
              <w:rPr>
                <w:rFonts w:hint="eastAsia" w:ascii="仿宋" w:hAnsi="仿宋" w:eastAsia="仿宋" w:cs="仿宋"/>
                <w:sz w:val="30"/>
                <w:szCs w:val="30"/>
              </w:rPr>
            </w:pPr>
            <w:r>
              <w:rPr>
                <w:rFonts w:hint="eastAsia" w:ascii="仿宋" w:hAnsi="仿宋" w:eastAsia="仿宋" w:cs="仿宋"/>
                <w:color w:val="595959"/>
                <w:sz w:val="30"/>
                <w:szCs w:val="30"/>
              </w:rPr>
              <w:t>三级指标</w:t>
            </w:r>
          </w:p>
        </w:tc>
        <w:tc>
          <w:tcPr>
            <w:tcW w:w="1197" w:type="dxa"/>
            <w:gridSpan w:val="2"/>
          </w:tcPr>
          <w:p>
            <w:pPr>
              <w:pStyle w:val="17"/>
              <w:spacing w:before="107" w:line="213" w:lineRule="auto"/>
              <w:ind w:left="318" w:right="248" w:firstLine="102"/>
              <w:jc w:val="center"/>
              <w:rPr>
                <w:rFonts w:hint="eastAsia" w:ascii="仿宋" w:hAnsi="仿宋" w:eastAsia="仿宋" w:cs="仿宋"/>
                <w:sz w:val="30"/>
                <w:szCs w:val="30"/>
              </w:rPr>
            </w:pPr>
            <w:r>
              <w:rPr>
                <w:rFonts w:hint="eastAsia" w:ascii="仿宋" w:hAnsi="仿宋" w:eastAsia="仿宋" w:cs="仿宋"/>
                <w:color w:val="595959"/>
                <w:sz w:val="30"/>
                <w:szCs w:val="30"/>
              </w:rPr>
              <w:t>年度</w:t>
            </w:r>
            <w:r>
              <w:rPr>
                <w:rFonts w:hint="eastAsia" w:ascii="仿宋" w:hAnsi="仿宋" w:eastAsia="仿宋" w:cs="仿宋"/>
                <w:color w:val="595959"/>
                <w:w w:val="95"/>
                <w:sz w:val="30"/>
                <w:szCs w:val="30"/>
              </w:rPr>
              <w:t>指标值</w:t>
            </w:r>
          </w:p>
        </w:tc>
        <w:tc>
          <w:tcPr>
            <w:tcW w:w="1274" w:type="dxa"/>
            <w:gridSpan w:val="3"/>
          </w:tcPr>
          <w:p>
            <w:pPr>
              <w:pStyle w:val="17"/>
              <w:spacing w:before="11"/>
              <w:jc w:val="center"/>
              <w:rPr>
                <w:rFonts w:hint="eastAsia" w:ascii="仿宋" w:hAnsi="仿宋" w:eastAsia="仿宋" w:cs="仿宋"/>
                <w:sz w:val="30"/>
                <w:szCs w:val="30"/>
              </w:rPr>
            </w:pPr>
          </w:p>
          <w:p>
            <w:pPr>
              <w:pStyle w:val="17"/>
              <w:spacing w:before="1"/>
              <w:ind w:right="114"/>
              <w:jc w:val="center"/>
              <w:rPr>
                <w:rFonts w:hint="eastAsia" w:ascii="仿宋" w:hAnsi="仿宋" w:eastAsia="仿宋" w:cs="仿宋"/>
                <w:sz w:val="30"/>
                <w:szCs w:val="30"/>
              </w:rPr>
            </w:pPr>
            <w:r>
              <w:rPr>
                <w:rFonts w:hint="eastAsia" w:ascii="仿宋" w:hAnsi="仿宋" w:eastAsia="仿宋" w:cs="仿宋"/>
                <w:color w:val="595959"/>
                <w:w w:val="95"/>
                <w:sz w:val="30"/>
                <w:szCs w:val="30"/>
              </w:rPr>
              <w:t>实际完成值</w:t>
            </w:r>
          </w:p>
        </w:tc>
        <w:tc>
          <w:tcPr>
            <w:tcW w:w="817" w:type="dxa"/>
            <w:gridSpan w:val="2"/>
          </w:tcPr>
          <w:p>
            <w:pPr>
              <w:pStyle w:val="17"/>
              <w:spacing w:before="11"/>
              <w:jc w:val="center"/>
              <w:rPr>
                <w:rFonts w:hint="eastAsia" w:ascii="仿宋" w:hAnsi="仿宋" w:eastAsia="仿宋" w:cs="仿宋"/>
                <w:sz w:val="30"/>
                <w:szCs w:val="30"/>
              </w:rPr>
            </w:pPr>
          </w:p>
          <w:p>
            <w:pPr>
              <w:pStyle w:val="17"/>
              <w:spacing w:before="1"/>
              <w:ind w:left="104" w:right="44"/>
              <w:jc w:val="center"/>
              <w:rPr>
                <w:rFonts w:hint="eastAsia" w:ascii="仿宋" w:hAnsi="仿宋" w:eastAsia="仿宋" w:cs="仿宋"/>
                <w:sz w:val="30"/>
                <w:szCs w:val="30"/>
              </w:rPr>
            </w:pPr>
            <w:r>
              <w:rPr>
                <w:rFonts w:hint="eastAsia" w:ascii="仿宋" w:hAnsi="仿宋" w:eastAsia="仿宋" w:cs="仿宋"/>
                <w:color w:val="595959"/>
                <w:sz w:val="30"/>
                <w:szCs w:val="30"/>
              </w:rPr>
              <w:t>分值</w:t>
            </w:r>
          </w:p>
        </w:tc>
        <w:tc>
          <w:tcPr>
            <w:tcW w:w="884" w:type="dxa"/>
          </w:tcPr>
          <w:p>
            <w:pPr>
              <w:pStyle w:val="17"/>
              <w:spacing w:before="11"/>
              <w:jc w:val="center"/>
              <w:rPr>
                <w:rFonts w:hint="eastAsia" w:ascii="仿宋" w:hAnsi="仿宋" w:eastAsia="仿宋" w:cs="仿宋"/>
                <w:sz w:val="30"/>
                <w:szCs w:val="30"/>
              </w:rPr>
            </w:pPr>
          </w:p>
          <w:p>
            <w:pPr>
              <w:pStyle w:val="17"/>
              <w:spacing w:before="1"/>
              <w:ind w:left="134" w:right="59"/>
              <w:jc w:val="center"/>
              <w:rPr>
                <w:rFonts w:hint="eastAsia" w:ascii="仿宋" w:hAnsi="仿宋" w:eastAsia="仿宋" w:cs="仿宋"/>
                <w:sz w:val="30"/>
                <w:szCs w:val="30"/>
              </w:rPr>
            </w:pPr>
            <w:r>
              <w:rPr>
                <w:rFonts w:hint="eastAsia" w:ascii="仿宋" w:hAnsi="仿宋" w:eastAsia="仿宋" w:cs="仿宋"/>
                <w:color w:val="595959"/>
                <w:sz w:val="30"/>
                <w:szCs w:val="30"/>
              </w:rPr>
              <w:t>得分</w:t>
            </w:r>
          </w:p>
        </w:tc>
        <w:tc>
          <w:tcPr>
            <w:tcW w:w="1331" w:type="dxa"/>
            <w:gridSpan w:val="2"/>
          </w:tcPr>
          <w:p>
            <w:pPr>
              <w:pStyle w:val="17"/>
              <w:spacing w:line="221" w:lineRule="exact"/>
              <w:ind w:left="289"/>
              <w:jc w:val="center"/>
              <w:rPr>
                <w:rFonts w:hint="eastAsia" w:ascii="仿宋" w:hAnsi="仿宋" w:eastAsia="仿宋" w:cs="仿宋"/>
                <w:sz w:val="30"/>
                <w:szCs w:val="30"/>
              </w:rPr>
            </w:pPr>
            <w:r>
              <w:rPr>
                <w:rFonts w:hint="eastAsia" w:ascii="仿宋" w:hAnsi="仿宋" w:eastAsia="仿宋" w:cs="仿宋"/>
                <w:color w:val="595959"/>
                <w:w w:val="90"/>
                <w:sz w:val="30"/>
                <w:szCs w:val="30"/>
              </w:rPr>
              <w:t>偏差原因</w:t>
            </w:r>
          </w:p>
          <w:p>
            <w:pPr>
              <w:pStyle w:val="17"/>
              <w:spacing w:before="13" w:line="211" w:lineRule="auto"/>
              <w:ind w:left="300" w:right="238" w:firstLine="72"/>
              <w:jc w:val="center"/>
              <w:rPr>
                <w:rFonts w:hint="eastAsia" w:ascii="仿宋" w:hAnsi="仿宋" w:eastAsia="仿宋" w:cs="仿宋"/>
                <w:sz w:val="30"/>
                <w:szCs w:val="30"/>
              </w:rPr>
            </w:pPr>
            <w:r>
              <w:rPr>
                <w:rFonts w:hint="eastAsia" w:ascii="仿宋" w:hAnsi="仿宋" w:eastAsia="仿宋" w:cs="仿宋"/>
                <w:color w:val="595959"/>
                <w:sz w:val="30"/>
                <w:szCs w:val="30"/>
              </w:rPr>
              <w:t>分析及</w:t>
            </w:r>
            <w:r>
              <w:rPr>
                <w:rFonts w:hint="eastAsia" w:ascii="仿宋" w:hAnsi="仿宋" w:eastAsia="仿宋" w:cs="仿宋"/>
                <w:color w:val="595959"/>
                <w:spacing w:val="-5"/>
                <w:w w:val="90"/>
                <w:sz w:val="30"/>
                <w:szCs w:val="30"/>
              </w:rPr>
              <w:t>改进措施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230"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restart"/>
          </w:tcPr>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spacing w:before="12"/>
              <w:jc w:val="center"/>
              <w:rPr>
                <w:rFonts w:hint="eastAsia" w:ascii="仿宋" w:hAnsi="仿宋" w:eastAsia="仿宋" w:cs="仿宋"/>
                <w:sz w:val="30"/>
                <w:szCs w:val="30"/>
              </w:rPr>
            </w:pPr>
          </w:p>
          <w:p>
            <w:pPr>
              <w:pStyle w:val="17"/>
              <w:ind w:left="140"/>
              <w:jc w:val="center"/>
              <w:rPr>
                <w:rFonts w:hint="eastAsia" w:ascii="仿宋" w:hAnsi="仿宋" w:eastAsia="仿宋" w:cs="仿宋"/>
                <w:sz w:val="30"/>
                <w:szCs w:val="30"/>
              </w:rPr>
            </w:pPr>
            <w:r>
              <w:rPr>
                <w:rFonts w:hint="eastAsia" w:ascii="仿宋" w:hAnsi="仿宋" w:eastAsia="仿宋" w:cs="仿宋"/>
                <w:color w:val="595959"/>
                <w:w w:val="95"/>
                <w:sz w:val="30"/>
                <w:szCs w:val="30"/>
              </w:rPr>
              <w:t>产出指标</w:t>
            </w:r>
          </w:p>
          <w:p>
            <w:pPr>
              <w:pStyle w:val="17"/>
              <w:spacing w:before="9"/>
              <w:jc w:val="center"/>
              <w:rPr>
                <w:rFonts w:hint="eastAsia" w:ascii="仿宋" w:hAnsi="仿宋" w:eastAsia="仿宋" w:cs="仿宋"/>
                <w:sz w:val="30"/>
                <w:szCs w:val="30"/>
              </w:rPr>
            </w:pPr>
          </w:p>
          <w:p>
            <w:pPr>
              <w:pStyle w:val="17"/>
              <w:spacing w:before="1"/>
              <w:ind w:left="214"/>
              <w:jc w:val="center"/>
              <w:rPr>
                <w:rFonts w:hint="eastAsia" w:ascii="仿宋" w:hAnsi="仿宋" w:eastAsia="仿宋" w:cs="仿宋"/>
                <w:sz w:val="30"/>
                <w:szCs w:val="30"/>
              </w:rPr>
            </w:pPr>
            <w:r>
              <w:rPr>
                <w:rFonts w:hint="eastAsia" w:ascii="仿宋" w:hAnsi="仿宋" w:eastAsia="仿宋" w:cs="仿宋"/>
                <w:color w:val="595959"/>
                <w:spacing w:val="2"/>
                <w:w w:val="90"/>
                <w:sz w:val="30"/>
                <w:szCs w:val="30"/>
              </w:rPr>
              <w:t xml:space="preserve">( </w:t>
            </w:r>
            <w:r>
              <w:rPr>
                <w:rFonts w:hint="eastAsia" w:ascii="仿宋" w:hAnsi="仿宋" w:eastAsia="仿宋" w:cs="仿宋"/>
                <w:color w:val="595959"/>
                <w:sz w:val="30"/>
                <w:szCs w:val="30"/>
              </w:rPr>
              <w:t>50</w:t>
            </w:r>
            <w:r>
              <w:rPr>
                <w:rFonts w:hint="eastAsia" w:ascii="仿宋" w:hAnsi="仿宋" w:eastAsia="仿宋" w:cs="仿宋"/>
                <w:color w:val="595959"/>
                <w:spacing w:val="-21"/>
                <w:sz w:val="30"/>
                <w:szCs w:val="30"/>
              </w:rPr>
              <w:t xml:space="preserve"> </w:t>
            </w:r>
            <w:r>
              <w:rPr>
                <w:rFonts w:hint="eastAsia" w:ascii="仿宋" w:hAnsi="仿宋" w:eastAsia="仿宋" w:cs="仿宋"/>
                <w:color w:val="595959"/>
                <w:spacing w:val="22"/>
                <w:sz w:val="30"/>
                <w:szCs w:val="30"/>
              </w:rPr>
              <w:t>分</w:t>
            </w:r>
            <w:r>
              <w:rPr>
                <w:rFonts w:hint="eastAsia" w:ascii="仿宋" w:hAnsi="仿宋" w:eastAsia="仿宋" w:cs="仿宋"/>
                <w:color w:val="595959"/>
                <w:sz w:val="30"/>
                <w:szCs w:val="30"/>
              </w:rPr>
              <w:t>）</w:t>
            </w:r>
          </w:p>
        </w:tc>
        <w:tc>
          <w:tcPr>
            <w:tcW w:w="956" w:type="dxa"/>
            <w:gridSpan w:val="2"/>
            <w:vMerge w:val="restart"/>
          </w:tcPr>
          <w:p>
            <w:pPr>
              <w:pStyle w:val="17"/>
              <w:spacing w:before="107" w:line="218" w:lineRule="auto"/>
              <w:ind w:left="385" w:right="143" w:hanging="203"/>
              <w:jc w:val="center"/>
              <w:rPr>
                <w:rFonts w:hint="eastAsia" w:ascii="仿宋" w:hAnsi="仿宋" w:eastAsia="仿宋" w:cs="仿宋"/>
                <w:sz w:val="30"/>
                <w:szCs w:val="30"/>
              </w:rPr>
            </w:pPr>
            <w:r>
              <w:rPr>
                <w:rFonts w:hint="eastAsia" w:ascii="仿宋" w:hAnsi="仿宋" w:eastAsia="仿宋" w:cs="仿宋"/>
                <w:color w:val="595959"/>
                <w:w w:val="95"/>
                <w:sz w:val="30"/>
                <w:szCs w:val="30"/>
              </w:rPr>
              <w:t>数量指</w:t>
            </w:r>
            <w:r>
              <w:rPr>
                <w:rFonts w:hint="eastAsia" w:ascii="仿宋" w:hAnsi="仿宋" w:eastAsia="仿宋" w:cs="仿宋"/>
                <w:color w:val="595959"/>
                <w:sz w:val="30"/>
                <w:szCs w:val="30"/>
              </w:rPr>
              <w:t>标</w:t>
            </w:r>
          </w:p>
        </w:tc>
        <w:tc>
          <w:tcPr>
            <w:tcW w:w="1350" w:type="dxa"/>
            <w:gridSpan w:val="2"/>
          </w:tcPr>
          <w:p>
            <w:pPr>
              <w:pStyle w:val="17"/>
              <w:spacing w:before="107" w:line="218" w:lineRule="auto"/>
              <w:ind w:left="385" w:right="143" w:hanging="203"/>
              <w:jc w:val="center"/>
              <w:rPr>
                <w:rFonts w:hint="eastAsia" w:ascii="仿宋" w:hAnsi="仿宋" w:eastAsia="仿宋" w:cs="仿宋"/>
                <w:color w:val="595959"/>
                <w:w w:val="95"/>
                <w:sz w:val="30"/>
                <w:szCs w:val="30"/>
                <w:lang w:eastAsia="zh-CN"/>
              </w:rPr>
            </w:pPr>
            <w:r>
              <w:rPr>
                <w:rFonts w:hint="eastAsia" w:ascii="仿宋" w:hAnsi="仿宋" w:eastAsia="仿宋" w:cs="仿宋"/>
                <w:color w:val="595959"/>
                <w:w w:val="95"/>
                <w:sz w:val="30"/>
                <w:szCs w:val="30"/>
                <w:lang w:eastAsia="zh-CN"/>
              </w:rPr>
              <w:t>资金使用合规性</w:t>
            </w:r>
          </w:p>
        </w:tc>
        <w:tc>
          <w:tcPr>
            <w:tcW w:w="1197" w:type="dxa"/>
            <w:gridSpan w:val="2"/>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合规</w:t>
            </w:r>
          </w:p>
        </w:tc>
        <w:tc>
          <w:tcPr>
            <w:tcW w:w="1274" w:type="dxa"/>
            <w:gridSpan w:val="3"/>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100%</w:t>
            </w:r>
          </w:p>
        </w:tc>
        <w:tc>
          <w:tcPr>
            <w:tcW w:w="817" w:type="dxa"/>
            <w:gridSpan w:val="2"/>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w:t>
            </w:r>
          </w:p>
        </w:tc>
        <w:tc>
          <w:tcPr>
            <w:tcW w:w="884" w:type="dxa"/>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w:t>
            </w:r>
          </w:p>
        </w:tc>
        <w:tc>
          <w:tcPr>
            <w:tcW w:w="1331" w:type="dxa"/>
            <w:gridSpan w:val="2"/>
          </w:tcPr>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指标有串用现象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355"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continue"/>
            <w:tcBorders>
              <w:top w:val="nil"/>
            </w:tcBorders>
          </w:tcPr>
          <w:p>
            <w:pPr>
              <w:jc w:val="center"/>
              <w:rPr>
                <w:rFonts w:hint="eastAsia" w:ascii="仿宋" w:hAnsi="仿宋" w:eastAsia="仿宋" w:cs="仿宋"/>
                <w:sz w:val="30"/>
                <w:szCs w:val="30"/>
              </w:rPr>
            </w:pPr>
          </w:p>
        </w:tc>
        <w:tc>
          <w:tcPr>
            <w:tcW w:w="956" w:type="dxa"/>
            <w:gridSpan w:val="2"/>
            <w:vMerge w:val="continue"/>
            <w:tcBorders>
              <w:top w:val="nil"/>
            </w:tcBorders>
          </w:tcPr>
          <w:p>
            <w:pPr>
              <w:jc w:val="center"/>
              <w:rPr>
                <w:rFonts w:hint="eastAsia" w:ascii="仿宋" w:hAnsi="仿宋" w:eastAsia="仿宋" w:cs="仿宋"/>
                <w:sz w:val="30"/>
                <w:szCs w:val="30"/>
              </w:rPr>
            </w:pPr>
          </w:p>
        </w:tc>
        <w:tc>
          <w:tcPr>
            <w:tcW w:w="1350" w:type="dxa"/>
            <w:gridSpan w:val="2"/>
            <w:tcBorders>
              <w:top w:val="single" w:color="000000" w:sz="2" w:space="0"/>
            </w:tcBorders>
          </w:tcPr>
          <w:p>
            <w:pPr>
              <w:pStyle w:val="17"/>
              <w:spacing w:before="107" w:line="218" w:lineRule="auto"/>
              <w:ind w:right="143"/>
              <w:jc w:val="center"/>
              <w:rPr>
                <w:rFonts w:hint="eastAsia" w:ascii="仿宋" w:hAnsi="仿宋" w:eastAsia="仿宋" w:cs="仿宋"/>
                <w:color w:val="595959"/>
                <w:w w:val="95"/>
                <w:sz w:val="30"/>
                <w:szCs w:val="30"/>
                <w:lang w:eastAsia="zh-CN"/>
              </w:rPr>
            </w:pPr>
            <w:r>
              <w:rPr>
                <w:rFonts w:hint="eastAsia" w:ascii="仿宋" w:hAnsi="仿宋" w:eastAsia="仿宋" w:cs="仿宋"/>
                <w:color w:val="595959"/>
                <w:w w:val="95"/>
                <w:sz w:val="30"/>
                <w:szCs w:val="30"/>
                <w:lang w:eastAsia="zh-CN"/>
              </w:rPr>
              <w:t>结转结余率</w:t>
            </w:r>
          </w:p>
        </w:tc>
        <w:tc>
          <w:tcPr>
            <w:tcW w:w="1197" w:type="dxa"/>
            <w:gridSpan w:val="2"/>
            <w:tcBorders>
              <w:top w:val="single" w:color="000000" w:sz="2" w:space="0"/>
            </w:tcBorders>
          </w:tcPr>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rPr>
              <w:t>≤</w:t>
            </w:r>
          </w:p>
        </w:tc>
        <w:tc>
          <w:tcPr>
            <w:tcW w:w="1274" w:type="dxa"/>
            <w:gridSpan w:val="3"/>
            <w:tcBorders>
              <w:top w:val="single" w:color="000000" w:sz="2" w:space="0"/>
            </w:tcBorders>
          </w:tcPr>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w:t>
            </w:r>
          </w:p>
        </w:tc>
        <w:tc>
          <w:tcPr>
            <w:tcW w:w="817" w:type="dxa"/>
            <w:gridSpan w:val="2"/>
            <w:tcBorders>
              <w:top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884" w:type="dxa"/>
            <w:tcBorders>
              <w:top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1331" w:type="dxa"/>
            <w:gridSpan w:val="2"/>
            <w:tcBorders>
              <w:top w:val="single" w:color="000000" w:sz="2" w:space="0"/>
            </w:tcBorders>
          </w:tcPr>
          <w:p>
            <w:pPr>
              <w:pStyle w:val="17"/>
              <w:jc w:val="center"/>
              <w:rPr>
                <w:rFonts w:hint="eastAsia" w:ascii="仿宋" w:hAnsi="仿宋" w:eastAsia="仿宋" w:cs="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571"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continue"/>
            <w:tcBorders>
              <w:top w:val="nil"/>
            </w:tcBorders>
          </w:tcPr>
          <w:p>
            <w:pPr>
              <w:jc w:val="center"/>
              <w:rPr>
                <w:rFonts w:hint="eastAsia" w:ascii="仿宋" w:hAnsi="仿宋" w:eastAsia="仿宋" w:cs="仿宋"/>
                <w:sz w:val="30"/>
                <w:szCs w:val="30"/>
              </w:rPr>
            </w:pPr>
          </w:p>
        </w:tc>
        <w:tc>
          <w:tcPr>
            <w:tcW w:w="956" w:type="dxa"/>
            <w:gridSpan w:val="2"/>
          </w:tcPr>
          <w:p>
            <w:pPr>
              <w:pStyle w:val="17"/>
              <w:spacing w:before="116" w:line="213" w:lineRule="auto"/>
              <w:ind w:left="385" w:right="97" w:hanging="207"/>
              <w:jc w:val="center"/>
              <w:rPr>
                <w:rFonts w:hint="eastAsia" w:ascii="仿宋" w:hAnsi="仿宋" w:eastAsia="仿宋" w:cs="仿宋"/>
                <w:sz w:val="30"/>
                <w:szCs w:val="30"/>
              </w:rPr>
            </w:pPr>
            <w:r>
              <w:rPr>
                <w:rFonts w:hint="eastAsia" w:ascii="仿宋" w:hAnsi="仿宋" w:eastAsia="仿宋" w:cs="仿宋"/>
                <w:color w:val="595959"/>
                <w:sz w:val="30"/>
                <w:szCs w:val="30"/>
              </w:rPr>
              <w:t>质量指标</w:t>
            </w:r>
          </w:p>
        </w:tc>
        <w:tc>
          <w:tcPr>
            <w:tcW w:w="1350" w:type="dxa"/>
            <w:gridSpan w:val="2"/>
          </w:tcPr>
          <w:p>
            <w:pPr>
              <w:pStyle w:val="17"/>
              <w:spacing w:before="107" w:line="218" w:lineRule="auto"/>
              <w:ind w:left="385" w:right="143" w:hanging="203"/>
              <w:jc w:val="center"/>
              <w:rPr>
                <w:rFonts w:hint="eastAsia" w:ascii="仿宋" w:hAnsi="仿宋" w:eastAsia="仿宋" w:cs="仿宋"/>
                <w:color w:val="595959"/>
                <w:w w:val="95"/>
                <w:sz w:val="30"/>
                <w:szCs w:val="30"/>
                <w:lang w:eastAsia="zh-CN"/>
              </w:rPr>
            </w:pPr>
            <w:r>
              <w:rPr>
                <w:rFonts w:hint="eastAsia" w:ascii="仿宋" w:hAnsi="仿宋" w:eastAsia="仿宋" w:cs="仿宋"/>
                <w:color w:val="595959"/>
                <w:w w:val="95"/>
                <w:sz w:val="30"/>
                <w:szCs w:val="30"/>
                <w:lang w:eastAsia="zh-CN"/>
              </w:rPr>
              <w:t>工作任务科学性</w:t>
            </w:r>
          </w:p>
        </w:tc>
        <w:tc>
          <w:tcPr>
            <w:tcW w:w="1197" w:type="dxa"/>
            <w:gridSpan w:val="2"/>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合理</w:t>
            </w:r>
          </w:p>
        </w:tc>
        <w:tc>
          <w:tcPr>
            <w:tcW w:w="1274" w:type="dxa"/>
            <w:gridSpan w:val="3"/>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100%</w:t>
            </w:r>
          </w:p>
        </w:tc>
        <w:tc>
          <w:tcPr>
            <w:tcW w:w="817" w:type="dxa"/>
            <w:gridSpan w:val="2"/>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884" w:type="dxa"/>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1331" w:type="dxa"/>
            <w:gridSpan w:val="2"/>
          </w:tcPr>
          <w:p>
            <w:pPr>
              <w:pStyle w:val="17"/>
              <w:jc w:val="center"/>
              <w:rPr>
                <w:rFonts w:hint="eastAsia" w:ascii="仿宋" w:hAnsi="仿宋" w:eastAsia="仿宋" w:cs="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359"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continue"/>
            <w:tcBorders>
              <w:top w:val="nil"/>
            </w:tcBorders>
          </w:tcPr>
          <w:p>
            <w:pPr>
              <w:jc w:val="center"/>
              <w:rPr>
                <w:rFonts w:hint="eastAsia" w:ascii="仿宋" w:hAnsi="仿宋" w:eastAsia="仿宋" w:cs="仿宋"/>
                <w:sz w:val="30"/>
                <w:szCs w:val="30"/>
              </w:rPr>
            </w:pPr>
          </w:p>
        </w:tc>
        <w:tc>
          <w:tcPr>
            <w:tcW w:w="956" w:type="dxa"/>
            <w:gridSpan w:val="2"/>
            <w:vMerge w:val="restart"/>
          </w:tcPr>
          <w:p>
            <w:pPr>
              <w:pStyle w:val="17"/>
              <w:spacing w:before="103" w:line="218" w:lineRule="auto"/>
              <w:ind w:left="381" w:right="97" w:hanging="203"/>
              <w:jc w:val="center"/>
              <w:rPr>
                <w:rFonts w:hint="eastAsia" w:ascii="仿宋" w:hAnsi="仿宋" w:eastAsia="仿宋" w:cs="仿宋"/>
                <w:color w:val="595959"/>
                <w:sz w:val="30"/>
                <w:szCs w:val="30"/>
              </w:rPr>
            </w:pPr>
            <w:r>
              <w:rPr>
                <w:rFonts w:hint="eastAsia" w:ascii="仿宋" w:hAnsi="仿宋" w:eastAsia="仿宋" w:cs="仿宋"/>
                <w:color w:val="595959"/>
                <w:sz w:val="30"/>
                <w:szCs w:val="30"/>
              </w:rPr>
              <w:t>时效指标</w:t>
            </w:r>
          </w:p>
        </w:tc>
        <w:tc>
          <w:tcPr>
            <w:tcW w:w="1350" w:type="dxa"/>
            <w:gridSpan w:val="2"/>
            <w:tcBorders>
              <w:bottom w:val="single" w:color="000000" w:sz="2" w:space="0"/>
            </w:tcBorders>
          </w:tcPr>
          <w:p>
            <w:pPr>
              <w:pStyle w:val="17"/>
              <w:spacing w:before="107" w:line="218" w:lineRule="auto"/>
              <w:ind w:right="143"/>
              <w:jc w:val="center"/>
              <w:rPr>
                <w:rFonts w:hint="eastAsia" w:ascii="仿宋" w:hAnsi="仿宋" w:eastAsia="仿宋" w:cs="仿宋"/>
                <w:color w:val="595959"/>
                <w:w w:val="95"/>
                <w:sz w:val="30"/>
                <w:szCs w:val="30"/>
                <w:lang w:eastAsia="zh-CN"/>
              </w:rPr>
            </w:pPr>
            <w:r>
              <w:rPr>
                <w:rFonts w:hint="eastAsia" w:ascii="仿宋" w:hAnsi="仿宋" w:eastAsia="仿宋" w:cs="仿宋"/>
                <w:color w:val="595959"/>
                <w:w w:val="95"/>
                <w:sz w:val="30"/>
                <w:szCs w:val="30"/>
                <w:lang w:eastAsia="zh-CN"/>
              </w:rPr>
              <w:t>各项保险按时缴纳率</w:t>
            </w:r>
          </w:p>
        </w:tc>
        <w:tc>
          <w:tcPr>
            <w:tcW w:w="1197" w:type="dxa"/>
            <w:gridSpan w:val="2"/>
            <w:tcBorders>
              <w:bottom w:val="single" w:color="000000" w:sz="2" w:space="0"/>
            </w:tcBorders>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按时</w:t>
            </w:r>
          </w:p>
        </w:tc>
        <w:tc>
          <w:tcPr>
            <w:tcW w:w="1274" w:type="dxa"/>
            <w:gridSpan w:val="3"/>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100%</w:t>
            </w:r>
          </w:p>
        </w:tc>
        <w:tc>
          <w:tcPr>
            <w:tcW w:w="817" w:type="dxa"/>
            <w:gridSpan w:val="2"/>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884" w:type="dxa"/>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1331" w:type="dxa"/>
            <w:gridSpan w:val="2"/>
            <w:tcBorders>
              <w:bottom w:val="single" w:color="000000" w:sz="2" w:space="0"/>
            </w:tcBorders>
          </w:tcPr>
          <w:p>
            <w:pPr>
              <w:pStyle w:val="17"/>
              <w:jc w:val="center"/>
              <w:rPr>
                <w:rFonts w:hint="eastAsia" w:ascii="仿宋" w:hAnsi="仿宋" w:eastAsia="仿宋" w:cs="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234"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continue"/>
            <w:tcBorders>
              <w:top w:val="nil"/>
            </w:tcBorders>
          </w:tcPr>
          <w:p>
            <w:pPr>
              <w:jc w:val="center"/>
              <w:rPr>
                <w:rFonts w:hint="eastAsia" w:ascii="仿宋" w:hAnsi="仿宋" w:eastAsia="仿宋" w:cs="仿宋"/>
                <w:sz w:val="30"/>
                <w:szCs w:val="30"/>
              </w:rPr>
            </w:pPr>
          </w:p>
        </w:tc>
        <w:tc>
          <w:tcPr>
            <w:tcW w:w="956" w:type="dxa"/>
            <w:gridSpan w:val="2"/>
            <w:vMerge w:val="continue"/>
            <w:tcBorders>
              <w:top w:val="nil"/>
            </w:tcBorders>
          </w:tcPr>
          <w:p>
            <w:pPr>
              <w:jc w:val="center"/>
              <w:rPr>
                <w:rFonts w:hint="eastAsia" w:ascii="仿宋" w:hAnsi="仿宋" w:eastAsia="仿宋" w:cs="仿宋"/>
                <w:color w:val="595959"/>
                <w:kern w:val="2"/>
                <w:sz w:val="30"/>
                <w:szCs w:val="30"/>
                <w:lang w:val="en-US" w:eastAsia="zh-CN" w:bidi="ar-SA"/>
              </w:rPr>
            </w:pPr>
          </w:p>
        </w:tc>
        <w:tc>
          <w:tcPr>
            <w:tcW w:w="1350" w:type="dxa"/>
            <w:gridSpan w:val="2"/>
            <w:tcBorders>
              <w:top w:val="single" w:color="000000" w:sz="2" w:space="0"/>
              <w:bottom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sz w:val="30"/>
                <w:szCs w:val="30"/>
              </w:rPr>
            </w:pPr>
            <w:r>
              <w:rPr>
                <w:rFonts w:hint="eastAsia" w:ascii="仿宋" w:hAnsi="仿宋" w:eastAsia="仿宋" w:cs="仿宋"/>
                <w:color w:val="595959"/>
                <w:w w:val="95"/>
                <w:sz w:val="30"/>
                <w:szCs w:val="30"/>
                <w:lang w:eastAsia="zh-CN"/>
              </w:rPr>
              <w:t>项目资金按时拨付率</w:t>
            </w:r>
          </w:p>
        </w:tc>
        <w:tc>
          <w:tcPr>
            <w:tcW w:w="1197" w:type="dxa"/>
            <w:gridSpan w:val="2"/>
            <w:tcBorders>
              <w:top w:val="single" w:color="000000" w:sz="2" w:space="0"/>
              <w:bottom w:val="single" w:color="000000" w:sz="2" w:space="0"/>
            </w:tcBorders>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按时</w:t>
            </w:r>
          </w:p>
        </w:tc>
        <w:tc>
          <w:tcPr>
            <w:tcW w:w="1274" w:type="dxa"/>
            <w:gridSpan w:val="3"/>
            <w:tcBorders>
              <w:top w:val="single" w:color="000000" w:sz="2" w:space="0"/>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100%</w:t>
            </w:r>
          </w:p>
        </w:tc>
        <w:tc>
          <w:tcPr>
            <w:tcW w:w="817" w:type="dxa"/>
            <w:gridSpan w:val="2"/>
            <w:tcBorders>
              <w:top w:val="single" w:color="000000" w:sz="2" w:space="0"/>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884" w:type="dxa"/>
            <w:tcBorders>
              <w:top w:val="single" w:color="000000" w:sz="2" w:space="0"/>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1331" w:type="dxa"/>
            <w:gridSpan w:val="2"/>
            <w:tcBorders>
              <w:top w:val="single" w:color="000000" w:sz="2" w:space="0"/>
              <w:bottom w:val="single" w:color="000000" w:sz="2" w:space="0"/>
            </w:tcBorders>
          </w:tcPr>
          <w:p>
            <w:pPr>
              <w:pStyle w:val="17"/>
              <w:jc w:val="center"/>
              <w:rPr>
                <w:rFonts w:hint="eastAsia" w:ascii="仿宋" w:hAnsi="仿宋" w:eastAsia="仿宋" w:cs="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234"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continue"/>
            <w:tcBorders>
              <w:top w:val="nil"/>
            </w:tcBorders>
          </w:tcPr>
          <w:p>
            <w:pPr>
              <w:jc w:val="center"/>
              <w:rPr>
                <w:rFonts w:hint="eastAsia" w:ascii="仿宋" w:hAnsi="仿宋" w:eastAsia="仿宋" w:cs="仿宋"/>
                <w:sz w:val="30"/>
                <w:szCs w:val="30"/>
              </w:rPr>
            </w:pPr>
          </w:p>
        </w:tc>
        <w:tc>
          <w:tcPr>
            <w:tcW w:w="956" w:type="dxa"/>
            <w:gridSpan w:val="2"/>
            <w:vMerge w:val="restart"/>
          </w:tcPr>
          <w:p>
            <w:pPr>
              <w:pStyle w:val="17"/>
              <w:spacing w:before="103" w:line="218" w:lineRule="auto"/>
              <w:ind w:left="381" w:right="97" w:hanging="203"/>
              <w:jc w:val="center"/>
              <w:rPr>
                <w:rFonts w:hint="eastAsia" w:ascii="仿宋" w:hAnsi="仿宋" w:eastAsia="仿宋" w:cs="仿宋"/>
                <w:color w:val="595959"/>
                <w:kern w:val="2"/>
                <w:sz w:val="30"/>
                <w:szCs w:val="30"/>
                <w:lang w:val="en-US" w:eastAsia="zh-CN" w:bidi="ar-SA"/>
              </w:rPr>
            </w:pPr>
            <w:r>
              <w:rPr>
                <w:rFonts w:hint="eastAsia" w:ascii="仿宋" w:hAnsi="仿宋" w:eastAsia="仿宋" w:cs="仿宋"/>
                <w:color w:val="595959"/>
                <w:kern w:val="2"/>
                <w:sz w:val="30"/>
                <w:szCs w:val="30"/>
                <w:lang w:val="en-US" w:eastAsia="zh-CN" w:bidi="ar-SA"/>
              </w:rPr>
              <w:t>成本指标</w:t>
            </w:r>
          </w:p>
        </w:tc>
        <w:tc>
          <w:tcPr>
            <w:tcW w:w="1350" w:type="dxa"/>
            <w:gridSpan w:val="2"/>
          </w:tcPr>
          <w:p>
            <w:pPr>
              <w:pStyle w:val="17"/>
              <w:spacing w:before="107" w:line="218" w:lineRule="auto"/>
              <w:ind w:left="385" w:right="143" w:hanging="203"/>
              <w:jc w:val="center"/>
              <w:rPr>
                <w:rFonts w:hint="eastAsia" w:ascii="仿宋" w:hAnsi="仿宋" w:eastAsia="仿宋" w:cs="仿宋"/>
                <w:color w:val="595959"/>
                <w:w w:val="95"/>
                <w:sz w:val="30"/>
                <w:szCs w:val="30"/>
                <w:lang w:eastAsia="zh-CN"/>
              </w:rPr>
            </w:pPr>
            <w:r>
              <w:rPr>
                <w:rFonts w:hint="eastAsia" w:ascii="仿宋" w:hAnsi="仿宋" w:eastAsia="仿宋" w:cs="仿宋"/>
                <w:color w:val="595959"/>
                <w:w w:val="95"/>
                <w:sz w:val="30"/>
                <w:szCs w:val="30"/>
                <w:lang w:eastAsia="zh-CN"/>
              </w:rPr>
              <w:t>公用经费控制率</w:t>
            </w:r>
          </w:p>
        </w:tc>
        <w:tc>
          <w:tcPr>
            <w:tcW w:w="1197" w:type="dxa"/>
            <w:gridSpan w:val="2"/>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合理合规</w:t>
            </w:r>
          </w:p>
        </w:tc>
        <w:tc>
          <w:tcPr>
            <w:tcW w:w="1274" w:type="dxa"/>
            <w:gridSpan w:val="3"/>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100%</w:t>
            </w:r>
          </w:p>
        </w:tc>
        <w:tc>
          <w:tcPr>
            <w:tcW w:w="817" w:type="dxa"/>
            <w:gridSpan w:val="2"/>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884" w:type="dxa"/>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1331" w:type="dxa"/>
            <w:gridSpan w:val="2"/>
          </w:tcPr>
          <w:p>
            <w:pPr>
              <w:pStyle w:val="17"/>
              <w:jc w:val="center"/>
              <w:rPr>
                <w:rFonts w:hint="eastAsia" w:ascii="仿宋" w:hAnsi="仿宋" w:eastAsia="仿宋" w:cs="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210"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continue"/>
            <w:tcBorders>
              <w:top w:val="nil"/>
            </w:tcBorders>
          </w:tcPr>
          <w:p>
            <w:pPr>
              <w:jc w:val="center"/>
              <w:rPr>
                <w:rFonts w:hint="eastAsia" w:ascii="仿宋" w:hAnsi="仿宋" w:eastAsia="仿宋" w:cs="仿宋"/>
                <w:sz w:val="30"/>
                <w:szCs w:val="30"/>
              </w:rPr>
            </w:pPr>
          </w:p>
        </w:tc>
        <w:tc>
          <w:tcPr>
            <w:tcW w:w="956" w:type="dxa"/>
            <w:gridSpan w:val="2"/>
            <w:vMerge w:val="continue"/>
            <w:tcBorders>
              <w:top w:val="nil"/>
            </w:tcBorders>
          </w:tcPr>
          <w:p>
            <w:pPr>
              <w:jc w:val="center"/>
              <w:rPr>
                <w:rFonts w:hint="eastAsia" w:ascii="仿宋" w:hAnsi="仿宋" w:eastAsia="仿宋" w:cs="仿宋"/>
                <w:color w:val="595959"/>
                <w:kern w:val="2"/>
                <w:sz w:val="30"/>
                <w:szCs w:val="30"/>
                <w:lang w:val="en-US" w:eastAsia="zh-CN" w:bidi="ar-SA"/>
              </w:rPr>
            </w:pPr>
          </w:p>
        </w:tc>
        <w:tc>
          <w:tcPr>
            <w:tcW w:w="1350" w:type="dxa"/>
            <w:gridSpan w:val="2"/>
            <w:tcBorders>
              <w:bottom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sz w:val="30"/>
                <w:szCs w:val="30"/>
              </w:rPr>
            </w:pPr>
            <w:r>
              <w:rPr>
                <w:rFonts w:hint="eastAsia" w:ascii="仿宋" w:hAnsi="仿宋" w:eastAsia="仿宋" w:cs="仿宋"/>
                <w:color w:val="595959"/>
                <w:w w:val="95"/>
                <w:sz w:val="30"/>
                <w:szCs w:val="30"/>
                <w:lang w:eastAsia="zh-CN"/>
              </w:rPr>
              <w:t>项目支出成本控制率</w:t>
            </w:r>
          </w:p>
        </w:tc>
        <w:tc>
          <w:tcPr>
            <w:tcW w:w="1197" w:type="dxa"/>
            <w:gridSpan w:val="2"/>
            <w:tcBorders>
              <w:bottom w:val="single" w:color="000000" w:sz="2" w:space="0"/>
            </w:tcBorders>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合理合规</w:t>
            </w:r>
          </w:p>
        </w:tc>
        <w:tc>
          <w:tcPr>
            <w:tcW w:w="1274" w:type="dxa"/>
            <w:gridSpan w:val="3"/>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100%</w:t>
            </w:r>
          </w:p>
        </w:tc>
        <w:tc>
          <w:tcPr>
            <w:tcW w:w="817" w:type="dxa"/>
            <w:gridSpan w:val="2"/>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884" w:type="dxa"/>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1331" w:type="dxa"/>
            <w:gridSpan w:val="2"/>
            <w:tcBorders>
              <w:bottom w:val="single" w:color="000000" w:sz="2" w:space="0"/>
            </w:tcBorders>
          </w:tcPr>
          <w:p>
            <w:pPr>
              <w:pStyle w:val="17"/>
              <w:jc w:val="center"/>
              <w:rPr>
                <w:rFonts w:hint="eastAsia" w:ascii="仿宋" w:hAnsi="仿宋" w:eastAsia="仿宋" w:cs="仿宋"/>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234"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restart"/>
          </w:tcPr>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jc w:val="center"/>
              <w:rPr>
                <w:rFonts w:hint="eastAsia" w:ascii="仿宋" w:hAnsi="仿宋" w:eastAsia="仿宋" w:cs="仿宋"/>
                <w:sz w:val="30"/>
                <w:szCs w:val="30"/>
              </w:rPr>
            </w:pPr>
          </w:p>
          <w:p>
            <w:pPr>
              <w:pStyle w:val="17"/>
              <w:spacing w:before="5"/>
              <w:jc w:val="center"/>
              <w:rPr>
                <w:rFonts w:hint="eastAsia" w:ascii="仿宋" w:hAnsi="仿宋" w:eastAsia="仿宋" w:cs="仿宋"/>
                <w:sz w:val="30"/>
                <w:szCs w:val="30"/>
              </w:rPr>
            </w:pPr>
          </w:p>
          <w:p>
            <w:pPr>
              <w:pStyle w:val="17"/>
              <w:spacing w:before="1"/>
              <w:ind w:left="116"/>
              <w:jc w:val="center"/>
              <w:rPr>
                <w:rFonts w:hint="eastAsia" w:ascii="仿宋" w:hAnsi="仿宋" w:eastAsia="仿宋" w:cs="仿宋"/>
                <w:sz w:val="30"/>
                <w:szCs w:val="30"/>
              </w:rPr>
            </w:pPr>
            <w:r>
              <w:rPr>
                <w:rFonts w:hint="eastAsia" w:ascii="仿宋" w:hAnsi="仿宋" w:eastAsia="仿宋" w:cs="仿宋"/>
                <w:color w:val="595959"/>
                <w:w w:val="95"/>
                <w:sz w:val="30"/>
                <w:szCs w:val="30"/>
              </w:rPr>
              <w:t>效益指标</w:t>
            </w:r>
          </w:p>
          <w:p>
            <w:pPr>
              <w:pStyle w:val="17"/>
              <w:spacing w:before="9"/>
              <w:jc w:val="center"/>
              <w:rPr>
                <w:rFonts w:hint="eastAsia" w:ascii="仿宋" w:hAnsi="仿宋" w:eastAsia="仿宋" w:cs="仿宋"/>
                <w:sz w:val="30"/>
                <w:szCs w:val="30"/>
              </w:rPr>
            </w:pPr>
          </w:p>
          <w:p>
            <w:pPr>
              <w:pStyle w:val="17"/>
              <w:ind w:left="209"/>
              <w:jc w:val="center"/>
              <w:rPr>
                <w:rFonts w:hint="eastAsia" w:ascii="仿宋" w:hAnsi="仿宋" w:eastAsia="仿宋" w:cs="仿宋"/>
                <w:sz w:val="30"/>
                <w:szCs w:val="30"/>
              </w:rPr>
            </w:pPr>
            <w:r>
              <w:rPr>
                <w:rFonts w:hint="eastAsia" w:ascii="仿宋" w:hAnsi="仿宋" w:eastAsia="仿宋" w:cs="仿宋"/>
                <w:color w:val="595959"/>
                <w:spacing w:val="-16"/>
                <w:w w:val="105"/>
                <w:sz w:val="30"/>
                <w:szCs w:val="30"/>
              </w:rPr>
              <w:t xml:space="preserve">( </w:t>
            </w:r>
            <w:r>
              <w:rPr>
                <w:rFonts w:hint="eastAsia" w:ascii="仿宋" w:hAnsi="仿宋" w:eastAsia="仿宋" w:cs="仿宋"/>
                <w:color w:val="595959"/>
                <w:w w:val="105"/>
                <w:sz w:val="30"/>
                <w:szCs w:val="30"/>
              </w:rPr>
              <w:t>40</w:t>
            </w:r>
            <w:r>
              <w:rPr>
                <w:rFonts w:hint="eastAsia" w:ascii="仿宋" w:hAnsi="仿宋" w:eastAsia="仿宋" w:cs="仿宋"/>
                <w:color w:val="595959"/>
                <w:spacing w:val="-35"/>
                <w:w w:val="105"/>
                <w:sz w:val="30"/>
                <w:szCs w:val="30"/>
              </w:rPr>
              <w:t xml:space="preserve"> </w:t>
            </w:r>
            <w:r>
              <w:rPr>
                <w:rFonts w:hint="eastAsia" w:ascii="仿宋" w:hAnsi="仿宋" w:eastAsia="仿宋" w:cs="仿宋"/>
                <w:color w:val="595959"/>
                <w:spacing w:val="22"/>
                <w:w w:val="105"/>
                <w:sz w:val="30"/>
                <w:szCs w:val="30"/>
              </w:rPr>
              <w:t>分</w:t>
            </w:r>
            <w:r>
              <w:rPr>
                <w:rFonts w:hint="eastAsia" w:ascii="仿宋" w:hAnsi="仿宋" w:eastAsia="仿宋" w:cs="仿宋"/>
                <w:color w:val="595959"/>
                <w:w w:val="105"/>
                <w:sz w:val="30"/>
                <w:szCs w:val="30"/>
              </w:rPr>
              <w:t>）</w:t>
            </w:r>
          </w:p>
        </w:tc>
        <w:tc>
          <w:tcPr>
            <w:tcW w:w="956" w:type="dxa"/>
            <w:gridSpan w:val="2"/>
            <w:vMerge w:val="restart"/>
          </w:tcPr>
          <w:p>
            <w:pPr>
              <w:pStyle w:val="17"/>
              <w:spacing w:before="103" w:line="218" w:lineRule="auto"/>
              <w:ind w:left="381" w:right="97" w:hanging="203"/>
              <w:jc w:val="center"/>
              <w:rPr>
                <w:rFonts w:hint="eastAsia" w:ascii="仿宋" w:hAnsi="仿宋" w:eastAsia="仿宋" w:cs="仿宋"/>
                <w:color w:val="595959"/>
                <w:kern w:val="2"/>
                <w:sz w:val="30"/>
                <w:szCs w:val="30"/>
                <w:lang w:val="en-US" w:eastAsia="zh-CN" w:bidi="ar-SA"/>
              </w:rPr>
            </w:pPr>
            <w:r>
              <w:rPr>
                <w:rFonts w:hint="eastAsia" w:ascii="仿宋" w:hAnsi="仿宋" w:eastAsia="仿宋" w:cs="仿宋"/>
                <w:color w:val="595959"/>
                <w:kern w:val="2"/>
                <w:sz w:val="30"/>
                <w:szCs w:val="30"/>
                <w:lang w:val="en-US" w:eastAsia="zh-CN" w:bidi="ar-SA"/>
              </w:rPr>
              <w:t>经济效益指标</w:t>
            </w:r>
          </w:p>
        </w:tc>
        <w:tc>
          <w:tcPr>
            <w:tcW w:w="1350" w:type="dxa"/>
            <w:gridSpan w:val="2"/>
          </w:tcPr>
          <w:p>
            <w:pPr>
              <w:pStyle w:val="17"/>
              <w:spacing w:before="107" w:line="218" w:lineRule="auto"/>
              <w:ind w:left="385" w:right="143" w:hanging="203"/>
              <w:jc w:val="center"/>
              <w:rPr>
                <w:rFonts w:hint="eastAsia" w:ascii="仿宋" w:hAnsi="仿宋" w:eastAsia="仿宋" w:cs="仿宋"/>
                <w:color w:val="595959"/>
                <w:w w:val="95"/>
                <w:sz w:val="30"/>
                <w:szCs w:val="30"/>
                <w:lang w:val="en-US" w:eastAsia="zh-CN"/>
              </w:rPr>
            </w:pPr>
            <w:r>
              <w:rPr>
                <w:rFonts w:hint="eastAsia" w:ascii="仿宋" w:hAnsi="仿宋" w:eastAsia="仿宋" w:cs="仿宋"/>
                <w:color w:val="595959"/>
                <w:w w:val="95"/>
                <w:sz w:val="30"/>
                <w:szCs w:val="30"/>
                <w:lang w:eastAsia="zh-CN"/>
              </w:rPr>
              <w:t>农业机械化使用滴水水平提高</w:t>
            </w:r>
          </w:p>
        </w:tc>
        <w:tc>
          <w:tcPr>
            <w:tcW w:w="1197" w:type="dxa"/>
            <w:gridSpan w:val="2"/>
          </w:tcPr>
          <w:p>
            <w:pPr>
              <w:pStyle w:val="17"/>
              <w:jc w:val="center"/>
              <w:rPr>
                <w:rFonts w:hint="eastAsia" w:ascii="仿宋" w:hAnsi="仿宋" w:eastAsia="仿宋" w:cs="仿宋"/>
                <w:color w:val="C00000"/>
                <w:sz w:val="30"/>
                <w:szCs w:val="30"/>
                <w:lang w:eastAsia="zh-CN"/>
              </w:rPr>
            </w:pPr>
          </w:p>
          <w:p>
            <w:pPr>
              <w:pStyle w:val="17"/>
              <w:jc w:val="center"/>
              <w:rPr>
                <w:rFonts w:hint="eastAsia" w:ascii="仿宋" w:hAnsi="仿宋" w:eastAsia="仿宋" w:cs="仿宋"/>
                <w:color w:val="C00000"/>
                <w:sz w:val="30"/>
                <w:szCs w:val="30"/>
                <w:lang w:val="en-US" w:eastAsia="zh-CN"/>
              </w:rPr>
            </w:pPr>
            <w:r>
              <w:rPr>
                <w:rFonts w:hint="eastAsia" w:ascii="仿宋" w:hAnsi="仿宋" w:eastAsia="仿宋" w:cs="仿宋"/>
                <w:color w:val="C00000"/>
                <w:sz w:val="30"/>
                <w:szCs w:val="30"/>
                <w:lang w:eastAsia="zh-CN"/>
              </w:rPr>
              <w:t>≥</w:t>
            </w:r>
            <w:r>
              <w:rPr>
                <w:rFonts w:hint="eastAsia" w:ascii="仿宋" w:hAnsi="仿宋" w:eastAsia="仿宋" w:cs="仿宋"/>
                <w:color w:val="C00000"/>
                <w:sz w:val="30"/>
                <w:szCs w:val="30"/>
                <w:lang w:val="en-US" w:eastAsia="zh-CN"/>
              </w:rPr>
              <w:t>10%</w:t>
            </w:r>
          </w:p>
        </w:tc>
        <w:tc>
          <w:tcPr>
            <w:tcW w:w="1274" w:type="dxa"/>
            <w:gridSpan w:val="3"/>
          </w:tcPr>
          <w:p>
            <w:pPr>
              <w:pStyle w:val="17"/>
              <w:jc w:val="center"/>
              <w:rPr>
                <w:rFonts w:hint="eastAsia" w:ascii="仿宋" w:hAnsi="仿宋" w:eastAsia="仿宋" w:cs="仿宋"/>
                <w:color w:val="C00000"/>
                <w:sz w:val="30"/>
                <w:szCs w:val="30"/>
                <w:lang w:val="en-US" w:eastAsia="zh-CN"/>
              </w:rPr>
            </w:pPr>
          </w:p>
          <w:p>
            <w:pPr>
              <w:pStyle w:val="17"/>
              <w:jc w:val="center"/>
              <w:rPr>
                <w:rFonts w:hint="eastAsia" w:ascii="仿宋" w:hAnsi="仿宋" w:eastAsia="仿宋" w:cs="仿宋"/>
                <w:color w:val="C00000"/>
                <w:sz w:val="30"/>
                <w:szCs w:val="30"/>
                <w:lang w:val="en-US" w:eastAsia="zh-CN"/>
              </w:rPr>
            </w:pPr>
            <w:r>
              <w:rPr>
                <w:rFonts w:hint="eastAsia" w:ascii="仿宋" w:hAnsi="仿宋" w:eastAsia="仿宋" w:cs="仿宋"/>
                <w:color w:val="C00000"/>
                <w:sz w:val="30"/>
                <w:szCs w:val="30"/>
                <w:lang w:val="en-US" w:eastAsia="zh-CN"/>
              </w:rPr>
              <w:t>15%</w:t>
            </w:r>
          </w:p>
        </w:tc>
        <w:tc>
          <w:tcPr>
            <w:tcW w:w="817" w:type="dxa"/>
            <w:gridSpan w:val="2"/>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p>
        </w:tc>
        <w:tc>
          <w:tcPr>
            <w:tcW w:w="884" w:type="dxa"/>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p>
        </w:tc>
        <w:tc>
          <w:tcPr>
            <w:tcW w:w="1331" w:type="dxa"/>
            <w:gridSpan w:val="2"/>
          </w:tcPr>
          <w:p>
            <w:pPr>
              <w:pStyle w:val="17"/>
              <w:jc w:val="center"/>
              <w:rPr>
                <w:rFonts w:hint="eastAsia" w:ascii="仿宋" w:hAnsi="仿宋" w:eastAsia="仿宋" w:cs="仿宋"/>
                <w:sz w:val="30"/>
                <w:szCs w:val="3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167"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continue"/>
            <w:tcBorders>
              <w:top w:val="nil"/>
            </w:tcBorders>
          </w:tcPr>
          <w:p>
            <w:pPr>
              <w:jc w:val="center"/>
              <w:rPr>
                <w:rFonts w:hint="eastAsia" w:ascii="仿宋" w:hAnsi="仿宋" w:eastAsia="仿宋" w:cs="仿宋"/>
                <w:sz w:val="30"/>
                <w:szCs w:val="30"/>
              </w:rPr>
            </w:pPr>
          </w:p>
        </w:tc>
        <w:tc>
          <w:tcPr>
            <w:tcW w:w="956" w:type="dxa"/>
            <w:gridSpan w:val="2"/>
            <w:vMerge w:val="continue"/>
            <w:tcBorders>
              <w:top w:val="nil"/>
            </w:tcBorders>
          </w:tcPr>
          <w:p>
            <w:pPr>
              <w:jc w:val="center"/>
              <w:rPr>
                <w:rFonts w:hint="eastAsia" w:ascii="仿宋" w:hAnsi="仿宋" w:eastAsia="仿宋" w:cs="仿宋"/>
                <w:color w:val="595959"/>
                <w:kern w:val="2"/>
                <w:sz w:val="30"/>
                <w:szCs w:val="30"/>
                <w:lang w:val="en-US" w:eastAsia="zh-CN" w:bidi="ar-SA"/>
              </w:rPr>
            </w:pPr>
          </w:p>
        </w:tc>
        <w:tc>
          <w:tcPr>
            <w:tcW w:w="1350" w:type="dxa"/>
            <w:gridSpan w:val="2"/>
            <w:tcBorders>
              <w:bottom w:val="single" w:color="000000" w:sz="2" w:space="0"/>
            </w:tcBorders>
          </w:tcPr>
          <w:p>
            <w:pPr>
              <w:pStyle w:val="17"/>
              <w:spacing w:before="107" w:line="218" w:lineRule="auto"/>
              <w:ind w:right="143"/>
              <w:jc w:val="center"/>
              <w:rPr>
                <w:rFonts w:hint="eastAsia" w:ascii="仿宋" w:hAnsi="仿宋" w:eastAsia="仿宋" w:cs="仿宋"/>
                <w:color w:val="595959"/>
                <w:w w:val="95"/>
                <w:sz w:val="30"/>
                <w:szCs w:val="30"/>
                <w:lang w:eastAsia="zh-CN"/>
              </w:rPr>
            </w:pPr>
            <w:r>
              <w:rPr>
                <w:rFonts w:hint="eastAsia" w:ascii="仿宋" w:hAnsi="仿宋" w:eastAsia="仿宋" w:cs="仿宋"/>
                <w:color w:val="595959"/>
                <w:w w:val="95"/>
                <w:sz w:val="30"/>
                <w:szCs w:val="30"/>
                <w:lang w:eastAsia="zh-CN"/>
              </w:rPr>
              <w:t>农机培训与服务</w:t>
            </w:r>
          </w:p>
        </w:tc>
        <w:tc>
          <w:tcPr>
            <w:tcW w:w="1197" w:type="dxa"/>
            <w:gridSpan w:val="2"/>
            <w:tcBorders>
              <w:bottom w:val="single" w:color="000000" w:sz="2" w:space="0"/>
            </w:tcBorders>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成效</w:t>
            </w:r>
          </w:p>
        </w:tc>
        <w:tc>
          <w:tcPr>
            <w:tcW w:w="1274" w:type="dxa"/>
            <w:gridSpan w:val="3"/>
            <w:tcBorders>
              <w:bottom w:val="single" w:color="000000" w:sz="2" w:space="0"/>
            </w:tcBorders>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显著</w:t>
            </w:r>
          </w:p>
        </w:tc>
        <w:tc>
          <w:tcPr>
            <w:tcW w:w="817" w:type="dxa"/>
            <w:gridSpan w:val="2"/>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p>
        </w:tc>
        <w:tc>
          <w:tcPr>
            <w:tcW w:w="884" w:type="dxa"/>
            <w:tcBorders>
              <w:bottom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sz w:val="30"/>
                <w:szCs w:val="30"/>
                <w:lang w:val="en-US" w:eastAsia="zh-CN"/>
              </w:rPr>
            </w:pPr>
            <w:r>
              <w:rPr>
                <w:rFonts w:hint="eastAsia" w:ascii="仿宋" w:hAnsi="仿宋" w:eastAsia="仿宋" w:cs="仿宋"/>
                <w:color w:val="595959"/>
                <w:w w:val="95"/>
                <w:sz w:val="30"/>
                <w:szCs w:val="30"/>
                <w:lang w:val="en-US" w:eastAsia="zh-CN"/>
              </w:rPr>
              <w:t>6</w:t>
            </w:r>
          </w:p>
        </w:tc>
        <w:tc>
          <w:tcPr>
            <w:tcW w:w="1331" w:type="dxa"/>
            <w:gridSpan w:val="2"/>
            <w:tcBorders>
              <w:bottom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sz w:val="30"/>
                <w:szCs w:val="3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555" w:hRule="atLeast"/>
          <w:jc w:val="center"/>
        </w:trPr>
        <w:tc>
          <w:tcPr>
            <w:tcW w:w="1091" w:type="dxa"/>
            <w:gridSpan w:val="2"/>
            <w:vMerge w:val="continue"/>
            <w:tcBorders>
              <w:top w:val="nil"/>
            </w:tcBorders>
          </w:tcPr>
          <w:p>
            <w:pPr>
              <w:jc w:val="center"/>
              <w:rPr>
                <w:rFonts w:hint="eastAsia" w:ascii="仿宋" w:hAnsi="仿宋" w:eastAsia="仿宋" w:cs="仿宋"/>
                <w:color w:val="595959"/>
                <w:w w:val="95"/>
                <w:kern w:val="2"/>
                <w:sz w:val="30"/>
                <w:szCs w:val="30"/>
                <w:lang w:val="en-US" w:eastAsia="zh-CN" w:bidi="ar-SA"/>
              </w:rPr>
            </w:pPr>
          </w:p>
        </w:tc>
        <w:tc>
          <w:tcPr>
            <w:tcW w:w="1086" w:type="dxa"/>
            <w:gridSpan w:val="2"/>
            <w:vMerge w:val="continue"/>
            <w:tcBorders>
              <w:top w:val="nil"/>
            </w:tcBorders>
          </w:tcPr>
          <w:p>
            <w:pPr>
              <w:jc w:val="center"/>
              <w:rPr>
                <w:rFonts w:hint="eastAsia" w:ascii="仿宋" w:hAnsi="仿宋" w:eastAsia="仿宋" w:cs="仿宋"/>
                <w:color w:val="595959"/>
                <w:w w:val="95"/>
                <w:kern w:val="2"/>
                <w:sz w:val="30"/>
                <w:szCs w:val="30"/>
                <w:lang w:val="en-US" w:eastAsia="zh-CN" w:bidi="ar-SA"/>
              </w:rPr>
            </w:pPr>
          </w:p>
        </w:tc>
        <w:tc>
          <w:tcPr>
            <w:tcW w:w="956" w:type="dxa"/>
            <w:gridSpan w:val="2"/>
            <w:vMerge w:val="restart"/>
          </w:tcPr>
          <w:p>
            <w:pPr>
              <w:pStyle w:val="17"/>
              <w:spacing w:before="103" w:line="218" w:lineRule="auto"/>
              <w:ind w:left="381" w:right="97" w:hanging="203"/>
              <w:jc w:val="center"/>
              <w:rPr>
                <w:rFonts w:hint="eastAsia" w:ascii="仿宋" w:hAnsi="仿宋" w:eastAsia="仿宋" w:cs="仿宋"/>
                <w:color w:val="595959"/>
                <w:kern w:val="2"/>
                <w:sz w:val="30"/>
                <w:szCs w:val="30"/>
                <w:lang w:val="en-US" w:eastAsia="zh-CN" w:bidi="ar-SA"/>
              </w:rPr>
            </w:pPr>
            <w:r>
              <w:rPr>
                <w:rFonts w:hint="eastAsia" w:ascii="仿宋" w:hAnsi="仿宋" w:eastAsia="仿宋" w:cs="仿宋"/>
                <w:color w:val="595959"/>
                <w:kern w:val="2"/>
                <w:sz w:val="30"/>
                <w:szCs w:val="30"/>
                <w:lang w:val="en-US" w:eastAsia="zh-CN" w:bidi="ar-SA"/>
              </w:rPr>
              <w:t>社会效益指标</w:t>
            </w:r>
          </w:p>
        </w:tc>
        <w:tc>
          <w:tcPr>
            <w:tcW w:w="1350" w:type="dxa"/>
            <w:gridSpan w:val="2"/>
          </w:tcPr>
          <w:p>
            <w:pPr>
              <w:pStyle w:val="17"/>
              <w:spacing w:before="107" w:line="218" w:lineRule="auto"/>
              <w:ind w:right="99"/>
              <w:jc w:val="center"/>
              <w:rPr>
                <w:rFonts w:hint="eastAsia" w:ascii="仿宋" w:hAnsi="仿宋" w:eastAsia="仿宋" w:cs="仿宋"/>
                <w:color w:val="595959"/>
                <w:w w:val="95"/>
                <w:kern w:val="2"/>
                <w:sz w:val="30"/>
                <w:szCs w:val="30"/>
                <w:lang w:val="en-US" w:eastAsia="zh-CN" w:bidi="ar-SA"/>
              </w:rPr>
            </w:pPr>
            <w:r>
              <w:rPr>
                <w:rFonts w:hint="eastAsia" w:ascii="仿宋" w:hAnsi="仿宋" w:eastAsia="仿宋" w:cs="仿宋"/>
                <w:color w:val="595959"/>
                <w:w w:val="95"/>
                <w:kern w:val="2"/>
                <w:sz w:val="30"/>
                <w:szCs w:val="30"/>
                <w:lang w:val="en-US" w:eastAsia="zh-CN" w:bidi="ar-SA"/>
              </w:rPr>
              <w:t>三农服务水平</w:t>
            </w:r>
          </w:p>
        </w:tc>
        <w:tc>
          <w:tcPr>
            <w:tcW w:w="1197" w:type="dxa"/>
            <w:gridSpan w:val="2"/>
            <w:tcBorders>
              <w:right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服务水平</w:t>
            </w:r>
          </w:p>
        </w:tc>
        <w:tc>
          <w:tcPr>
            <w:tcW w:w="1274" w:type="dxa"/>
            <w:gridSpan w:val="3"/>
            <w:tcBorders>
              <w:left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提高</w:t>
            </w:r>
          </w:p>
        </w:tc>
        <w:tc>
          <w:tcPr>
            <w:tcW w:w="817" w:type="dxa"/>
            <w:gridSpan w:val="2"/>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p>
        </w:tc>
        <w:tc>
          <w:tcPr>
            <w:tcW w:w="884" w:type="dxa"/>
          </w:tcPr>
          <w:p>
            <w:pPr>
              <w:pStyle w:val="17"/>
              <w:spacing w:before="107" w:line="218" w:lineRule="auto"/>
              <w:ind w:left="183" w:right="99" w:hanging="10"/>
              <w:jc w:val="center"/>
              <w:rPr>
                <w:rFonts w:hint="eastAsia" w:ascii="仿宋" w:hAnsi="仿宋" w:eastAsia="仿宋" w:cs="仿宋"/>
                <w:color w:val="595959"/>
                <w:w w:val="95"/>
                <w:kern w:val="2"/>
                <w:sz w:val="30"/>
                <w:szCs w:val="30"/>
                <w:lang w:val="en-US" w:eastAsia="zh-CN" w:bidi="ar-SA"/>
              </w:rPr>
            </w:pPr>
            <w:r>
              <w:rPr>
                <w:rFonts w:hint="eastAsia" w:ascii="仿宋" w:hAnsi="仿宋" w:eastAsia="仿宋" w:cs="仿宋"/>
                <w:color w:val="595959"/>
                <w:w w:val="95"/>
                <w:kern w:val="2"/>
                <w:sz w:val="30"/>
                <w:szCs w:val="30"/>
                <w:lang w:val="en-US" w:eastAsia="zh-CN" w:bidi="ar-SA"/>
              </w:rPr>
              <w:t>6</w:t>
            </w:r>
          </w:p>
        </w:tc>
        <w:tc>
          <w:tcPr>
            <w:tcW w:w="1331" w:type="dxa"/>
            <w:gridSpan w:val="2"/>
          </w:tcPr>
          <w:p>
            <w:pPr>
              <w:pStyle w:val="17"/>
              <w:spacing w:before="107" w:line="218" w:lineRule="auto"/>
              <w:ind w:left="183" w:right="99" w:hanging="10"/>
              <w:jc w:val="center"/>
              <w:rPr>
                <w:rFonts w:hint="eastAsia" w:ascii="仿宋" w:hAnsi="仿宋" w:eastAsia="仿宋" w:cs="仿宋"/>
                <w:color w:val="595959"/>
                <w:w w:val="95"/>
                <w:kern w:val="2"/>
                <w:sz w:val="30"/>
                <w:szCs w:val="30"/>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498" w:hRule="atLeast"/>
          <w:jc w:val="center"/>
        </w:trPr>
        <w:tc>
          <w:tcPr>
            <w:tcW w:w="1091" w:type="dxa"/>
            <w:gridSpan w:val="2"/>
            <w:vMerge w:val="continue"/>
            <w:tcBorders>
              <w:top w:val="nil"/>
            </w:tcBorders>
          </w:tcPr>
          <w:p>
            <w:pPr>
              <w:jc w:val="center"/>
              <w:rPr>
                <w:rFonts w:hint="eastAsia" w:ascii="仿宋" w:hAnsi="仿宋" w:eastAsia="仿宋" w:cs="仿宋"/>
                <w:color w:val="595959"/>
                <w:w w:val="95"/>
                <w:kern w:val="2"/>
                <w:sz w:val="30"/>
                <w:szCs w:val="30"/>
                <w:lang w:val="en-US" w:eastAsia="zh-CN" w:bidi="ar-SA"/>
              </w:rPr>
            </w:pPr>
          </w:p>
        </w:tc>
        <w:tc>
          <w:tcPr>
            <w:tcW w:w="1086" w:type="dxa"/>
            <w:gridSpan w:val="2"/>
            <w:vMerge w:val="continue"/>
            <w:tcBorders>
              <w:top w:val="nil"/>
            </w:tcBorders>
          </w:tcPr>
          <w:p>
            <w:pPr>
              <w:jc w:val="center"/>
              <w:rPr>
                <w:rFonts w:hint="eastAsia" w:ascii="仿宋" w:hAnsi="仿宋" w:eastAsia="仿宋" w:cs="仿宋"/>
                <w:color w:val="595959"/>
                <w:w w:val="95"/>
                <w:kern w:val="2"/>
                <w:sz w:val="30"/>
                <w:szCs w:val="30"/>
                <w:lang w:val="en-US" w:eastAsia="zh-CN" w:bidi="ar-SA"/>
              </w:rPr>
            </w:pPr>
          </w:p>
        </w:tc>
        <w:tc>
          <w:tcPr>
            <w:tcW w:w="956" w:type="dxa"/>
            <w:gridSpan w:val="2"/>
            <w:vMerge w:val="continue"/>
            <w:tcBorders>
              <w:top w:val="nil"/>
            </w:tcBorders>
          </w:tcPr>
          <w:p>
            <w:pPr>
              <w:jc w:val="center"/>
              <w:rPr>
                <w:rFonts w:hint="eastAsia" w:ascii="仿宋" w:hAnsi="仿宋" w:eastAsia="仿宋" w:cs="仿宋"/>
                <w:color w:val="595959"/>
                <w:kern w:val="2"/>
                <w:sz w:val="30"/>
                <w:szCs w:val="30"/>
                <w:lang w:val="en-US" w:eastAsia="zh-CN" w:bidi="ar-SA"/>
              </w:rPr>
            </w:pPr>
          </w:p>
        </w:tc>
        <w:tc>
          <w:tcPr>
            <w:tcW w:w="1350" w:type="dxa"/>
            <w:gridSpan w:val="2"/>
            <w:tcBorders>
              <w:bottom w:val="single" w:color="000000" w:sz="2" w:space="0"/>
            </w:tcBorders>
          </w:tcPr>
          <w:p>
            <w:pPr>
              <w:pStyle w:val="17"/>
              <w:jc w:val="center"/>
              <w:rPr>
                <w:rFonts w:hint="eastAsia" w:ascii="仿宋" w:hAnsi="仿宋" w:eastAsia="仿宋" w:cs="仿宋"/>
                <w:color w:val="595959"/>
                <w:w w:val="95"/>
                <w:kern w:val="2"/>
                <w:sz w:val="30"/>
                <w:szCs w:val="30"/>
                <w:lang w:val="en-US" w:eastAsia="zh-CN" w:bidi="ar-SA"/>
              </w:rPr>
            </w:pPr>
          </w:p>
          <w:p>
            <w:pPr>
              <w:pStyle w:val="17"/>
              <w:jc w:val="center"/>
              <w:rPr>
                <w:rFonts w:hint="eastAsia" w:ascii="仿宋" w:hAnsi="仿宋" w:eastAsia="仿宋" w:cs="仿宋"/>
                <w:color w:val="595959"/>
                <w:w w:val="95"/>
                <w:kern w:val="2"/>
                <w:sz w:val="30"/>
                <w:szCs w:val="30"/>
                <w:lang w:val="en-US" w:eastAsia="zh-CN" w:bidi="ar-SA"/>
              </w:rPr>
            </w:pPr>
            <w:r>
              <w:rPr>
                <w:rFonts w:hint="eastAsia" w:ascii="仿宋" w:hAnsi="仿宋" w:eastAsia="仿宋" w:cs="仿宋"/>
                <w:color w:val="595959"/>
                <w:w w:val="95"/>
                <w:kern w:val="2"/>
                <w:sz w:val="30"/>
                <w:szCs w:val="30"/>
                <w:lang w:val="en-US" w:eastAsia="zh-CN" w:bidi="ar-SA"/>
              </w:rPr>
              <w:t>农民幸福指数</w:t>
            </w:r>
          </w:p>
        </w:tc>
        <w:tc>
          <w:tcPr>
            <w:tcW w:w="1197" w:type="dxa"/>
            <w:gridSpan w:val="2"/>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指数</w:t>
            </w:r>
          </w:p>
        </w:tc>
        <w:tc>
          <w:tcPr>
            <w:tcW w:w="1274" w:type="dxa"/>
            <w:gridSpan w:val="3"/>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提高</w:t>
            </w:r>
          </w:p>
        </w:tc>
        <w:tc>
          <w:tcPr>
            <w:tcW w:w="817" w:type="dxa"/>
            <w:gridSpan w:val="2"/>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p>
        </w:tc>
        <w:tc>
          <w:tcPr>
            <w:tcW w:w="884" w:type="dxa"/>
            <w:tcBorders>
              <w:bottom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kern w:val="2"/>
                <w:sz w:val="30"/>
                <w:szCs w:val="30"/>
                <w:lang w:val="en-US" w:eastAsia="zh-CN" w:bidi="ar-SA"/>
              </w:rPr>
            </w:pPr>
            <w:r>
              <w:rPr>
                <w:rFonts w:hint="eastAsia" w:ascii="仿宋" w:hAnsi="仿宋" w:eastAsia="仿宋" w:cs="仿宋"/>
                <w:color w:val="595959"/>
                <w:w w:val="95"/>
                <w:kern w:val="2"/>
                <w:sz w:val="30"/>
                <w:szCs w:val="30"/>
                <w:lang w:val="en-US" w:eastAsia="zh-CN" w:bidi="ar-SA"/>
              </w:rPr>
              <w:t>6</w:t>
            </w:r>
          </w:p>
        </w:tc>
        <w:tc>
          <w:tcPr>
            <w:tcW w:w="1331" w:type="dxa"/>
            <w:gridSpan w:val="2"/>
            <w:tcBorders>
              <w:bottom w:val="single" w:color="000000" w:sz="2" w:space="0"/>
              <w:right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kern w:val="2"/>
                <w:sz w:val="30"/>
                <w:szCs w:val="30"/>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364"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continue"/>
            <w:tcBorders>
              <w:top w:val="nil"/>
            </w:tcBorders>
          </w:tcPr>
          <w:p>
            <w:pPr>
              <w:jc w:val="center"/>
              <w:rPr>
                <w:rFonts w:hint="eastAsia" w:ascii="仿宋" w:hAnsi="仿宋" w:eastAsia="仿宋" w:cs="仿宋"/>
                <w:sz w:val="30"/>
                <w:szCs w:val="30"/>
              </w:rPr>
            </w:pPr>
          </w:p>
        </w:tc>
        <w:tc>
          <w:tcPr>
            <w:tcW w:w="956" w:type="dxa"/>
            <w:gridSpan w:val="2"/>
            <w:tcBorders>
              <w:bottom w:val="single" w:color="000000" w:sz="2" w:space="0"/>
            </w:tcBorders>
          </w:tcPr>
          <w:p>
            <w:pPr>
              <w:pStyle w:val="17"/>
              <w:spacing w:before="103" w:line="218" w:lineRule="auto"/>
              <w:ind w:left="381" w:right="97" w:hanging="203"/>
              <w:jc w:val="center"/>
              <w:rPr>
                <w:rFonts w:hint="eastAsia" w:ascii="仿宋" w:hAnsi="仿宋" w:eastAsia="仿宋" w:cs="仿宋"/>
                <w:color w:val="595959"/>
                <w:kern w:val="2"/>
                <w:sz w:val="30"/>
                <w:szCs w:val="30"/>
                <w:lang w:val="en-US" w:eastAsia="zh-CN" w:bidi="ar-SA"/>
              </w:rPr>
            </w:pPr>
            <w:r>
              <w:rPr>
                <w:rFonts w:hint="eastAsia" w:ascii="仿宋" w:hAnsi="仿宋" w:eastAsia="仿宋" w:cs="仿宋"/>
                <w:color w:val="595959"/>
                <w:kern w:val="2"/>
                <w:sz w:val="30"/>
                <w:szCs w:val="30"/>
                <w:lang w:val="en-US" w:eastAsia="zh-CN" w:bidi="ar-SA"/>
              </w:rPr>
              <w:t>生态效益指标</w:t>
            </w:r>
          </w:p>
        </w:tc>
        <w:tc>
          <w:tcPr>
            <w:tcW w:w="1350" w:type="dxa"/>
            <w:gridSpan w:val="2"/>
            <w:tcBorders>
              <w:bottom w:val="single" w:color="000000" w:sz="2" w:space="0"/>
            </w:tcBorders>
          </w:tcPr>
          <w:p>
            <w:pPr>
              <w:pStyle w:val="17"/>
              <w:jc w:val="both"/>
              <w:rPr>
                <w:rFonts w:hint="eastAsia" w:ascii="仿宋" w:hAnsi="仿宋" w:eastAsia="仿宋" w:cs="仿宋"/>
                <w:color w:val="595959"/>
                <w:w w:val="95"/>
                <w:kern w:val="2"/>
                <w:sz w:val="30"/>
                <w:szCs w:val="30"/>
                <w:lang w:val="en-US" w:eastAsia="zh-CN" w:bidi="ar-SA"/>
              </w:rPr>
            </w:pPr>
            <w:r>
              <w:rPr>
                <w:rFonts w:hint="eastAsia" w:ascii="仿宋" w:hAnsi="仿宋" w:eastAsia="仿宋" w:cs="仿宋"/>
                <w:color w:val="595959"/>
                <w:w w:val="95"/>
                <w:kern w:val="2"/>
                <w:sz w:val="30"/>
                <w:szCs w:val="30"/>
                <w:lang w:val="en-US" w:eastAsia="zh-CN" w:bidi="ar-SA"/>
              </w:rPr>
              <w:t>农机机械使用率提高改变容桂生态环境</w:t>
            </w:r>
          </w:p>
        </w:tc>
        <w:tc>
          <w:tcPr>
            <w:tcW w:w="1197" w:type="dxa"/>
            <w:gridSpan w:val="2"/>
            <w:tcBorders>
              <w:bottom w:val="single" w:color="000000" w:sz="2" w:space="0"/>
            </w:tcBorders>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效果</w:t>
            </w:r>
          </w:p>
        </w:tc>
        <w:tc>
          <w:tcPr>
            <w:tcW w:w="1274" w:type="dxa"/>
            <w:gridSpan w:val="3"/>
            <w:tcBorders>
              <w:bottom w:val="single" w:color="000000" w:sz="2" w:space="0"/>
            </w:tcBorders>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大幅提高</w:t>
            </w:r>
          </w:p>
        </w:tc>
        <w:tc>
          <w:tcPr>
            <w:tcW w:w="817" w:type="dxa"/>
            <w:gridSpan w:val="2"/>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w:t>
            </w:r>
          </w:p>
        </w:tc>
        <w:tc>
          <w:tcPr>
            <w:tcW w:w="884" w:type="dxa"/>
            <w:tcBorders>
              <w:bottom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sz w:val="30"/>
                <w:szCs w:val="30"/>
                <w:lang w:val="en-US" w:eastAsia="zh-CN"/>
              </w:rPr>
            </w:pPr>
            <w:r>
              <w:rPr>
                <w:rFonts w:hint="eastAsia" w:ascii="仿宋" w:hAnsi="仿宋" w:eastAsia="仿宋" w:cs="仿宋"/>
                <w:color w:val="595959"/>
                <w:w w:val="95"/>
                <w:sz w:val="30"/>
                <w:szCs w:val="30"/>
                <w:lang w:val="en-US" w:eastAsia="zh-CN"/>
              </w:rPr>
              <w:t>6</w:t>
            </w:r>
          </w:p>
        </w:tc>
        <w:tc>
          <w:tcPr>
            <w:tcW w:w="1331" w:type="dxa"/>
            <w:gridSpan w:val="2"/>
            <w:tcBorders>
              <w:bottom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sz w:val="30"/>
                <w:szCs w:val="3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311"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continue"/>
            <w:tcBorders>
              <w:top w:val="nil"/>
            </w:tcBorders>
          </w:tcPr>
          <w:p>
            <w:pPr>
              <w:jc w:val="center"/>
              <w:rPr>
                <w:rFonts w:hint="eastAsia" w:ascii="仿宋" w:hAnsi="仿宋" w:eastAsia="仿宋" w:cs="仿宋"/>
                <w:sz w:val="30"/>
                <w:szCs w:val="30"/>
              </w:rPr>
            </w:pPr>
          </w:p>
        </w:tc>
        <w:tc>
          <w:tcPr>
            <w:tcW w:w="956" w:type="dxa"/>
            <w:gridSpan w:val="2"/>
            <w:tcBorders>
              <w:top w:val="single" w:color="000000" w:sz="2" w:space="0"/>
            </w:tcBorders>
          </w:tcPr>
          <w:p>
            <w:pPr>
              <w:pStyle w:val="17"/>
              <w:spacing w:before="103" w:line="218" w:lineRule="auto"/>
              <w:ind w:left="381" w:right="97" w:hanging="203"/>
              <w:jc w:val="center"/>
              <w:rPr>
                <w:rFonts w:hint="eastAsia" w:ascii="仿宋" w:hAnsi="仿宋" w:eastAsia="仿宋" w:cs="仿宋"/>
                <w:color w:val="595959"/>
                <w:kern w:val="2"/>
                <w:sz w:val="30"/>
                <w:szCs w:val="30"/>
                <w:lang w:val="en-US" w:eastAsia="zh-CN" w:bidi="ar-SA"/>
              </w:rPr>
            </w:pPr>
            <w:r>
              <w:rPr>
                <w:rFonts w:hint="eastAsia" w:ascii="仿宋" w:hAnsi="仿宋" w:eastAsia="仿宋" w:cs="仿宋"/>
                <w:color w:val="595959"/>
                <w:kern w:val="2"/>
                <w:sz w:val="30"/>
                <w:szCs w:val="30"/>
                <w:lang w:val="en-US" w:eastAsia="zh-CN" w:bidi="ar-SA"/>
              </w:rPr>
              <w:t>可持续影响指标</w:t>
            </w:r>
          </w:p>
        </w:tc>
        <w:tc>
          <w:tcPr>
            <w:tcW w:w="1350" w:type="dxa"/>
            <w:gridSpan w:val="2"/>
            <w:tcBorders>
              <w:top w:val="single" w:color="000000" w:sz="2" w:space="0"/>
              <w:bottom w:val="single" w:color="000000" w:sz="2" w:space="0"/>
            </w:tcBorders>
          </w:tcPr>
          <w:p>
            <w:pPr>
              <w:pStyle w:val="17"/>
              <w:jc w:val="center"/>
              <w:rPr>
                <w:rFonts w:hint="eastAsia" w:ascii="仿宋" w:hAnsi="仿宋" w:eastAsia="仿宋" w:cs="仿宋"/>
                <w:color w:val="595959"/>
                <w:w w:val="95"/>
                <w:kern w:val="2"/>
                <w:sz w:val="30"/>
                <w:szCs w:val="30"/>
                <w:lang w:val="en-US" w:eastAsia="zh-CN" w:bidi="ar-SA"/>
              </w:rPr>
            </w:pPr>
            <w:r>
              <w:rPr>
                <w:rFonts w:hint="eastAsia" w:ascii="仿宋" w:hAnsi="仿宋" w:eastAsia="仿宋" w:cs="仿宋"/>
                <w:color w:val="595959"/>
                <w:w w:val="95"/>
                <w:kern w:val="2"/>
                <w:sz w:val="30"/>
                <w:szCs w:val="30"/>
                <w:lang w:val="en-US" w:eastAsia="zh-CN" w:bidi="ar-SA"/>
              </w:rPr>
              <w:t>环境改善持续性</w:t>
            </w:r>
          </w:p>
        </w:tc>
        <w:tc>
          <w:tcPr>
            <w:tcW w:w="1197" w:type="dxa"/>
            <w:gridSpan w:val="2"/>
            <w:tcBorders>
              <w:top w:val="single" w:color="000000" w:sz="2" w:space="0"/>
              <w:bottom w:val="single" w:color="000000" w:sz="2" w:space="0"/>
            </w:tcBorders>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持续性</w:t>
            </w:r>
          </w:p>
        </w:tc>
        <w:tc>
          <w:tcPr>
            <w:tcW w:w="1274" w:type="dxa"/>
            <w:gridSpan w:val="3"/>
            <w:tcBorders>
              <w:top w:val="single" w:color="000000" w:sz="2" w:space="0"/>
              <w:bottom w:val="single" w:color="000000" w:sz="2" w:space="0"/>
            </w:tcBorders>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持久</w:t>
            </w:r>
          </w:p>
        </w:tc>
        <w:tc>
          <w:tcPr>
            <w:tcW w:w="817" w:type="dxa"/>
            <w:gridSpan w:val="2"/>
            <w:tcBorders>
              <w:top w:val="single" w:color="000000" w:sz="2" w:space="0"/>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884" w:type="dxa"/>
            <w:tcBorders>
              <w:top w:val="single" w:color="000000" w:sz="2" w:space="0"/>
              <w:bottom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sz w:val="30"/>
                <w:szCs w:val="30"/>
                <w:lang w:val="en-US" w:eastAsia="zh-CN"/>
              </w:rPr>
            </w:pPr>
            <w:r>
              <w:rPr>
                <w:rFonts w:hint="eastAsia" w:ascii="仿宋" w:hAnsi="仿宋" w:eastAsia="仿宋" w:cs="仿宋"/>
                <w:color w:val="595959"/>
                <w:w w:val="95"/>
                <w:sz w:val="30"/>
                <w:szCs w:val="30"/>
                <w:lang w:val="en-US" w:eastAsia="zh-CN"/>
              </w:rPr>
              <w:t>5</w:t>
            </w:r>
          </w:p>
        </w:tc>
        <w:tc>
          <w:tcPr>
            <w:tcW w:w="1331" w:type="dxa"/>
            <w:gridSpan w:val="2"/>
            <w:tcBorders>
              <w:top w:val="single" w:color="000000" w:sz="2" w:space="0"/>
              <w:bottom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sz w:val="30"/>
                <w:szCs w:val="3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398" w:hRule="atLeast"/>
          <w:jc w:val="center"/>
        </w:trPr>
        <w:tc>
          <w:tcPr>
            <w:tcW w:w="1091" w:type="dxa"/>
            <w:gridSpan w:val="2"/>
            <w:vMerge w:val="continue"/>
            <w:tcBorders>
              <w:top w:val="nil"/>
            </w:tcBorders>
          </w:tcPr>
          <w:p>
            <w:pPr>
              <w:jc w:val="center"/>
              <w:rPr>
                <w:rFonts w:hint="eastAsia" w:ascii="仿宋" w:hAnsi="仿宋" w:eastAsia="仿宋" w:cs="仿宋"/>
                <w:sz w:val="30"/>
                <w:szCs w:val="30"/>
              </w:rPr>
            </w:pPr>
          </w:p>
        </w:tc>
        <w:tc>
          <w:tcPr>
            <w:tcW w:w="1086" w:type="dxa"/>
            <w:gridSpan w:val="2"/>
            <w:vMerge w:val="continue"/>
            <w:tcBorders>
              <w:top w:val="nil"/>
            </w:tcBorders>
          </w:tcPr>
          <w:p>
            <w:pPr>
              <w:jc w:val="center"/>
              <w:rPr>
                <w:rFonts w:hint="eastAsia" w:ascii="仿宋" w:hAnsi="仿宋" w:eastAsia="仿宋" w:cs="仿宋"/>
                <w:sz w:val="30"/>
                <w:szCs w:val="30"/>
              </w:rPr>
            </w:pPr>
          </w:p>
        </w:tc>
        <w:tc>
          <w:tcPr>
            <w:tcW w:w="956" w:type="dxa"/>
            <w:gridSpan w:val="2"/>
          </w:tcPr>
          <w:p>
            <w:pPr>
              <w:pStyle w:val="17"/>
              <w:spacing w:before="103" w:line="218" w:lineRule="auto"/>
              <w:ind w:left="381" w:right="97" w:hanging="203"/>
              <w:jc w:val="center"/>
              <w:rPr>
                <w:rFonts w:hint="eastAsia" w:ascii="仿宋" w:hAnsi="仿宋" w:eastAsia="仿宋" w:cs="仿宋"/>
                <w:color w:val="595959"/>
                <w:kern w:val="2"/>
                <w:sz w:val="30"/>
                <w:szCs w:val="30"/>
                <w:lang w:val="en-US" w:eastAsia="zh-CN" w:bidi="ar-SA"/>
              </w:rPr>
            </w:pPr>
            <w:r>
              <w:rPr>
                <w:rFonts w:hint="eastAsia" w:ascii="仿宋" w:hAnsi="仿宋" w:eastAsia="仿宋" w:cs="仿宋"/>
                <w:color w:val="595959"/>
                <w:kern w:val="2"/>
                <w:sz w:val="30"/>
                <w:szCs w:val="30"/>
                <w:lang w:val="en-US" w:eastAsia="zh-CN" w:bidi="ar-SA"/>
              </w:rPr>
              <w:t>服务对象满意度指标</w:t>
            </w:r>
          </w:p>
        </w:tc>
        <w:tc>
          <w:tcPr>
            <w:tcW w:w="1350" w:type="dxa"/>
            <w:gridSpan w:val="2"/>
            <w:tcBorders>
              <w:bottom w:val="single" w:color="000000" w:sz="2" w:space="0"/>
            </w:tcBorders>
          </w:tcPr>
          <w:p>
            <w:pPr>
              <w:pStyle w:val="17"/>
              <w:jc w:val="center"/>
              <w:rPr>
                <w:rFonts w:hint="eastAsia" w:ascii="仿宋" w:hAnsi="仿宋" w:eastAsia="仿宋" w:cs="仿宋"/>
                <w:color w:val="595959"/>
                <w:w w:val="95"/>
                <w:kern w:val="2"/>
                <w:sz w:val="30"/>
                <w:szCs w:val="30"/>
                <w:lang w:val="en-US" w:eastAsia="zh-CN" w:bidi="ar-SA"/>
              </w:rPr>
            </w:pPr>
            <w:r>
              <w:rPr>
                <w:rFonts w:hint="eastAsia" w:ascii="仿宋" w:hAnsi="仿宋" w:eastAsia="仿宋" w:cs="仿宋"/>
                <w:color w:val="595959"/>
                <w:w w:val="95"/>
                <w:kern w:val="2"/>
                <w:sz w:val="30"/>
                <w:szCs w:val="30"/>
                <w:lang w:val="en-US" w:eastAsia="zh-CN" w:bidi="ar-SA"/>
              </w:rPr>
              <w:t>服务对象满意度</w:t>
            </w:r>
          </w:p>
        </w:tc>
        <w:tc>
          <w:tcPr>
            <w:tcW w:w="1197" w:type="dxa"/>
            <w:gridSpan w:val="2"/>
            <w:tcBorders>
              <w:bottom w:val="single" w:color="000000" w:sz="2" w:space="0"/>
            </w:tcBorders>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满意度</w:t>
            </w:r>
          </w:p>
        </w:tc>
        <w:tc>
          <w:tcPr>
            <w:tcW w:w="1274" w:type="dxa"/>
            <w:gridSpan w:val="3"/>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99%</w:t>
            </w:r>
          </w:p>
        </w:tc>
        <w:tc>
          <w:tcPr>
            <w:tcW w:w="817" w:type="dxa"/>
            <w:gridSpan w:val="2"/>
            <w:tcBorders>
              <w:bottom w:val="single" w:color="000000" w:sz="2" w:space="0"/>
            </w:tcBorders>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w:t>
            </w:r>
          </w:p>
        </w:tc>
        <w:tc>
          <w:tcPr>
            <w:tcW w:w="884" w:type="dxa"/>
            <w:tcBorders>
              <w:bottom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sz w:val="30"/>
                <w:szCs w:val="30"/>
                <w:lang w:val="en-US" w:eastAsia="zh-CN"/>
              </w:rPr>
            </w:pPr>
            <w:r>
              <w:rPr>
                <w:rFonts w:hint="eastAsia" w:ascii="仿宋" w:hAnsi="仿宋" w:eastAsia="仿宋" w:cs="仿宋"/>
                <w:color w:val="595959"/>
                <w:w w:val="95"/>
                <w:sz w:val="30"/>
                <w:szCs w:val="30"/>
                <w:lang w:val="en-US" w:eastAsia="zh-CN"/>
              </w:rPr>
              <w:t>5</w:t>
            </w:r>
          </w:p>
        </w:tc>
        <w:tc>
          <w:tcPr>
            <w:tcW w:w="1331" w:type="dxa"/>
            <w:gridSpan w:val="2"/>
            <w:tcBorders>
              <w:bottom w:val="single" w:color="000000" w:sz="2" w:space="0"/>
              <w:right w:val="single" w:color="000000" w:sz="2" w:space="0"/>
            </w:tcBorders>
          </w:tcPr>
          <w:p>
            <w:pPr>
              <w:pStyle w:val="17"/>
              <w:spacing w:before="107" w:line="218" w:lineRule="auto"/>
              <w:ind w:left="385" w:right="143" w:hanging="203"/>
              <w:jc w:val="center"/>
              <w:rPr>
                <w:rFonts w:hint="eastAsia" w:ascii="仿宋" w:hAnsi="仿宋" w:eastAsia="仿宋" w:cs="仿宋"/>
                <w:color w:val="595959"/>
                <w:w w:val="95"/>
                <w:sz w:val="30"/>
                <w:szCs w:val="30"/>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Before w:val="2"/>
          <w:wBefore w:w="1069" w:type="dxa"/>
          <w:trHeight w:val="273" w:hRule="atLeast"/>
          <w:jc w:val="center"/>
        </w:trPr>
        <w:tc>
          <w:tcPr>
            <w:tcW w:w="6954" w:type="dxa"/>
            <w:gridSpan w:val="13"/>
          </w:tcPr>
          <w:p>
            <w:pPr>
              <w:pStyle w:val="17"/>
              <w:jc w:val="center"/>
              <w:rPr>
                <w:rFonts w:hint="eastAsia" w:ascii="仿宋" w:hAnsi="仿宋" w:eastAsia="仿宋" w:cs="仿宋"/>
                <w:sz w:val="30"/>
                <w:szCs w:val="30"/>
                <w:lang w:eastAsia="zh-CN"/>
              </w:rPr>
            </w:pPr>
            <w:r>
              <w:rPr>
                <w:rFonts w:hint="eastAsia" w:ascii="仿宋" w:hAnsi="仿宋" w:eastAsia="仿宋" w:cs="仿宋"/>
                <w:color w:val="595959"/>
                <w:kern w:val="2"/>
                <w:sz w:val="30"/>
                <w:szCs w:val="30"/>
                <w:lang w:val="en-US" w:eastAsia="zh-CN" w:bidi="ar-SA"/>
              </w:rPr>
              <w:t>总分</w:t>
            </w:r>
          </w:p>
        </w:tc>
        <w:tc>
          <w:tcPr>
            <w:tcW w:w="817" w:type="dxa"/>
            <w:gridSpan w:val="2"/>
          </w:tcPr>
          <w:p>
            <w:pPr>
              <w:pStyle w:val="17"/>
              <w:jc w:val="center"/>
              <w:rPr>
                <w:rFonts w:hint="eastAsia" w:ascii="仿宋" w:hAnsi="仿宋" w:eastAsia="仿宋" w:cs="仿宋"/>
                <w:sz w:val="30"/>
                <w:szCs w:val="30"/>
                <w:lang w:eastAsia="zh-CN"/>
              </w:rPr>
            </w:pPr>
          </w:p>
          <w:p>
            <w:pPr>
              <w:pStyle w:val="17"/>
              <w:jc w:val="center"/>
              <w:rPr>
                <w:rFonts w:hint="eastAsia" w:ascii="仿宋" w:hAnsi="仿宋" w:eastAsia="仿宋" w:cs="仿宋"/>
                <w:sz w:val="30"/>
                <w:szCs w:val="30"/>
                <w:lang w:eastAsia="zh-CN"/>
              </w:rPr>
            </w:pPr>
            <w:r>
              <w:rPr>
                <w:rFonts w:hint="eastAsia" w:ascii="仿宋" w:hAnsi="仿宋" w:eastAsia="仿宋" w:cs="仿宋"/>
                <w:sz w:val="30"/>
                <w:szCs w:val="30"/>
                <w:lang w:eastAsia="zh-CN"/>
              </w:rPr>
              <w:t>100 分</w:t>
            </w:r>
          </w:p>
        </w:tc>
        <w:tc>
          <w:tcPr>
            <w:tcW w:w="884" w:type="dxa"/>
          </w:tcPr>
          <w:p>
            <w:pPr>
              <w:pStyle w:val="17"/>
              <w:jc w:val="center"/>
              <w:rPr>
                <w:rFonts w:hint="eastAsia" w:ascii="仿宋" w:hAnsi="仿宋" w:eastAsia="仿宋" w:cs="仿宋"/>
                <w:sz w:val="30"/>
                <w:szCs w:val="30"/>
                <w:lang w:val="en-US" w:eastAsia="zh-CN"/>
              </w:rPr>
            </w:pPr>
          </w:p>
          <w:p>
            <w:pPr>
              <w:pStyle w:val="17"/>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99分</w:t>
            </w:r>
          </w:p>
        </w:tc>
        <w:tc>
          <w:tcPr>
            <w:tcW w:w="1331" w:type="dxa"/>
            <w:gridSpan w:val="2"/>
            <w:tcBorders>
              <w:right w:val="single" w:color="000000" w:sz="2" w:space="0"/>
            </w:tcBorders>
          </w:tcPr>
          <w:p>
            <w:pPr>
              <w:pStyle w:val="17"/>
              <w:jc w:val="center"/>
              <w:rPr>
                <w:rFonts w:hint="eastAsia" w:ascii="仿宋" w:hAnsi="仿宋" w:eastAsia="仿宋" w:cs="仿宋"/>
                <w:sz w:val="30"/>
                <w:szCs w:val="30"/>
                <w:lang w:eastAsia="zh-CN"/>
              </w:rPr>
            </w:pPr>
          </w:p>
        </w:tc>
      </w:tr>
    </w:tbl>
    <w:p>
      <w:pPr>
        <w:widowControl/>
        <w:shd w:val="clear" w:color="auto" w:fill="FFFFFF"/>
        <w:spacing w:line="600" w:lineRule="atLeast"/>
        <w:jc w:val="both"/>
        <w:rPr>
          <w:rFonts w:hint="eastAsia"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填表人：</w:t>
      </w:r>
      <w:r>
        <w:rPr>
          <w:rFonts w:hint="eastAsia" w:ascii="仿宋" w:hAnsi="仿宋" w:eastAsia="仿宋" w:cs="仿宋"/>
          <w:color w:val="000000"/>
          <w:kern w:val="0"/>
          <w:sz w:val="30"/>
          <w:szCs w:val="30"/>
          <w:lang w:eastAsia="zh-CN"/>
        </w:rPr>
        <w:t>郭凤英</w:t>
      </w:r>
      <w:r>
        <w:rPr>
          <w:rFonts w:hint="eastAsia" w:ascii="仿宋" w:hAnsi="仿宋" w:eastAsia="仿宋" w:cs="仿宋"/>
          <w:color w:val="000000"/>
          <w:kern w:val="0"/>
          <w:sz w:val="30"/>
          <w:szCs w:val="30"/>
        </w:rPr>
        <w:t>    填报日期：2023.</w:t>
      </w:r>
      <w:r>
        <w:rPr>
          <w:rFonts w:hint="eastAsia" w:ascii="仿宋" w:hAnsi="仿宋" w:eastAsia="仿宋" w:cs="仿宋"/>
          <w:color w:val="000000"/>
          <w:kern w:val="0"/>
          <w:sz w:val="30"/>
          <w:szCs w:val="30"/>
          <w:lang w:val="en-US" w:eastAsia="zh-CN"/>
        </w:rPr>
        <w:t>4</w:t>
      </w:r>
      <w:r>
        <w:rPr>
          <w:rFonts w:hint="eastAsia" w:ascii="仿宋" w:hAnsi="仿宋" w:eastAsia="仿宋" w:cs="仿宋"/>
          <w:color w:val="000000"/>
          <w:kern w:val="0"/>
          <w:sz w:val="30"/>
          <w:szCs w:val="30"/>
        </w:rPr>
        <w:t>.2</w:t>
      </w:r>
      <w:r>
        <w:rPr>
          <w:rFonts w:hint="eastAsia" w:ascii="仿宋" w:hAnsi="仿宋" w:eastAsia="仿宋" w:cs="仿宋"/>
          <w:color w:val="000000"/>
          <w:kern w:val="0"/>
          <w:sz w:val="30"/>
          <w:szCs w:val="30"/>
          <w:lang w:val="en-US" w:eastAsia="zh-CN"/>
        </w:rPr>
        <w:t>8</w:t>
      </w:r>
      <w:r>
        <w:rPr>
          <w:rFonts w:hint="eastAsia" w:ascii="仿宋" w:hAnsi="仿宋" w:eastAsia="仿宋" w:cs="仿宋"/>
          <w:color w:val="000000"/>
          <w:kern w:val="0"/>
          <w:sz w:val="30"/>
          <w:szCs w:val="30"/>
        </w:rPr>
        <w:t>    </w:t>
      </w:r>
      <w:r>
        <w:rPr>
          <w:rFonts w:hint="eastAsia" w:ascii="仿宋" w:hAnsi="仿宋" w:eastAsia="仿宋" w:cs="仿宋"/>
          <w:color w:val="000000"/>
          <w:kern w:val="0"/>
          <w:sz w:val="30"/>
          <w:szCs w:val="30"/>
          <w:lang w:val="en-US" w:eastAsia="zh-CN"/>
        </w:rPr>
        <w:t xml:space="preserve">         </w:t>
      </w:r>
      <w:r>
        <w:rPr>
          <w:rFonts w:hint="eastAsia" w:ascii="仿宋" w:hAnsi="仿宋" w:eastAsia="仿宋" w:cs="仿宋"/>
          <w:color w:val="000000"/>
          <w:kern w:val="0"/>
          <w:sz w:val="30"/>
          <w:szCs w:val="30"/>
        </w:rPr>
        <w:t> 联系电话：</w:t>
      </w:r>
      <w:r>
        <w:rPr>
          <w:rFonts w:hint="eastAsia" w:ascii="仿宋" w:hAnsi="仿宋" w:eastAsia="仿宋" w:cs="仿宋"/>
          <w:color w:val="000000"/>
          <w:kern w:val="0"/>
          <w:sz w:val="30"/>
          <w:szCs w:val="30"/>
          <w:lang w:val="en-US" w:eastAsia="zh-CN"/>
        </w:rPr>
        <w:t>13467370608</w:t>
      </w:r>
    </w:p>
    <w:p>
      <w:pPr>
        <w:widowControl/>
        <w:shd w:val="clear" w:color="auto" w:fill="FFFFFF"/>
        <w:spacing w:line="600" w:lineRule="atLeast"/>
        <w:jc w:val="lef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单位负责人签字：</w:t>
      </w:r>
    </w:p>
    <w:p>
      <w:pPr>
        <w:jc w:val="left"/>
        <w:rPr>
          <w:rFonts w:hint="eastAsia" w:ascii="仿宋" w:hAnsi="仿宋" w:eastAsia="仿宋" w:cs="仿宋"/>
          <w:sz w:val="30"/>
          <w:szCs w:val="30"/>
        </w:rPr>
      </w:pP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部门整体支出绩效自评报告评审评分表</w:t>
      </w:r>
    </w:p>
    <w:p>
      <w:pPr>
        <w:snapToGrid w:val="0"/>
        <w:jc w:val="left"/>
        <w:rPr>
          <w:rFonts w:hint="eastAsia" w:ascii="仿宋" w:hAnsi="仿宋" w:eastAsia="仿宋" w:cs="仿宋"/>
          <w:b/>
          <w:sz w:val="30"/>
          <w:szCs w:val="30"/>
        </w:rPr>
      </w:pPr>
    </w:p>
    <w:p>
      <w:pPr>
        <w:snapToGrid w:val="0"/>
        <w:jc w:val="left"/>
        <w:rPr>
          <w:rFonts w:hint="eastAsia" w:ascii="仿宋" w:hAnsi="仿宋" w:eastAsia="仿宋" w:cs="仿宋"/>
          <w:b/>
          <w:sz w:val="30"/>
          <w:szCs w:val="30"/>
        </w:rPr>
      </w:pPr>
      <w:r>
        <w:rPr>
          <w:rFonts w:hint="eastAsia" w:ascii="仿宋" w:hAnsi="仿宋" w:eastAsia="仿宋" w:cs="仿宋"/>
          <w:b/>
          <w:sz w:val="30"/>
          <w:szCs w:val="30"/>
        </w:rPr>
        <w:t>单位名称：益阳市资阳区</w:t>
      </w:r>
      <w:r>
        <w:rPr>
          <w:rFonts w:hint="eastAsia" w:ascii="仿宋" w:hAnsi="仿宋" w:eastAsia="仿宋" w:cs="仿宋"/>
          <w:b/>
          <w:sz w:val="30"/>
          <w:szCs w:val="30"/>
          <w:lang w:eastAsia="zh-CN"/>
        </w:rPr>
        <w:t>农机事务中心</w:t>
      </w:r>
      <w:r>
        <w:rPr>
          <w:rFonts w:hint="eastAsia" w:ascii="仿宋" w:hAnsi="仿宋" w:eastAsia="仿宋" w:cs="仿宋"/>
          <w:b/>
          <w:sz w:val="30"/>
          <w:szCs w:val="30"/>
        </w:rPr>
        <w:t xml:space="preserve">                                     评审股室：</w:t>
      </w:r>
    </w:p>
    <w:tbl>
      <w:tblPr>
        <w:tblStyle w:val="8"/>
        <w:tblW w:w="949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15"/>
        <w:gridCol w:w="1437"/>
        <w:gridCol w:w="633"/>
        <w:gridCol w:w="2769"/>
        <w:gridCol w:w="56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tblHeader/>
        </w:trPr>
        <w:tc>
          <w:tcPr>
            <w:tcW w:w="1115" w:type="dxa"/>
            <w:noWrap w:val="0"/>
            <w:vAlign w:val="center"/>
          </w:tcPr>
          <w:p>
            <w:pPr>
              <w:spacing w:line="240" w:lineRule="exact"/>
              <w:jc w:val="center"/>
              <w:rPr>
                <w:rFonts w:hint="eastAsia" w:ascii="仿宋" w:hAnsi="仿宋" w:eastAsia="仿宋" w:cs="仿宋"/>
                <w:sz w:val="30"/>
                <w:szCs w:val="30"/>
              </w:rPr>
            </w:pPr>
            <w:r>
              <w:rPr>
                <w:rFonts w:hint="eastAsia" w:ascii="仿宋" w:hAnsi="仿宋" w:eastAsia="仿宋" w:cs="仿宋"/>
                <w:sz w:val="30"/>
                <w:szCs w:val="30"/>
              </w:rPr>
              <w:t>一级标准</w:t>
            </w:r>
          </w:p>
        </w:tc>
        <w:tc>
          <w:tcPr>
            <w:tcW w:w="1437" w:type="dxa"/>
            <w:noWrap w:val="0"/>
            <w:vAlign w:val="center"/>
          </w:tcPr>
          <w:p>
            <w:pPr>
              <w:spacing w:line="240" w:lineRule="exact"/>
              <w:jc w:val="center"/>
              <w:rPr>
                <w:rFonts w:hint="eastAsia" w:ascii="仿宋" w:hAnsi="仿宋" w:eastAsia="仿宋" w:cs="仿宋"/>
                <w:sz w:val="30"/>
                <w:szCs w:val="30"/>
              </w:rPr>
            </w:pPr>
            <w:r>
              <w:rPr>
                <w:rFonts w:hint="eastAsia" w:ascii="仿宋" w:hAnsi="仿宋" w:eastAsia="仿宋" w:cs="仿宋"/>
                <w:sz w:val="30"/>
                <w:szCs w:val="30"/>
              </w:rPr>
              <w:t>二级标准</w:t>
            </w:r>
          </w:p>
        </w:tc>
        <w:tc>
          <w:tcPr>
            <w:tcW w:w="633"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分值</w:t>
            </w:r>
          </w:p>
        </w:tc>
        <w:tc>
          <w:tcPr>
            <w:tcW w:w="2769" w:type="dxa"/>
            <w:noWrap w:val="0"/>
            <w:vAlign w:val="center"/>
          </w:tcPr>
          <w:p>
            <w:pPr>
              <w:spacing w:line="240" w:lineRule="exact"/>
              <w:jc w:val="center"/>
              <w:rPr>
                <w:rFonts w:hint="eastAsia" w:ascii="仿宋" w:hAnsi="仿宋" w:eastAsia="仿宋" w:cs="仿宋"/>
                <w:sz w:val="30"/>
                <w:szCs w:val="30"/>
              </w:rPr>
            </w:pPr>
            <w:r>
              <w:rPr>
                <w:rFonts w:hint="eastAsia" w:ascii="仿宋" w:hAnsi="仿宋" w:eastAsia="仿宋" w:cs="仿宋"/>
                <w:sz w:val="30"/>
                <w:szCs w:val="30"/>
              </w:rPr>
              <w:t>评分标准</w:t>
            </w:r>
          </w:p>
        </w:tc>
        <w:tc>
          <w:tcPr>
            <w:tcW w:w="567" w:type="dxa"/>
            <w:noWrap w:val="0"/>
            <w:vAlign w:val="center"/>
          </w:tcPr>
          <w:p>
            <w:pPr>
              <w:spacing w:line="240" w:lineRule="exact"/>
              <w:jc w:val="center"/>
              <w:rPr>
                <w:rFonts w:hint="eastAsia" w:ascii="仿宋" w:hAnsi="仿宋" w:eastAsia="仿宋" w:cs="仿宋"/>
                <w:sz w:val="30"/>
                <w:szCs w:val="30"/>
              </w:rPr>
            </w:pPr>
            <w:r>
              <w:rPr>
                <w:rFonts w:hint="eastAsia" w:ascii="仿宋" w:hAnsi="仿宋" w:eastAsia="仿宋" w:cs="仿宋"/>
                <w:sz w:val="30"/>
                <w:szCs w:val="30"/>
              </w:rPr>
              <w:t>评分</w:t>
            </w:r>
          </w:p>
        </w:tc>
        <w:tc>
          <w:tcPr>
            <w:tcW w:w="2977" w:type="dxa"/>
            <w:noWrap w:val="0"/>
            <w:vAlign w:val="center"/>
          </w:tcPr>
          <w:p>
            <w:pPr>
              <w:spacing w:line="240" w:lineRule="exact"/>
              <w:jc w:val="center"/>
              <w:rPr>
                <w:rFonts w:hint="eastAsia" w:ascii="仿宋" w:hAnsi="仿宋" w:eastAsia="仿宋" w:cs="仿宋"/>
                <w:sz w:val="30"/>
                <w:szCs w:val="30"/>
              </w:rPr>
            </w:pPr>
            <w:r>
              <w:rPr>
                <w:rFonts w:hint="eastAsia" w:ascii="仿宋" w:hAnsi="仿宋" w:eastAsia="仿宋" w:cs="仿宋"/>
                <w:sz w:val="30"/>
                <w:szCs w:val="30"/>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4" w:hRule="atLeast"/>
        </w:trPr>
        <w:tc>
          <w:tcPr>
            <w:tcW w:w="1115" w:type="dxa"/>
            <w:noWrap w:val="0"/>
            <w:vAlign w:val="center"/>
          </w:tcPr>
          <w:p>
            <w:pPr>
              <w:spacing w:line="240" w:lineRule="exact"/>
              <w:ind w:left="136" w:leftChars="65" w:firstLine="300" w:firstLineChars="100"/>
              <w:jc w:val="left"/>
              <w:rPr>
                <w:rFonts w:hint="eastAsia" w:ascii="仿宋" w:hAnsi="仿宋" w:eastAsia="仿宋" w:cs="仿宋"/>
                <w:sz w:val="30"/>
                <w:szCs w:val="30"/>
              </w:rPr>
            </w:pPr>
            <w:r>
              <w:rPr>
                <w:rFonts w:hint="eastAsia" w:ascii="仿宋" w:hAnsi="仿宋" w:eastAsia="仿宋" w:cs="仿宋"/>
                <w:sz w:val="30"/>
                <w:szCs w:val="30"/>
              </w:rPr>
              <w:t>及时性（10分）</w:t>
            </w:r>
          </w:p>
        </w:tc>
        <w:tc>
          <w:tcPr>
            <w:tcW w:w="1437"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是否按时完成绩效评价工作</w:t>
            </w:r>
          </w:p>
        </w:tc>
        <w:tc>
          <w:tcPr>
            <w:tcW w:w="633" w:type="dxa"/>
            <w:noWrap w:val="0"/>
            <w:vAlign w:val="center"/>
          </w:tcPr>
          <w:p>
            <w:pPr>
              <w:spacing w:line="24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10</w:t>
            </w:r>
          </w:p>
        </w:tc>
        <w:tc>
          <w:tcPr>
            <w:tcW w:w="2769"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按照文件规定时间报送资料(含纸质版和电子版)的，计10分。以资料报送齐全日确定为报送日，报送日每推迟一天扣0.5分，扣完为止。</w:t>
            </w:r>
          </w:p>
        </w:tc>
        <w:tc>
          <w:tcPr>
            <w:tcW w:w="567" w:type="dxa"/>
            <w:noWrap w:val="0"/>
            <w:vAlign w:val="center"/>
          </w:tcPr>
          <w:p>
            <w:pPr>
              <w:spacing w:line="2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10</w:t>
            </w:r>
          </w:p>
        </w:tc>
        <w:tc>
          <w:tcPr>
            <w:tcW w:w="2977" w:type="dxa"/>
            <w:noWrap w:val="0"/>
            <w:vAlign w:val="top"/>
          </w:tcPr>
          <w:p>
            <w:pPr>
              <w:spacing w:line="240" w:lineRule="exact"/>
              <w:ind w:firstLine="300" w:firstLineChars="10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2" w:hRule="atLeast"/>
        </w:trPr>
        <w:tc>
          <w:tcPr>
            <w:tcW w:w="1115" w:type="dxa"/>
            <w:vMerge w:val="restart"/>
            <w:noWrap w:val="0"/>
            <w:vAlign w:val="center"/>
          </w:tcPr>
          <w:p>
            <w:pPr>
              <w:spacing w:line="240" w:lineRule="exact"/>
              <w:ind w:left="136" w:leftChars="65"/>
              <w:jc w:val="left"/>
              <w:rPr>
                <w:rFonts w:hint="eastAsia" w:ascii="仿宋" w:hAnsi="仿宋" w:eastAsia="仿宋" w:cs="仿宋"/>
                <w:sz w:val="30"/>
                <w:szCs w:val="30"/>
              </w:rPr>
            </w:pPr>
            <w:r>
              <w:rPr>
                <w:rFonts w:hint="eastAsia" w:ascii="仿宋" w:hAnsi="仿宋" w:eastAsia="仿宋" w:cs="仿宋"/>
                <w:sz w:val="30"/>
                <w:szCs w:val="30"/>
              </w:rPr>
              <w:t>完整性（35分）</w:t>
            </w:r>
          </w:p>
          <w:p>
            <w:pPr>
              <w:spacing w:line="240" w:lineRule="exact"/>
              <w:ind w:firstLine="300" w:firstLineChars="100"/>
              <w:jc w:val="left"/>
              <w:rPr>
                <w:rFonts w:hint="eastAsia" w:ascii="仿宋" w:hAnsi="仿宋" w:eastAsia="仿宋" w:cs="仿宋"/>
                <w:sz w:val="30"/>
                <w:szCs w:val="30"/>
              </w:rPr>
            </w:pPr>
          </w:p>
          <w:p>
            <w:pPr>
              <w:spacing w:line="240" w:lineRule="exact"/>
              <w:ind w:firstLine="300" w:firstLineChars="100"/>
              <w:jc w:val="left"/>
              <w:rPr>
                <w:rFonts w:hint="eastAsia" w:ascii="仿宋" w:hAnsi="仿宋" w:eastAsia="仿宋" w:cs="仿宋"/>
                <w:sz w:val="30"/>
                <w:szCs w:val="30"/>
              </w:rPr>
            </w:pPr>
          </w:p>
        </w:tc>
        <w:tc>
          <w:tcPr>
            <w:tcW w:w="1437"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绩效自评材料是否完整</w:t>
            </w:r>
          </w:p>
        </w:tc>
        <w:tc>
          <w:tcPr>
            <w:tcW w:w="633" w:type="dxa"/>
            <w:noWrap w:val="0"/>
            <w:vAlign w:val="center"/>
          </w:tcPr>
          <w:p>
            <w:pPr>
              <w:spacing w:line="24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10</w:t>
            </w:r>
          </w:p>
        </w:tc>
        <w:tc>
          <w:tcPr>
            <w:tcW w:w="2769"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绩效自评材料含自评报告、自评评分表和基础数据表，其中报告5分，自评评分表3分，基础数据表2分。</w:t>
            </w:r>
          </w:p>
        </w:tc>
        <w:tc>
          <w:tcPr>
            <w:tcW w:w="567" w:type="dxa"/>
            <w:noWrap w:val="0"/>
            <w:vAlign w:val="center"/>
          </w:tcPr>
          <w:p>
            <w:pPr>
              <w:spacing w:line="2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10</w:t>
            </w:r>
          </w:p>
        </w:tc>
        <w:tc>
          <w:tcPr>
            <w:tcW w:w="2977" w:type="dxa"/>
            <w:noWrap w:val="0"/>
            <w:vAlign w:val="top"/>
          </w:tcPr>
          <w:p>
            <w:pPr>
              <w:spacing w:line="240" w:lineRule="exact"/>
              <w:ind w:firstLine="300" w:firstLineChars="10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trPr>
        <w:tc>
          <w:tcPr>
            <w:tcW w:w="1115" w:type="dxa"/>
            <w:vMerge w:val="continue"/>
            <w:noWrap w:val="0"/>
            <w:vAlign w:val="center"/>
          </w:tcPr>
          <w:p>
            <w:pPr>
              <w:spacing w:line="240" w:lineRule="exact"/>
              <w:ind w:firstLine="300" w:firstLineChars="100"/>
              <w:jc w:val="left"/>
              <w:rPr>
                <w:rFonts w:hint="eastAsia" w:ascii="仿宋" w:hAnsi="仿宋" w:eastAsia="仿宋" w:cs="仿宋"/>
                <w:sz w:val="30"/>
                <w:szCs w:val="30"/>
              </w:rPr>
            </w:pPr>
          </w:p>
        </w:tc>
        <w:tc>
          <w:tcPr>
            <w:tcW w:w="1437"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绩效自评报告内容是否完整</w:t>
            </w:r>
          </w:p>
        </w:tc>
        <w:tc>
          <w:tcPr>
            <w:tcW w:w="633" w:type="dxa"/>
            <w:noWrap w:val="0"/>
            <w:vAlign w:val="center"/>
          </w:tcPr>
          <w:p>
            <w:pPr>
              <w:spacing w:line="24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10</w:t>
            </w:r>
          </w:p>
        </w:tc>
        <w:tc>
          <w:tcPr>
            <w:tcW w:w="2769"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自评报告撰写规范。对部门整体支出概况、总体绩效情况、存在问题、改进措施及结果应用进行分析说明的，计10分，每少一项扣2分。</w:t>
            </w:r>
          </w:p>
        </w:tc>
        <w:tc>
          <w:tcPr>
            <w:tcW w:w="567" w:type="dxa"/>
            <w:noWrap w:val="0"/>
            <w:vAlign w:val="center"/>
          </w:tcPr>
          <w:p>
            <w:pPr>
              <w:spacing w:line="2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10</w:t>
            </w:r>
          </w:p>
        </w:tc>
        <w:tc>
          <w:tcPr>
            <w:tcW w:w="2977" w:type="dxa"/>
            <w:noWrap w:val="0"/>
            <w:vAlign w:val="top"/>
          </w:tcPr>
          <w:p>
            <w:pPr>
              <w:spacing w:line="240" w:lineRule="exact"/>
              <w:ind w:firstLine="300" w:firstLineChars="10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trPr>
        <w:tc>
          <w:tcPr>
            <w:tcW w:w="1115" w:type="dxa"/>
            <w:vMerge w:val="continue"/>
            <w:noWrap w:val="0"/>
            <w:vAlign w:val="center"/>
          </w:tcPr>
          <w:p>
            <w:pPr>
              <w:spacing w:line="240" w:lineRule="exact"/>
              <w:ind w:firstLine="300" w:firstLineChars="100"/>
              <w:jc w:val="left"/>
              <w:rPr>
                <w:rFonts w:hint="eastAsia" w:ascii="仿宋" w:hAnsi="仿宋" w:eastAsia="仿宋" w:cs="仿宋"/>
                <w:sz w:val="30"/>
                <w:szCs w:val="30"/>
              </w:rPr>
            </w:pPr>
          </w:p>
        </w:tc>
        <w:tc>
          <w:tcPr>
            <w:tcW w:w="1437"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基础数据表内容是否完整</w:t>
            </w:r>
          </w:p>
        </w:tc>
        <w:tc>
          <w:tcPr>
            <w:tcW w:w="633" w:type="dxa"/>
            <w:noWrap w:val="0"/>
            <w:vAlign w:val="center"/>
          </w:tcPr>
          <w:p>
            <w:pPr>
              <w:spacing w:line="24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10</w:t>
            </w:r>
          </w:p>
        </w:tc>
        <w:tc>
          <w:tcPr>
            <w:tcW w:w="2769"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基础数据表内内容完整的计10分；缺少的按比例计分。</w:t>
            </w:r>
          </w:p>
        </w:tc>
        <w:tc>
          <w:tcPr>
            <w:tcW w:w="567" w:type="dxa"/>
            <w:noWrap w:val="0"/>
            <w:vAlign w:val="center"/>
          </w:tcPr>
          <w:p>
            <w:pPr>
              <w:spacing w:line="2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10</w:t>
            </w:r>
          </w:p>
        </w:tc>
        <w:tc>
          <w:tcPr>
            <w:tcW w:w="2977" w:type="dxa"/>
            <w:noWrap w:val="0"/>
            <w:vAlign w:val="top"/>
          </w:tcPr>
          <w:p>
            <w:pPr>
              <w:spacing w:line="240" w:lineRule="exact"/>
              <w:ind w:firstLine="300" w:firstLineChars="10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trPr>
        <w:tc>
          <w:tcPr>
            <w:tcW w:w="1115" w:type="dxa"/>
            <w:vMerge w:val="continue"/>
            <w:noWrap w:val="0"/>
            <w:vAlign w:val="center"/>
          </w:tcPr>
          <w:p>
            <w:pPr>
              <w:spacing w:line="240" w:lineRule="exact"/>
              <w:ind w:firstLine="300" w:firstLineChars="100"/>
              <w:jc w:val="left"/>
              <w:rPr>
                <w:rFonts w:hint="eastAsia" w:ascii="仿宋" w:hAnsi="仿宋" w:eastAsia="仿宋" w:cs="仿宋"/>
                <w:sz w:val="30"/>
                <w:szCs w:val="30"/>
              </w:rPr>
            </w:pPr>
          </w:p>
        </w:tc>
        <w:tc>
          <w:tcPr>
            <w:tcW w:w="1437"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报送报告是否符合要求</w:t>
            </w:r>
          </w:p>
        </w:tc>
        <w:tc>
          <w:tcPr>
            <w:tcW w:w="633" w:type="dxa"/>
            <w:noWrap w:val="0"/>
            <w:vAlign w:val="center"/>
          </w:tcPr>
          <w:p>
            <w:pPr>
              <w:spacing w:line="24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5</w:t>
            </w:r>
          </w:p>
        </w:tc>
        <w:tc>
          <w:tcPr>
            <w:tcW w:w="2769"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报送纸质版报告有主要负责人签字、单位盖章，计3分；电子版资料发送至指定邮箱的计2分。</w:t>
            </w:r>
          </w:p>
        </w:tc>
        <w:tc>
          <w:tcPr>
            <w:tcW w:w="567" w:type="dxa"/>
            <w:noWrap w:val="0"/>
            <w:vAlign w:val="center"/>
          </w:tcPr>
          <w:p>
            <w:pPr>
              <w:spacing w:line="2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5</w:t>
            </w:r>
          </w:p>
        </w:tc>
        <w:tc>
          <w:tcPr>
            <w:tcW w:w="2977" w:type="dxa"/>
            <w:noWrap w:val="0"/>
            <w:vAlign w:val="top"/>
          </w:tcPr>
          <w:p>
            <w:pPr>
              <w:spacing w:line="240" w:lineRule="exact"/>
              <w:ind w:firstLine="300" w:firstLineChars="10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trPr>
        <w:tc>
          <w:tcPr>
            <w:tcW w:w="1115" w:type="dxa"/>
            <w:vMerge w:val="restart"/>
            <w:noWrap w:val="0"/>
            <w:vAlign w:val="center"/>
          </w:tcPr>
          <w:p>
            <w:pPr>
              <w:spacing w:line="240" w:lineRule="exact"/>
              <w:ind w:left="136" w:leftChars="65"/>
              <w:jc w:val="left"/>
              <w:rPr>
                <w:rFonts w:hint="eastAsia" w:ascii="仿宋" w:hAnsi="仿宋" w:eastAsia="仿宋" w:cs="仿宋"/>
                <w:sz w:val="30"/>
                <w:szCs w:val="30"/>
              </w:rPr>
            </w:pPr>
            <w:r>
              <w:rPr>
                <w:rFonts w:hint="eastAsia" w:ascii="仿宋" w:hAnsi="仿宋" w:eastAsia="仿宋" w:cs="仿宋"/>
                <w:sz w:val="30"/>
                <w:szCs w:val="30"/>
              </w:rPr>
              <w:t>客观性（50分）</w:t>
            </w:r>
          </w:p>
        </w:tc>
        <w:tc>
          <w:tcPr>
            <w:tcW w:w="1437"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根据部门职责、工作计划等选用个性评价指标和指标值</w:t>
            </w:r>
          </w:p>
        </w:tc>
        <w:tc>
          <w:tcPr>
            <w:tcW w:w="633" w:type="dxa"/>
            <w:noWrap w:val="0"/>
            <w:vAlign w:val="center"/>
          </w:tcPr>
          <w:p>
            <w:pPr>
              <w:spacing w:line="24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5</w:t>
            </w:r>
          </w:p>
        </w:tc>
        <w:tc>
          <w:tcPr>
            <w:tcW w:w="2769"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1、绩效评价个性指标细化到三级的，计2分；没有细化的，不得分。</w:t>
            </w:r>
          </w:p>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2、反映产出、效益方面的指标权重合计不低于60%的，计3分；否则按比例扣除相应的分数。</w:t>
            </w:r>
          </w:p>
        </w:tc>
        <w:tc>
          <w:tcPr>
            <w:tcW w:w="567" w:type="dxa"/>
            <w:noWrap w:val="0"/>
            <w:vAlign w:val="center"/>
          </w:tcPr>
          <w:p>
            <w:pPr>
              <w:spacing w:line="2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5</w:t>
            </w:r>
          </w:p>
        </w:tc>
        <w:tc>
          <w:tcPr>
            <w:tcW w:w="2977" w:type="dxa"/>
            <w:noWrap w:val="0"/>
            <w:vAlign w:val="top"/>
          </w:tcPr>
          <w:p>
            <w:pPr>
              <w:spacing w:line="240" w:lineRule="exact"/>
              <w:ind w:firstLine="300" w:firstLineChars="10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trPr>
        <w:tc>
          <w:tcPr>
            <w:tcW w:w="1115" w:type="dxa"/>
            <w:vMerge w:val="continue"/>
            <w:noWrap w:val="0"/>
            <w:vAlign w:val="center"/>
          </w:tcPr>
          <w:p>
            <w:pPr>
              <w:spacing w:line="240" w:lineRule="exact"/>
              <w:ind w:left="136" w:leftChars="65"/>
              <w:jc w:val="left"/>
              <w:rPr>
                <w:rFonts w:hint="eastAsia" w:ascii="仿宋" w:hAnsi="仿宋" w:eastAsia="仿宋" w:cs="仿宋"/>
                <w:sz w:val="30"/>
                <w:szCs w:val="30"/>
              </w:rPr>
            </w:pPr>
          </w:p>
        </w:tc>
        <w:tc>
          <w:tcPr>
            <w:tcW w:w="1437"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绩效指标量分及评价结论客观、公正、合理</w:t>
            </w:r>
          </w:p>
        </w:tc>
        <w:tc>
          <w:tcPr>
            <w:tcW w:w="633" w:type="dxa"/>
            <w:noWrap w:val="0"/>
            <w:vAlign w:val="center"/>
          </w:tcPr>
          <w:p>
            <w:pPr>
              <w:spacing w:line="24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15</w:t>
            </w:r>
          </w:p>
        </w:tc>
        <w:tc>
          <w:tcPr>
            <w:tcW w:w="2769"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评分表各指标量分能反映部门实际工作完成情况，评价结论较客观、公正、合理的，计15分；否则，酌情扣分。</w:t>
            </w:r>
          </w:p>
        </w:tc>
        <w:tc>
          <w:tcPr>
            <w:tcW w:w="567" w:type="dxa"/>
            <w:noWrap w:val="0"/>
            <w:vAlign w:val="center"/>
          </w:tcPr>
          <w:p>
            <w:pPr>
              <w:spacing w:line="2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14</w:t>
            </w:r>
          </w:p>
        </w:tc>
        <w:tc>
          <w:tcPr>
            <w:tcW w:w="2977" w:type="dxa"/>
            <w:noWrap w:val="0"/>
            <w:vAlign w:val="top"/>
          </w:tcPr>
          <w:p>
            <w:pPr>
              <w:spacing w:line="240" w:lineRule="exact"/>
              <w:ind w:firstLine="300" w:firstLineChars="10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trPr>
        <w:tc>
          <w:tcPr>
            <w:tcW w:w="1115" w:type="dxa"/>
            <w:vMerge w:val="continue"/>
            <w:noWrap w:val="0"/>
            <w:vAlign w:val="center"/>
          </w:tcPr>
          <w:p>
            <w:pPr>
              <w:spacing w:line="240" w:lineRule="exact"/>
              <w:ind w:firstLine="300" w:firstLineChars="100"/>
              <w:jc w:val="left"/>
              <w:rPr>
                <w:rFonts w:hint="eastAsia" w:ascii="仿宋" w:hAnsi="仿宋" w:eastAsia="仿宋" w:cs="仿宋"/>
                <w:sz w:val="30"/>
                <w:szCs w:val="30"/>
              </w:rPr>
            </w:pPr>
          </w:p>
        </w:tc>
        <w:tc>
          <w:tcPr>
            <w:tcW w:w="1437"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报告反映绩效实事求是，揭示问题深刻、客观、全面，整改措施有效</w:t>
            </w:r>
          </w:p>
        </w:tc>
        <w:tc>
          <w:tcPr>
            <w:tcW w:w="633" w:type="dxa"/>
            <w:noWrap w:val="0"/>
            <w:vAlign w:val="center"/>
          </w:tcPr>
          <w:p>
            <w:pPr>
              <w:spacing w:line="24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30</w:t>
            </w:r>
          </w:p>
        </w:tc>
        <w:tc>
          <w:tcPr>
            <w:tcW w:w="2769"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报告反映绩效实事求是的，计10分；揭示问题深刻、客观、全面的，计10分，整改措施有效的，计10分。</w:t>
            </w:r>
          </w:p>
        </w:tc>
        <w:tc>
          <w:tcPr>
            <w:tcW w:w="567" w:type="dxa"/>
            <w:noWrap w:val="0"/>
            <w:vAlign w:val="center"/>
          </w:tcPr>
          <w:p>
            <w:pPr>
              <w:spacing w:line="2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30</w:t>
            </w:r>
          </w:p>
        </w:tc>
        <w:tc>
          <w:tcPr>
            <w:tcW w:w="2977" w:type="dxa"/>
            <w:noWrap w:val="0"/>
            <w:vAlign w:val="top"/>
          </w:tcPr>
          <w:p>
            <w:pPr>
              <w:spacing w:line="240" w:lineRule="exact"/>
              <w:ind w:firstLine="300" w:firstLineChars="10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7" w:hRule="atLeast"/>
        </w:trPr>
        <w:tc>
          <w:tcPr>
            <w:tcW w:w="1115" w:type="dxa"/>
            <w:noWrap w:val="0"/>
            <w:vAlign w:val="center"/>
          </w:tcPr>
          <w:p>
            <w:pPr>
              <w:spacing w:line="240" w:lineRule="exact"/>
              <w:ind w:left="136" w:leftChars="65"/>
              <w:jc w:val="left"/>
              <w:rPr>
                <w:rFonts w:hint="eastAsia" w:ascii="仿宋" w:hAnsi="仿宋" w:eastAsia="仿宋" w:cs="仿宋"/>
                <w:sz w:val="30"/>
                <w:szCs w:val="30"/>
              </w:rPr>
            </w:pPr>
            <w:r>
              <w:rPr>
                <w:rFonts w:hint="eastAsia" w:ascii="仿宋" w:hAnsi="仿宋" w:eastAsia="仿宋" w:cs="仿宋"/>
                <w:sz w:val="30"/>
                <w:szCs w:val="30"/>
              </w:rPr>
              <w:t>公开情况（5分）</w:t>
            </w:r>
          </w:p>
        </w:tc>
        <w:tc>
          <w:tcPr>
            <w:tcW w:w="1437"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报告是否公开</w:t>
            </w:r>
          </w:p>
        </w:tc>
        <w:tc>
          <w:tcPr>
            <w:tcW w:w="633" w:type="dxa"/>
            <w:noWrap w:val="0"/>
            <w:vAlign w:val="center"/>
          </w:tcPr>
          <w:p>
            <w:pPr>
              <w:spacing w:line="240" w:lineRule="exact"/>
              <w:ind w:firstLine="300" w:firstLineChars="100"/>
              <w:jc w:val="left"/>
              <w:rPr>
                <w:rFonts w:hint="eastAsia" w:ascii="仿宋" w:hAnsi="仿宋" w:eastAsia="仿宋" w:cs="仿宋"/>
                <w:sz w:val="30"/>
                <w:szCs w:val="30"/>
              </w:rPr>
            </w:pPr>
            <w:r>
              <w:rPr>
                <w:rFonts w:hint="eastAsia" w:ascii="仿宋" w:hAnsi="仿宋" w:eastAsia="仿宋" w:cs="仿宋"/>
                <w:sz w:val="30"/>
                <w:szCs w:val="30"/>
              </w:rPr>
              <w:t>5</w:t>
            </w:r>
          </w:p>
        </w:tc>
        <w:tc>
          <w:tcPr>
            <w:tcW w:w="2769" w:type="dxa"/>
            <w:noWrap w:val="0"/>
            <w:vAlign w:val="center"/>
          </w:tcPr>
          <w:p>
            <w:pPr>
              <w:spacing w:line="240" w:lineRule="exact"/>
              <w:jc w:val="left"/>
              <w:rPr>
                <w:rFonts w:hint="eastAsia" w:ascii="仿宋" w:hAnsi="仿宋" w:eastAsia="仿宋" w:cs="仿宋"/>
                <w:sz w:val="30"/>
                <w:szCs w:val="30"/>
              </w:rPr>
            </w:pPr>
            <w:r>
              <w:rPr>
                <w:rFonts w:hint="eastAsia" w:ascii="仿宋" w:hAnsi="仿宋" w:eastAsia="仿宋" w:cs="仿宋"/>
                <w:sz w:val="30"/>
                <w:szCs w:val="30"/>
              </w:rPr>
              <w:t>自评报告在本部门网站或资阳门户网站公开的，计5分；未按要求公开的，不得分。</w:t>
            </w:r>
          </w:p>
        </w:tc>
        <w:tc>
          <w:tcPr>
            <w:tcW w:w="567" w:type="dxa"/>
            <w:noWrap w:val="0"/>
            <w:vAlign w:val="center"/>
          </w:tcPr>
          <w:p>
            <w:pPr>
              <w:spacing w:line="2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5</w:t>
            </w:r>
          </w:p>
        </w:tc>
        <w:tc>
          <w:tcPr>
            <w:tcW w:w="2977" w:type="dxa"/>
            <w:noWrap w:val="0"/>
            <w:vAlign w:val="top"/>
          </w:tcPr>
          <w:p>
            <w:pPr>
              <w:spacing w:line="240" w:lineRule="exact"/>
              <w:ind w:firstLine="300" w:firstLineChars="100"/>
              <w:rPr>
                <w:rFonts w:hint="eastAsia"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7" w:hRule="atLeast"/>
        </w:trPr>
        <w:tc>
          <w:tcPr>
            <w:tcW w:w="1115" w:type="dxa"/>
            <w:noWrap w:val="0"/>
            <w:vAlign w:val="center"/>
          </w:tcPr>
          <w:p>
            <w:pPr>
              <w:spacing w:line="2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合计</w:t>
            </w:r>
          </w:p>
        </w:tc>
        <w:tc>
          <w:tcPr>
            <w:tcW w:w="1437" w:type="dxa"/>
            <w:noWrap w:val="0"/>
            <w:vAlign w:val="center"/>
          </w:tcPr>
          <w:p>
            <w:pPr>
              <w:spacing w:line="240" w:lineRule="exact"/>
              <w:ind w:firstLine="300" w:firstLineChars="100"/>
              <w:rPr>
                <w:rFonts w:hint="eastAsia" w:ascii="仿宋" w:hAnsi="仿宋" w:eastAsia="仿宋" w:cs="仿宋"/>
                <w:sz w:val="30"/>
                <w:szCs w:val="30"/>
              </w:rPr>
            </w:pPr>
          </w:p>
        </w:tc>
        <w:tc>
          <w:tcPr>
            <w:tcW w:w="633" w:type="dxa"/>
            <w:noWrap w:val="0"/>
            <w:vAlign w:val="center"/>
          </w:tcPr>
          <w:p>
            <w:pPr>
              <w:spacing w:line="240" w:lineRule="exact"/>
              <w:jc w:val="center"/>
              <w:rPr>
                <w:rFonts w:hint="eastAsia" w:ascii="仿宋" w:hAnsi="仿宋" w:eastAsia="仿宋" w:cs="仿宋"/>
                <w:sz w:val="30"/>
                <w:szCs w:val="30"/>
              </w:rPr>
            </w:pPr>
            <w:r>
              <w:rPr>
                <w:rFonts w:hint="eastAsia" w:ascii="仿宋" w:hAnsi="仿宋" w:eastAsia="仿宋" w:cs="仿宋"/>
                <w:sz w:val="30"/>
                <w:szCs w:val="30"/>
              </w:rPr>
              <w:t>100</w:t>
            </w:r>
          </w:p>
        </w:tc>
        <w:tc>
          <w:tcPr>
            <w:tcW w:w="2769" w:type="dxa"/>
            <w:noWrap w:val="0"/>
            <w:vAlign w:val="center"/>
          </w:tcPr>
          <w:p>
            <w:pPr>
              <w:spacing w:line="240" w:lineRule="exact"/>
              <w:ind w:firstLine="300" w:firstLineChars="100"/>
              <w:rPr>
                <w:rFonts w:hint="eastAsia" w:ascii="仿宋" w:hAnsi="仿宋" w:eastAsia="仿宋" w:cs="仿宋"/>
                <w:sz w:val="30"/>
                <w:szCs w:val="30"/>
              </w:rPr>
            </w:pPr>
          </w:p>
        </w:tc>
        <w:tc>
          <w:tcPr>
            <w:tcW w:w="567" w:type="dxa"/>
            <w:noWrap w:val="0"/>
            <w:vAlign w:val="center"/>
          </w:tcPr>
          <w:p>
            <w:pPr>
              <w:spacing w:line="240" w:lineRule="exact"/>
              <w:ind w:firstLine="300" w:firstLineChars="100"/>
              <w:rPr>
                <w:rFonts w:hint="eastAsia" w:ascii="仿宋" w:hAnsi="仿宋" w:eastAsia="仿宋" w:cs="仿宋"/>
                <w:sz w:val="30"/>
                <w:szCs w:val="30"/>
              </w:rPr>
            </w:pPr>
            <w:r>
              <w:rPr>
                <w:rFonts w:hint="eastAsia" w:ascii="仿宋" w:hAnsi="仿宋" w:eastAsia="仿宋" w:cs="仿宋"/>
                <w:sz w:val="30"/>
                <w:szCs w:val="30"/>
              </w:rPr>
              <w:t>99</w:t>
            </w:r>
          </w:p>
        </w:tc>
        <w:tc>
          <w:tcPr>
            <w:tcW w:w="2977" w:type="dxa"/>
            <w:noWrap w:val="0"/>
            <w:vAlign w:val="top"/>
          </w:tcPr>
          <w:p>
            <w:pPr>
              <w:spacing w:line="240" w:lineRule="exact"/>
              <w:ind w:firstLine="300" w:firstLineChars="100"/>
              <w:rPr>
                <w:rFonts w:hint="eastAsia" w:ascii="仿宋" w:hAnsi="仿宋" w:eastAsia="仿宋" w:cs="仿宋"/>
                <w:sz w:val="30"/>
                <w:szCs w:val="30"/>
              </w:rPr>
            </w:pPr>
          </w:p>
        </w:tc>
      </w:tr>
    </w:tbl>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22230"/>
    <w:multiLevelType w:val="singleLevel"/>
    <w:tmpl w:val="E1C22230"/>
    <w:lvl w:ilvl="0" w:tentative="0">
      <w:start w:val="1"/>
      <w:numFmt w:val="chineseCounting"/>
      <w:suff w:val="nothing"/>
      <w:lvlText w:val="%1、"/>
      <w:lvlJc w:val="left"/>
      <w:rPr>
        <w:rFonts w:hint="eastAsia"/>
      </w:rPr>
    </w:lvl>
  </w:abstractNum>
  <w:abstractNum w:abstractNumId="1">
    <w:nsid w:val="2DFED8A7"/>
    <w:multiLevelType w:val="singleLevel"/>
    <w:tmpl w:val="2DFED8A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5YTliNGU4NDFmNDUzOTU3ZTQ4MmI3MTA5MTA5YjcifQ=="/>
  </w:docVars>
  <w:rsids>
    <w:rsidRoot w:val="00650033"/>
    <w:rsid w:val="00442A8D"/>
    <w:rsid w:val="00650033"/>
    <w:rsid w:val="00776B95"/>
    <w:rsid w:val="00AA6BCF"/>
    <w:rsid w:val="00C5664C"/>
    <w:rsid w:val="148F74FC"/>
    <w:rsid w:val="263E72AA"/>
    <w:rsid w:val="3D0C10B1"/>
    <w:rsid w:val="4FDE0849"/>
    <w:rsid w:val="6B09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5">
    <w:name w:val="Body Text"/>
    <w:basedOn w:val="1"/>
    <w:link w:val="13"/>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7">
    <w:name w:val="Body Text First Indent"/>
    <w:basedOn w:val="1"/>
    <w:link w:val="14"/>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Emphasis"/>
    <w:basedOn w:val="9"/>
    <w:qFormat/>
    <w:uiPriority w:val="20"/>
    <w:rPr>
      <w:i/>
      <w:iCs/>
    </w:rPr>
  </w:style>
  <w:style w:type="character" w:customStyle="1" w:styleId="11">
    <w:name w:val="标题 2 Char"/>
    <w:basedOn w:val="9"/>
    <w:link w:val="3"/>
    <w:qFormat/>
    <w:uiPriority w:val="9"/>
    <w:rPr>
      <w:rFonts w:ascii="宋体" w:hAnsi="宋体" w:eastAsia="宋体" w:cs="宋体"/>
      <w:b/>
      <w:bCs/>
      <w:kern w:val="0"/>
      <w:sz w:val="36"/>
      <w:szCs w:val="36"/>
    </w:rPr>
  </w:style>
  <w:style w:type="character" w:customStyle="1" w:styleId="12">
    <w:name w:val="标题 3 Char"/>
    <w:basedOn w:val="9"/>
    <w:link w:val="4"/>
    <w:qFormat/>
    <w:uiPriority w:val="9"/>
    <w:rPr>
      <w:rFonts w:ascii="宋体" w:hAnsi="宋体" w:eastAsia="宋体" w:cs="宋体"/>
      <w:b/>
      <w:bCs/>
      <w:kern w:val="0"/>
      <w:sz w:val="27"/>
      <w:szCs w:val="27"/>
    </w:rPr>
  </w:style>
  <w:style w:type="character" w:customStyle="1" w:styleId="13">
    <w:name w:val="正文文本 Char"/>
    <w:basedOn w:val="9"/>
    <w:link w:val="5"/>
    <w:semiHidden/>
    <w:qFormat/>
    <w:uiPriority w:val="99"/>
    <w:rPr>
      <w:rFonts w:ascii="宋体" w:hAnsi="宋体" w:eastAsia="宋体" w:cs="宋体"/>
      <w:kern w:val="0"/>
      <w:sz w:val="24"/>
      <w:szCs w:val="24"/>
    </w:rPr>
  </w:style>
  <w:style w:type="character" w:customStyle="1" w:styleId="14">
    <w:name w:val="正文首行缩进 Char"/>
    <w:basedOn w:val="13"/>
    <w:link w:val="7"/>
    <w:semiHidden/>
    <w:qFormat/>
    <w:uiPriority w:val="99"/>
  </w:style>
  <w:style w:type="paragraph" w:customStyle="1" w:styleId="15">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Body text|1"/>
    <w:basedOn w:val="1"/>
    <w:qFormat/>
    <w:uiPriority w:val="0"/>
    <w:pPr>
      <w:spacing w:line="408" w:lineRule="auto"/>
      <w:ind w:firstLine="400"/>
      <w:jc w:val="left"/>
    </w:pPr>
    <w:rPr>
      <w:rFonts w:ascii="宋体" w:hAnsi="宋体" w:cs="宋体"/>
      <w:color w:val="auto"/>
      <w:sz w:val="30"/>
      <w:szCs w:val="30"/>
      <w:lang w:val="zh-TW" w:eastAsia="zh-TW" w:bidi="zh-TW"/>
    </w:rPr>
  </w:style>
  <w:style w:type="paragraph" w:customStyle="1" w:styleId="1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7266</Words>
  <Characters>7712</Characters>
  <Lines>75</Lines>
  <Paragraphs>21</Paragraphs>
  <TotalTime>13</TotalTime>
  <ScaleCrop>false</ScaleCrop>
  <LinksUpToDate>false</LinksUpToDate>
  <CharactersWithSpaces>7874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2023-04-23T06:44:00Z</dcterms:created>
  <dc:creator>Administrator</dc:creator>
  <cp:lastModifiedBy>浪浪剑心</cp:lastModifiedBy>
  <dcterms:modified xsi:type="dcterms:W3CDTF">2023-10-25T06:36:32Z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C1299A52CA674714B8E6E23786B6E46F_12</vt:lpwstr>
  </property>
</Properties>
</file>