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val="en-US" w:eastAsia="zh-CN"/>
        </w:rPr>
        <w:t>2022年度</w:t>
      </w:r>
      <w:r>
        <w:rPr>
          <w:rFonts w:hint="eastAsia" w:ascii="Times New Roman" w:hAnsi="Times New Roman" w:eastAsia="方正小标宋_GBK" w:cs="Times New Roman"/>
          <w:sz w:val="36"/>
          <w:szCs w:val="36"/>
          <w:lang w:eastAsia="zh-CN"/>
        </w:rPr>
        <w:t>乡镇村级公益事业建设财政奖补资金</w:t>
      </w:r>
    </w:p>
    <w:p>
      <w:pPr>
        <w:spacing w:line="560" w:lineRule="exact"/>
        <w:ind w:firstLine="1080" w:firstLineChars="300"/>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绩效</w:t>
      </w:r>
      <w:r>
        <w:rPr>
          <w:rFonts w:hint="eastAsia" w:ascii="Times New Roman" w:hAnsi="Times New Roman" w:eastAsia="方正小标宋_GBK" w:cs="Times New Roman"/>
          <w:sz w:val="36"/>
          <w:szCs w:val="36"/>
          <w:lang w:eastAsia="zh-CN"/>
        </w:rPr>
        <w:t>自评</w:t>
      </w:r>
      <w:r>
        <w:rPr>
          <w:rFonts w:ascii="Times New Roman" w:hAnsi="Times New Roman" w:eastAsia="方正小标宋_GBK" w:cs="Times New Roman"/>
          <w:sz w:val="36"/>
          <w:szCs w:val="36"/>
        </w:rPr>
        <w:t>报告</w:t>
      </w:r>
    </w:p>
    <w:p>
      <w:pPr>
        <w:spacing w:line="560" w:lineRule="exact"/>
        <w:ind w:firstLine="1080" w:firstLineChars="300"/>
        <w:jc w:val="both"/>
        <w:rPr>
          <w:rFonts w:ascii="Times New Roman" w:hAnsi="Times New Roman" w:eastAsia="方正小标宋_GBK" w:cs="Times New Roman"/>
          <w:sz w:val="36"/>
          <w:szCs w:val="36"/>
        </w:rPr>
      </w:pPr>
    </w:p>
    <w:p>
      <w:pPr>
        <w:spacing w:line="560" w:lineRule="exact"/>
        <w:ind w:firstLine="1080" w:firstLineChars="300"/>
        <w:jc w:val="both"/>
        <w:rPr>
          <w:rFonts w:ascii="Times New Roman" w:hAnsi="Times New Roman" w:eastAsia="方正小标宋_GBK" w:cs="Times New Roman"/>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为认真落实绩效评价制度，进一步加强财政支出的监督管理，规范支出预算执行，提高财政资金使用效益，全面推进预算绩效管理，我镇对</w:t>
      </w:r>
      <w:r>
        <w:rPr>
          <w:rFonts w:hint="eastAsia" w:ascii="微软雅黑" w:hAnsi="微软雅黑" w:eastAsia="微软雅黑" w:cs="微软雅黑"/>
          <w:i w:val="0"/>
          <w:iCs w:val="0"/>
          <w:caps w:val="0"/>
          <w:color w:val="000000"/>
          <w:spacing w:val="0"/>
          <w:sz w:val="24"/>
          <w:szCs w:val="24"/>
          <w:shd w:val="clear" w:fill="FFFFFF"/>
          <w:lang w:val="en-US" w:eastAsia="zh-CN"/>
        </w:rPr>
        <w:t>2022</w:t>
      </w:r>
      <w:r>
        <w:rPr>
          <w:rFonts w:hint="eastAsia" w:ascii="微软雅黑" w:hAnsi="微软雅黑" w:eastAsia="微软雅黑" w:cs="微软雅黑"/>
          <w:i w:val="0"/>
          <w:iCs w:val="0"/>
          <w:caps w:val="0"/>
          <w:color w:val="000000"/>
          <w:spacing w:val="0"/>
          <w:sz w:val="24"/>
          <w:szCs w:val="24"/>
          <w:shd w:val="clear" w:fill="FFFFFF"/>
        </w:rPr>
        <w:t>年作为项目支出申报计划的</w:t>
      </w:r>
      <w:r>
        <w:rPr>
          <w:rFonts w:hint="eastAsia" w:ascii="微软雅黑" w:hAnsi="微软雅黑" w:eastAsia="微软雅黑" w:cs="微软雅黑"/>
          <w:i w:val="0"/>
          <w:iCs w:val="0"/>
          <w:caps w:val="0"/>
          <w:color w:val="000000"/>
          <w:spacing w:val="0"/>
          <w:sz w:val="24"/>
          <w:szCs w:val="24"/>
          <w:shd w:val="clear" w:fill="FFFFFF"/>
          <w:lang w:eastAsia="zh-CN"/>
        </w:rPr>
        <w:t>村级公益事业建设财政奖补资金</w:t>
      </w:r>
      <w:r>
        <w:rPr>
          <w:rFonts w:hint="eastAsia" w:ascii="微软雅黑" w:hAnsi="微软雅黑" w:eastAsia="微软雅黑" w:cs="微软雅黑"/>
          <w:i w:val="0"/>
          <w:iCs w:val="0"/>
          <w:caps w:val="0"/>
          <w:color w:val="000000"/>
          <w:spacing w:val="0"/>
          <w:sz w:val="24"/>
          <w:szCs w:val="24"/>
          <w:shd w:val="clear" w:fill="FFFFFF"/>
        </w:rPr>
        <w:t>实施进行了认真的监督与检查，并根据项目实施情况和相关数据作出绩效评价，现将有关情况报告如下：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shd w:val="clear" w:fill="FFFFFF"/>
        </w:rPr>
        <w:t>　　一、项目基本概况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（一）项目实施目标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2022年村级公益事业建设财政奖补资金主要用于为提高农民生活质量而实施的村内道路和照明设施的提档升级、生活污水处理工程、村民休闲活动场所以及村民认为需要建设的村内其他公益事业项目等项工作，</w:t>
      </w:r>
      <w:r>
        <w:rPr>
          <w:rFonts w:ascii="微软雅黑" w:hAnsi="微软雅黑" w:eastAsia="微软雅黑" w:cs="微软雅黑"/>
          <w:i w:val="0"/>
          <w:caps w:val="0"/>
          <w:color w:val="333333"/>
          <w:spacing w:val="0"/>
          <w:sz w:val="24"/>
          <w:szCs w:val="24"/>
          <w:shd w:val="clear" w:fill="FFFFFF"/>
        </w:rPr>
        <w:t>坚持办实事、重实效，把财政奖补资金作为“服务于民生改善”、惠及农村“最后一公里”的重要抓手，切实补齐农村基础设施建设短板。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（二）项目实施措施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highlight w:val="none"/>
          <w:shd w:val="clear" w:fill="FFFFFF"/>
          <w:lang w:eastAsia="zh-CN"/>
        </w:rPr>
      </w:pP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2022</w:t>
      </w:r>
      <w:r>
        <w:rPr>
          <w:rFonts w:hint="eastAsia" w:ascii="微软雅黑" w:hAnsi="微软雅黑" w:eastAsia="微软雅黑" w:cs="微软雅黑"/>
          <w:i w:val="0"/>
          <w:iCs w:val="0"/>
          <w:caps w:val="0"/>
          <w:color w:val="000000"/>
          <w:spacing w:val="0"/>
          <w:sz w:val="24"/>
          <w:szCs w:val="24"/>
          <w:highlight w:val="none"/>
          <w:shd w:val="clear" w:fill="FFFFFF"/>
        </w:rPr>
        <w:t>年</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村级公益事业建设财政奖补资金</w:t>
      </w:r>
      <w:r>
        <w:rPr>
          <w:rFonts w:hint="eastAsia" w:ascii="微软雅黑" w:hAnsi="微软雅黑" w:eastAsia="微软雅黑" w:cs="微软雅黑"/>
          <w:i w:val="0"/>
          <w:iCs w:val="0"/>
          <w:caps w:val="0"/>
          <w:color w:val="000000"/>
          <w:spacing w:val="0"/>
          <w:sz w:val="24"/>
          <w:szCs w:val="24"/>
          <w:highlight w:val="none"/>
          <w:shd w:val="clear" w:fill="FFFFFF"/>
        </w:rPr>
        <w:t>为</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201</w:t>
      </w:r>
      <w:r>
        <w:rPr>
          <w:rFonts w:hint="eastAsia" w:ascii="微软雅黑" w:hAnsi="微软雅黑" w:eastAsia="微软雅黑" w:cs="微软雅黑"/>
          <w:i w:val="0"/>
          <w:iCs w:val="0"/>
          <w:caps w:val="0"/>
          <w:color w:val="000000"/>
          <w:spacing w:val="0"/>
          <w:sz w:val="24"/>
          <w:szCs w:val="24"/>
          <w:highlight w:val="none"/>
          <w:shd w:val="clear" w:fill="FFFFFF"/>
        </w:rPr>
        <w:t>万元。</w:t>
      </w:r>
      <w:r>
        <w:rPr>
          <w:rFonts w:hint="eastAsia" w:ascii="微软雅黑" w:hAnsi="微软雅黑" w:eastAsia="微软雅黑" w:cs="微软雅黑"/>
          <w:i w:val="0"/>
          <w:iCs w:val="0"/>
          <w:caps w:val="0"/>
          <w:color w:val="000000"/>
          <w:spacing w:val="0"/>
          <w:sz w:val="24"/>
          <w:szCs w:val="24"/>
          <w:highlight w:val="none"/>
          <w:shd w:val="clear" w:fill="FFFFFF"/>
          <w:lang w:eastAsia="zh-CN"/>
        </w:rPr>
        <w:t>在上级财政统筹安排下，合理有效使用各项支出费用，做到账实相符。杜绝资金违规使用等情况的发生，做到有章可循，照章办事合理调配资金，提高资金使用效益，确保村级各项工作正常运转。通过一年的工作，全镇各村圆满的完成了自身的工作职责以及上级部门和党委政府交办的各项工作任务，取得了良好的经济效益、政治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highlight w:val="none"/>
          <w:shd w:val="clear" w:fill="FFFFFF"/>
        </w:rPr>
        <w:t>（三）项目实施情况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eastAsia="zh-CN"/>
        </w:rPr>
        <w:t>我镇</w:t>
      </w:r>
      <w:bookmarkStart w:id="0" w:name="_GoBack"/>
      <w:bookmarkEnd w:id="0"/>
      <w:r>
        <w:rPr>
          <w:rFonts w:hint="eastAsia" w:ascii="微软雅黑" w:hAnsi="微软雅黑" w:eastAsia="微软雅黑" w:cs="微软雅黑"/>
          <w:i w:val="0"/>
          <w:iCs w:val="0"/>
          <w:caps w:val="0"/>
          <w:color w:val="000000"/>
          <w:spacing w:val="0"/>
          <w:sz w:val="24"/>
          <w:szCs w:val="24"/>
          <w:highlight w:val="none"/>
          <w:shd w:val="clear" w:fill="FFFFFF"/>
          <w:lang w:val="en-US" w:eastAsia="zh-CN"/>
        </w:rPr>
        <w:t>村级公益事业建设财政奖补资金</w:t>
      </w:r>
      <w:r>
        <w:rPr>
          <w:rFonts w:hint="eastAsia" w:ascii="微软雅黑" w:hAnsi="微软雅黑" w:eastAsia="微软雅黑" w:cs="微软雅黑"/>
          <w:i w:val="0"/>
          <w:iCs w:val="0"/>
          <w:caps w:val="0"/>
          <w:color w:val="000000"/>
          <w:spacing w:val="0"/>
          <w:sz w:val="24"/>
          <w:szCs w:val="24"/>
          <w:shd w:val="clear" w:fill="FFFFFF"/>
          <w:lang w:eastAsia="zh-CN"/>
        </w:rPr>
        <w:t>主要靠上级财政拨款，为保障项目资金安全，确保资金专款专用，从资金申请、资金使用、会计核算三个环节加强资金管理。在项目资金申请环节，严格按照相关流程向区财政局申请财政资金；在资金使用环节，严格遵守专项资金管理办法相关要求，严格按照资金财务审批流程办理款项支付。在会计核算环节，对本项目资金实际单独核算，确保专款专用。通过上述三个环节的管理，极力避免挪用、挤占、截留项目资金的现象，保证财政资金安全有效使用。</w:t>
      </w: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default" w:ascii="微软雅黑" w:hAnsi="微软雅黑" w:eastAsia="微软雅黑" w:cs="微软雅黑"/>
          <w:i w:val="0"/>
          <w:iCs w:val="0"/>
          <w:caps w:val="0"/>
          <w:color w:val="000000"/>
          <w:spacing w:val="0"/>
          <w:sz w:val="24"/>
          <w:szCs w:val="24"/>
          <w:shd w:val="clear" w:fill="FFFFFF"/>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Style w:val="5"/>
          <w:rFonts w:hint="eastAsia" w:ascii="微软雅黑" w:hAnsi="微软雅黑" w:eastAsia="微软雅黑" w:cs="微软雅黑"/>
          <w:i w:val="0"/>
          <w:iCs w:val="0"/>
          <w:caps w:val="0"/>
          <w:color w:val="000000"/>
          <w:spacing w:val="0"/>
          <w:sz w:val="24"/>
          <w:szCs w:val="24"/>
          <w:shd w:val="clear" w:fill="FFFFFF"/>
        </w:rPr>
      </w:pPr>
      <w:r>
        <w:rPr>
          <w:rStyle w:val="5"/>
          <w:rFonts w:hint="eastAsia" w:ascii="微软雅黑" w:hAnsi="微软雅黑" w:eastAsia="微软雅黑" w:cs="微软雅黑"/>
          <w:i w:val="0"/>
          <w:iCs w:val="0"/>
          <w:caps w:val="0"/>
          <w:color w:val="000000"/>
          <w:spacing w:val="0"/>
          <w:sz w:val="24"/>
          <w:szCs w:val="24"/>
          <w:shd w:val="clear" w:fill="FFFFFF"/>
        </w:rPr>
        <w:t>项目评价结论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根据</w:t>
      </w:r>
      <w:r>
        <w:rPr>
          <w:rFonts w:hint="eastAsia" w:ascii="微软雅黑" w:hAnsi="微软雅黑" w:eastAsia="微软雅黑" w:cs="微软雅黑"/>
          <w:i w:val="0"/>
          <w:iCs w:val="0"/>
          <w:caps w:val="0"/>
          <w:color w:val="000000"/>
          <w:spacing w:val="0"/>
          <w:sz w:val="24"/>
          <w:szCs w:val="24"/>
          <w:shd w:val="clear" w:fill="FFFFFF"/>
          <w:lang w:eastAsia="zh-CN"/>
        </w:rPr>
        <w:t>资金绩效自</w:t>
      </w:r>
      <w:r>
        <w:rPr>
          <w:rFonts w:hint="eastAsia" w:ascii="微软雅黑" w:hAnsi="微软雅黑" w:eastAsia="微软雅黑" w:cs="微软雅黑"/>
          <w:i w:val="0"/>
          <w:iCs w:val="0"/>
          <w:caps w:val="0"/>
          <w:color w:val="000000"/>
          <w:spacing w:val="0"/>
          <w:sz w:val="24"/>
          <w:szCs w:val="24"/>
          <w:shd w:val="clear" w:fill="FFFFFF"/>
        </w:rPr>
        <w:t>评指标规定的内容，经我单位认真自评，20</w:t>
      </w:r>
      <w:r>
        <w:rPr>
          <w:rFonts w:hint="eastAsia" w:ascii="微软雅黑" w:hAnsi="微软雅黑" w:eastAsia="微软雅黑" w:cs="微软雅黑"/>
          <w:i w:val="0"/>
          <w:iCs w:val="0"/>
          <w:caps w:val="0"/>
          <w:color w:val="000000"/>
          <w:spacing w:val="0"/>
          <w:sz w:val="24"/>
          <w:szCs w:val="24"/>
          <w:shd w:val="clear" w:fill="FFFFFF"/>
          <w:lang w:val="en-US" w:eastAsia="zh-CN"/>
        </w:rPr>
        <w:t>22年</w:t>
      </w:r>
      <w:r>
        <w:rPr>
          <w:rFonts w:hint="eastAsia" w:ascii="微软雅黑" w:hAnsi="微软雅黑" w:eastAsia="微软雅黑" w:cs="微软雅黑"/>
          <w:i w:val="0"/>
          <w:iCs w:val="0"/>
          <w:caps w:val="0"/>
          <w:color w:val="000000"/>
          <w:spacing w:val="0"/>
          <w:sz w:val="24"/>
          <w:szCs w:val="24"/>
          <w:shd w:val="clear" w:fill="FFFFFF"/>
        </w:rPr>
        <w:t>度</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村级公益事业建设财政奖补资金</w:t>
      </w:r>
      <w:r>
        <w:rPr>
          <w:rFonts w:hint="eastAsia" w:ascii="微软雅黑" w:hAnsi="微软雅黑" w:eastAsia="微软雅黑" w:cs="微软雅黑"/>
          <w:i w:val="0"/>
          <w:iCs w:val="0"/>
          <w:caps w:val="0"/>
          <w:color w:val="000000"/>
          <w:spacing w:val="0"/>
          <w:sz w:val="24"/>
          <w:szCs w:val="24"/>
          <w:shd w:val="clear" w:fill="FFFFFF"/>
        </w:rPr>
        <w:t>绩效</w:t>
      </w:r>
      <w:r>
        <w:rPr>
          <w:rFonts w:hint="eastAsia" w:ascii="微软雅黑" w:hAnsi="微软雅黑" w:eastAsia="微软雅黑" w:cs="微软雅黑"/>
          <w:i w:val="0"/>
          <w:iCs w:val="0"/>
          <w:caps w:val="0"/>
          <w:color w:val="000000"/>
          <w:spacing w:val="0"/>
          <w:sz w:val="24"/>
          <w:szCs w:val="24"/>
          <w:shd w:val="clear" w:fill="FFFFFF"/>
          <w:lang w:eastAsia="zh-CN"/>
        </w:rPr>
        <w:t>自评</w:t>
      </w:r>
      <w:r>
        <w:rPr>
          <w:rFonts w:hint="eastAsia" w:ascii="微软雅黑" w:hAnsi="微软雅黑" w:eastAsia="微软雅黑" w:cs="微软雅黑"/>
          <w:i w:val="0"/>
          <w:iCs w:val="0"/>
          <w:caps w:val="0"/>
          <w:color w:val="000000"/>
          <w:spacing w:val="0"/>
          <w:sz w:val="24"/>
          <w:szCs w:val="24"/>
          <w:shd w:val="clear" w:fill="FFFFFF"/>
        </w:rPr>
        <w:t>得分为</w:t>
      </w:r>
      <w:r>
        <w:rPr>
          <w:rFonts w:hint="eastAsia" w:ascii="微软雅黑" w:hAnsi="微软雅黑" w:eastAsia="微软雅黑" w:cs="微软雅黑"/>
          <w:i w:val="0"/>
          <w:iCs w:val="0"/>
          <w:caps w:val="0"/>
          <w:color w:val="000000"/>
          <w:spacing w:val="0"/>
          <w:sz w:val="24"/>
          <w:szCs w:val="24"/>
          <w:shd w:val="clear" w:fill="FFFFFF"/>
          <w:lang w:val="en-US" w:eastAsia="zh-CN"/>
        </w:rPr>
        <w:t>100</w:t>
      </w:r>
      <w:r>
        <w:rPr>
          <w:rFonts w:hint="eastAsia" w:ascii="微软雅黑" w:hAnsi="微软雅黑" w:eastAsia="微软雅黑" w:cs="微软雅黑"/>
          <w:i w:val="0"/>
          <w:iCs w:val="0"/>
          <w:caps w:val="0"/>
          <w:color w:val="000000"/>
          <w:spacing w:val="0"/>
          <w:sz w:val="24"/>
          <w:szCs w:val="24"/>
          <w:shd w:val="clear" w:fill="FFFFFF"/>
        </w:rPr>
        <w:t>分</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评价结果等次为“优</w:t>
      </w:r>
      <w:r>
        <w:rPr>
          <w:rFonts w:hint="eastAsia" w:ascii="微软雅黑" w:hAnsi="微软雅黑" w:eastAsia="微软雅黑" w:cs="微软雅黑"/>
          <w:i w:val="0"/>
          <w:iCs w:val="0"/>
          <w:caps w:val="0"/>
          <w:color w:val="000000"/>
          <w:spacing w:val="0"/>
          <w:sz w:val="24"/>
          <w:szCs w:val="24"/>
          <w:shd w:val="clear" w:fill="FFFFFF"/>
          <w:lang w:eastAsia="zh-CN"/>
        </w:rPr>
        <w:t>秀</w:t>
      </w:r>
      <w:r>
        <w:rPr>
          <w:rFonts w:hint="eastAsia" w:ascii="微软雅黑" w:hAnsi="微软雅黑" w:eastAsia="微软雅黑" w:cs="微软雅黑"/>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（一）项目实施取得的效果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rPr>
        <w:t>　1、项目的经济性分析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根据</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村级公益事业建设财政奖补资金</w:t>
      </w:r>
      <w:r>
        <w:rPr>
          <w:rFonts w:hint="eastAsia" w:ascii="微软雅黑" w:hAnsi="微软雅黑" w:eastAsia="微软雅黑" w:cs="微软雅黑"/>
          <w:i w:val="0"/>
          <w:iCs w:val="0"/>
          <w:caps w:val="0"/>
          <w:color w:val="000000"/>
          <w:spacing w:val="0"/>
          <w:sz w:val="24"/>
          <w:szCs w:val="24"/>
          <w:highlight w:val="none"/>
          <w:shd w:val="clear" w:fill="FFFFFF"/>
        </w:rPr>
        <w:t>安排合理使用资金，总体使用率较高。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highlight w:val="none"/>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w:t>
      </w:r>
      <w:r>
        <w:rPr>
          <w:rFonts w:hint="eastAsia" w:ascii="微软雅黑" w:hAnsi="微软雅黑" w:eastAsia="微软雅黑" w:cs="微软雅黑"/>
          <w:i w:val="0"/>
          <w:iCs w:val="0"/>
          <w:caps w:val="0"/>
          <w:color w:val="000000"/>
          <w:spacing w:val="0"/>
          <w:sz w:val="24"/>
          <w:szCs w:val="24"/>
          <w:highlight w:val="none"/>
          <w:shd w:val="clear" w:fill="FFFFFF"/>
        </w:rPr>
        <w:t>、项目的效益性和可持续性分析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项目的实施有利于</w:t>
      </w:r>
      <w:r>
        <w:rPr>
          <w:rFonts w:ascii="微软雅黑" w:hAnsi="微软雅黑" w:eastAsia="微软雅黑" w:cs="微软雅黑"/>
          <w:i w:val="0"/>
          <w:caps w:val="0"/>
          <w:color w:val="333333"/>
          <w:spacing w:val="0"/>
          <w:sz w:val="24"/>
          <w:szCs w:val="24"/>
        </w:rPr>
        <w:t>进一步改善农村基础设施，提高村容村貌，增强群众的参与感、获得感、幸福感，</w:t>
      </w:r>
      <w:r>
        <w:rPr>
          <w:rFonts w:ascii="微软雅黑" w:hAnsi="微软雅黑" w:eastAsia="微软雅黑" w:cs="微软雅黑"/>
          <w:i w:val="0"/>
          <w:caps w:val="0"/>
          <w:color w:val="333333"/>
          <w:spacing w:val="0"/>
          <w:sz w:val="24"/>
          <w:szCs w:val="24"/>
          <w:shd w:val="clear" w:fill="FFFFFF"/>
        </w:rPr>
        <w:t>服务于民生改善</w:t>
      </w:r>
      <w:r>
        <w:rPr>
          <w:rFonts w:ascii="微软雅黑" w:hAnsi="微软雅黑" w:eastAsia="微软雅黑" w:cs="微软雅黑"/>
          <w:i w:val="0"/>
          <w:caps w:val="0"/>
          <w:color w:val="333333"/>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（二）项目实施存在的建议</w:t>
      </w:r>
    </w:p>
    <w:p>
      <w:pPr>
        <w:adjustRightInd w:val="0"/>
        <w:snapToGrid w:val="0"/>
        <w:spacing w:line="600" w:lineRule="exact"/>
        <w:ind w:firstLine="480" w:firstLineChars="200"/>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通过实施绩效管理工作，提高资金使用效率。根据绩效自评情况，不断补充完善绩效评级指标，全面真实反映部门绩效水平。</w:t>
      </w:r>
    </w:p>
    <w:p>
      <w:pPr>
        <w:adjustRightInd w:val="0"/>
        <w:snapToGrid w:val="0"/>
        <w:spacing w:line="600" w:lineRule="exact"/>
        <w:ind w:firstLine="480" w:firstLineChars="200"/>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Style w:val="5"/>
          <w:rFonts w:hint="eastAsia" w:ascii="微软雅黑" w:hAnsi="微软雅黑" w:eastAsia="微软雅黑" w:cs="微软雅黑"/>
          <w:i w:val="0"/>
          <w:iCs w:val="0"/>
          <w:caps w:val="0"/>
          <w:color w:val="000000"/>
          <w:spacing w:val="0"/>
          <w:sz w:val="24"/>
          <w:szCs w:val="24"/>
          <w:shd w:val="clear" w:fill="FFFFFF"/>
          <w:lang w:eastAsia="zh-CN"/>
        </w:rPr>
      </w:pPr>
      <w:r>
        <w:rPr>
          <w:rStyle w:val="5"/>
          <w:rFonts w:hint="eastAsia" w:ascii="微软雅黑" w:hAnsi="微软雅黑" w:eastAsia="微软雅黑" w:cs="微软雅黑"/>
          <w:i w:val="0"/>
          <w:iCs w:val="0"/>
          <w:caps w:val="0"/>
          <w:color w:val="000000"/>
          <w:spacing w:val="0"/>
          <w:sz w:val="24"/>
          <w:szCs w:val="24"/>
          <w:shd w:val="clear" w:fill="FFFFFF"/>
          <w:lang w:eastAsia="zh-CN"/>
        </w:rPr>
        <w:t>绩效自评结果拟应用和公开情况</w:t>
      </w:r>
    </w:p>
    <w:p>
      <w:pPr>
        <w:widowControl/>
        <w:spacing w:line="600" w:lineRule="exact"/>
        <w:ind w:firstLine="645"/>
        <w:jc w:val="left"/>
        <w:rPr>
          <w:rFonts w:hint="eastAsia" w:ascii="Times New Roman" w:hAnsi="Times New Roman" w:cs="Times New Roman"/>
          <w:sz w:val="32"/>
          <w:szCs w:val="32"/>
          <w:lang w:eastAsia="zh-CN"/>
        </w:rPr>
      </w:pPr>
      <w:r>
        <w:rPr>
          <w:rFonts w:ascii="微软雅黑" w:hAnsi="微软雅黑" w:eastAsia="微软雅黑" w:cs="微软雅黑"/>
          <w:i w:val="0"/>
          <w:iCs w:val="0"/>
          <w:caps w:val="0"/>
          <w:color w:val="000000"/>
          <w:spacing w:val="0"/>
          <w:sz w:val="24"/>
          <w:szCs w:val="24"/>
          <w:shd w:val="clear" w:fill="FFFFFF"/>
        </w:rPr>
        <w:t>按照政府信息公开有关规定，主动将绩效自评结果报告在厅门户网站公开，自觉接受社会监督，不断提高财政资金使用的透明度。</w:t>
      </w:r>
    </w:p>
    <w:p>
      <w:pPr>
        <w:widowControl/>
        <w:spacing w:line="600" w:lineRule="exact"/>
        <w:ind w:firstLine="645"/>
        <w:jc w:val="left"/>
        <w:rPr>
          <w:rFonts w:hint="eastAsia" w:ascii="Times New Roman" w:hAnsi="Times New Roman" w:cs="Times New Roman"/>
          <w:sz w:val="32"/>
          <w:szCs w:val="32"/>
          <w:lang w:eastAsia="zh-CN"/>
        </w:rPr>
      </w:pPr>
    </w:p>
    <w:p>
      <w:pPr>
        <w:widowControl/>
        <w:spacing w:line="600" w:lineRule="exact"/>
        <w:jc w:val="left"/>
        <w:rPr>
          <w:rFonts w:hint="eastAsia" w:ascii="Times New Roman" w:hAnsi="Times New Roman" w:cs="Times New Roman"/>
          <w:sz w:val="32"/>
          <w:szCs w:val="32"/>
          <w:lang w:eastAsia="zh-CN"/>
        </w:rPr>
      </w:pPr>
    </w:p>
    <w:p>
      <w:pPr>
        <w:widowControl/>
        <w:spacing w:line="600" w:lineRule="exact"/>
        <w:ind w:firstLine="645"/>
        <w:jc w:val="left"/>
        <w:rPr>
          <w:rFonts w:ascii="Times New Roman" w:hAnsi="Times New Roman" w:eastAsia="仿宋_GB2312" w:cs="Times New Roman"/>
          <w:sz w:val="32"/>
          <w:szCs w:val="32"/>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pP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3"/>
        <w:tblpPr w:leftFromText="180" w:rightFromText="180" w:vertAnchor="text" w:horzAnchor="page" w:tblpX="1162" w:tblpY="31"/>
        <w:tblOverlap w:val="never"/>
        <w:tblW w:w="9851" w:type="dxa"/>
        <w:tblInd w:w="0" w:type="dxa"/>
        <w:tblLayout w:type="autofit"/>
        <w:tblCellMar>
          <w:top w:w="0" w:type="dxa"/>
          <w:left w:w="108" w:type="dxa"/>
          <w:bottom w:w="0" w:type="dxa"/>
          <w:right w:w="108" w:type="dxa"/>
        </w:tblCellMar>
      </w:tblPr>
      <w:tblGrid>
        <w:gridCol w:w="1080"/>
        <w:gridCol w:w="1096"/>
        <w:gridCol w:w="1096"/>
        <w:gridCol w:w="1096"/>
        <w:gridCol w:w="1097"/>
        <w:gridCol w:w="1096"/>
        <w:gridCol w:w="1096"/>
        <w:gridCol w:w="1097"/>
        <w:gridCol w:w="1097"/>
      </w:tblGrid>
      <w:tr>
        <w:tblPrEx>
          <w:tblCellMar>
            <w:top w:w="0" w:type="dxa"/>
            <w:left w:w="108" w:type="dxa"/>
            <w:bottom w:w="0" w:type="dxa"/>
            <w:right w:w="108" w:type="dxa"/>
          </w:tblCellMar>
        </w:tblPrEx>
        <w:trPr>
          <w:trHeight w:val="35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仿宋_GB2312" w:hAnsi="宋体" w:eastAsia="仿宋_GB2312" w:cs="仿宋_GB2312"/>
                <w:i w:val="0"/>
                <w:color w:val="000000"/>
                <w:kern w:val="0"/>
                <w:sz w:val="21"/>
                <w:szCs w:val="21"/>
                <w:u w:val="none"/>
                <w:lang w:val="en-US" w:eastAsia="zh-CN" w:bidi="ar"/>
              </w:rPr>
              <w:t>村级公益事业建设财政奖补资金</w:t>
            </w:r>
          </w:p>
        </w:tc>
      </w:tr>
      <w:tr>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主管部门</w:t>
            </w:r>
          </w:p>
        </w:tc>
        <w:tc>
          <w:tcPr>
            <w:tcW w:w="4385"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s="Times New Roman"/>
                <w:color w:val="000000"/>
                <w:kern w:val="0"/>
                <w:sz w:val="21"/>
                <w:szCs w:val="21"/>
                <w:lang w:eastAsia="zh-CN"/>
              </w:rPr>
            </w:pPr>
          </w:p>
        </w:tc>
        <w:tc>
          <w:tcPr>
            <w:tcW w:w="1096"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实施单位</w:t>
            </w:r>
          </w:p>
        </w:tc>
        <w:tc>
          <w:tcPr>
            <w:tcW w:w="329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　</w:t>
            </w:r>
            <w:r>
              <w:rPr>
                <w:rFonts w:hint="default" w:ascii="仿宋_GB2312" w:hAnsi="Times New Roman" w:eastAsia="仿宋_GB2312" w:cs="仿宋_GB2312"/>
                <w:i w:val="0"/>
                <w:color w:val="000000"/>
                <w:kern w:val="0"/>
                <w:sz w:val="21"/>
                <w:szCs w:val="21"/>
                <w:u w:val="none"/>
                <w:lang w:val="en-US" w:eastAsia="zh-CN" w:bidi="ar"/>
              </w:rPr>
              <w:t>资阳区长春镇人民政府</w:t>
            </w: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1"/>
                <w:szCs w:val="21"/>
                <w:u w:val="none"/>
                <w:lang w:val="en-US" w:eastAsia="zh-CN" w:bidi="ar"/>
              </w:rPr>
              <w:t>项目资金（万元）</w:t>
            </w:r>
          </w:p>
        </w:tc>
        <w:tc>
          <w:tcPr>
            <w:tcW w:w="2192" w:type="dxa"/>
            <w:gridSpan w:val="2"/>
            <w:vMerge w:val="restart"/>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年初</w:t>
            </w:r>
          </w:p>
        </w:tc>
        <w:tc>
          <w:tcPr>
            <w:tcW w:w="109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全年</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全年</w:t>
            </w:r>
          </w:p>
        </w:tc>
        <w:tc>
          <w:tcPr>
            <w:tcW w:w="1096"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分值</w:t>
            </w:r>
          </w:p>
        </w:tc>
        <w:tc>
          <w:tcPr>
            <w:tcW w:w="109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执行率</w:t>
            </w:r>
          </w:p>
        </w:tc>
        <w:tc>
          <w:tcPr>
            <w:tcW w:w="109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得分</w:t>
            </w:r>
          </w:p>
        </w:tc>
      </w:tr>
      <w:tr>
        <w:tblPrEx>
          <w:tblCellMar>
            <w:top w:w="0" w:type="dxa"/>
            <w:left w:w="108" w:type="dxa"/>
            <w:bottom w:w="0" w:type="dxa"/>
            <w:right w:w="108" w:type="dxa"/>
          </w:tblCellMar>
        </w:tblPrEx>
        <w:tc>
          <w:tcPr>
            <w:tcW w:w="1080" w:type="dxa"/>
            <w:vMerge w:val="continue"/>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2192" w:type="dxa"/>
            <w:gridSpan w:val="2"/>
            <w:vMerge w:val="continue"/>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预算数</w:t>
            </w:r>
          </w:p>
        </w:tc>
        <w:tc>
          <w:tcPr>
            <w:tcW w:w="109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预算数</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执行数</w:t>
            </w:r>
          </w:p>
        </w:tc>
        <w:tc>
          <w:tcPr>
            <w:tcW w:w="1096" w:type="dxa"/>
            <w:vMerge w:val="continue"/>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000000"/>
                <w:kern w:val="0"/>
                <w:sz w:val="21"/>
                <w:szCs w:val="21"/>
                <w:lang w:eastAsia="zh-CN"/>
              </w:rPr>
            </w:pPr>
          </w:p>
        </w:tc>
        <w:tc>
          <w:tcPr>
            <w:tcW w:w="1097"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0"/>
                <w:sz w:val="21"/>
                <w:szCs w:val="21"/>
                <w:lang w:val="en-US" w:eastAsia="zh-CN"/>
              </w:rPr>
            </w:pPr>
          </w:p>
        </w:tc>
        <w:tc>
          <w:tcPr>
            <w:tcW w:w="1097"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0"/>
                <w:sz w:val="21"/>
                <w:szCs w:val="21"/>
                <w:lang w:val="en-US" w:eastAsia="zh-CN"/>
              </w:rPr>
            </w:pPr>
          </w:p>
        </w:tc>
      </w:tr>
      <w:tr>
        <w:tblPrEx>
          <w:tblCellMar>
            <w:top w:w="0" w:type="dxa"/>
            <w:left w:w="108" w:type="dxa"/>
            <w:bottom w:w="0" w:type="dxa"/>
            <w:right w:w="108" w:type="dxa"/>
          </w:tblCellMar>
        </w:tblPrEx>
        <w:tc>
          <w:tcPr>
            <w:tcW w:w="1080" w:type="dxa"/>
            <w:vMerge w:val="continue"/>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219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年度资金总额　</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w:t>
            </w:r>
          </w:p>
        </w:tc>
        <w:tc>
          <w:tcPr>
            <w:tcW w:w="109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仿宋_GB2312" w:hAnsi="宋体" w:eastAsia="仿宋_GB2312" w:cs="仿宋_GB2312"/>
                <w:i w:val="0"/>
                <w:color w:val="000000"/>
                <w:kern w:val="0"/>
                <w:sz w:val="21"/>
                <w:szCs w:val="21"/>
                <w:u w:val="none"/>
                <w:lang w:val="en-US" w:eastAsia="zh-CN" w:bidi="ar"/>
              </w:rPr>
              <w:t>201</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201</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w:t>
            </w:r>
            <w:r>
              <w:rPr>
                <w:rFonts w:hint="default" w:ascii="仿宋_GB2312" w:hAnsi="Times New Roman" w:eastAsia="仿宋_GB2312" w:cs="仿宋_GB2312"/>
                <w:i w:val="0"/>
                <w:color w:val="000000"/>
                <w:kern w:val="0"/>
                <w:sz w:val="21"/>
                <w:szCs w:val="21"/>
                <w:u w:val="none"/>
                <w:lang w:val="en-US" w:eastAsia="zh-CN" w:bidi="ar"/>
              </w:rPr>
              <w:t>0分</w:t>
            </w:r>
          </w:p>
        </w:tc>
        <w:tc>
          <w:tcPr>
            <w:tcW w:w="109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100%</w:t>
            </w:r>
          </w:p>
        </w:tc>
        <w:tc>
          <w:tcPr>
            <w:tcW w:w="109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r>
      <w:tr>
        <w:tblPrEx>
          <w:tblCellMar>
            <w:top w:w="0" w:type="dxa"/>
            <w:left w:w="108" w:type="dxa"/>
            <w:bottom w:w="0" w:type="dxa"/>
            <w:right w:w="108" w:type="dxa"/>
          </w:tblCellMar>
        </w:tblPrEx>
        <w:tc>
          <w:tcPr>
            <w:tcW w:w="1080" w:type="dxa"/>
            <w:vMerge w:val="continue"/>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219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其中：当年财政拨款　</w:t>
            </w:r>
          </w:p>
        </w:tc>
        <w:tc>
          <w:tcPr>
            <w:tcW w:w="109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仿宋_GB2312" w:hAnsi="宋体" w:eastAsia="仿宋_GB2312" w:cs="仿宋_GB2312"/>
                <w:i w:val="0"/>
                <w:color w:val="000000"/>
                <w:kern w:val="0"/>
                <w:sz w:val="21"/>
                <w:szCs w:val="21"/>
                <w:u w:val="none"/>
                <w:lang w:val="en-US" w:eastAsia="zh-CN" w:bidi="ar"/>
              </w:rPr>
              <w:t>201</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仿宋_GB2312" w:hAnsi="宋体" w:eastAsia="仿宋_GB2312" w:cs="仿宋_GB2312"/>
                <w:i w:val="0"/>
                <w:color w:val="000000"/>
                <w:kern w:val="0"/>
                <w:sz w:val="21"/>
                <w:szCs w:val="21"/>
                <w:u w:val="none"/>
                <w:lang w:val="en-US" w:eastAsia="zh-CN" w:bidi="ar"/>
              </w:rPr>
              <w:t>201</w:t>
            </w:r>
          </w:p>
        </w:tc>
        <w:tc>
          <w:tcPr>
            <w:tcW w:w="109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7"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7"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219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630" w:firstLineChars="300"/>
              <w:jc w:val="left"/>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上年结转资金　</w:t>
            </w:r>
          </w:p>
        </w:tc>
        <w:tc>
          <w:tcPr>
            <w:tcW w:w="109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7"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7"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7"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219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ind w:firstLine="630" w:firstLineChars="300"/>
              <w:jc w:val="left"/>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其他资金</w:t>
            </w:r>
          </w:p>
        </w:tc>
        <w:tc>
          <w:tcPr>
            <w:tcW w:w="1096" w:type="dxa"/>
            <w:tcBorders>
              <w:top w:val="single" w:color="auto" w:sz="4" w:space="0"/>
              <w:left w:val="nil"/>
              <w:bottom w:val="single" w:color="auto" w:sz="4" w:space="0"/>
              <w:right w:val="single" w:color="000000" w:sz="4" w:space="0"/>
            </w:tcBorders>
            <w:noWrap w:val="0"/>
            <w:vAlign w:val="center"/>
          </w:tcPr>
          <w:p>
            <w:pPr>
              <w:jc w:val="left"/>
            </w:pPr>
          </w:p>
        </w:tc>
        <w:tc>
          <w:tcPr>
            <w:tcW w:w="1097" w:type="dxa"/>
            <w:tcBorders>
              <w:top w:val="single" w:color="auto" w:sz="4" w:space="0"/>
              <w:left w:val="nil"/>
              <w:bottom w:val="single" w:color="auto" w:sz="4" w:space="0"/>
              <w:right w:val="single" w:color="000000" w:sz="4" w:space="0"/>
            </w:tcBorders>
            <w:noWrap w:val="0"/>
            <w:vAlign w:val="center"/>
          </w:tcPr>
          <w:p>
            <w:pPr>
              <w:jc w:val="left"/>
            </w:pPr>
          </w:p>
        </w:tc>
        <w:tc>
          <w:tcPr>
            <w:tcW w:w="1096"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96" w:type="dxa"/>
            <w:tcBorders>
              <w:top w:val="single" w:color="auto" w:sz="4" w:space="0"/>
              <w:left w:val="nil"/>
              <w:bottom w:val="single" w:color="auto" w:sz="4" w:space="0"/>
              <w:right w:val="single" w:color="auto" w:sz="4" w:space="0"/>
            </w:tcBorders>
            <w:noWrap w:val="0"/>
            <w:vAlign w:val="center"/>
          </w:tcPr>
          <w:p>
            <w:pPr>
              <w:jc w:val="left"/>
            </w:pPr>
          </w:p>
        </w:tc>
        <w:tc>
          <w:tcPr>
            <w:tcW w:w="1097" w:type="dxa"/>
            <w:tcBorders>
              <w:top w:val="single" w:color="auto" w:sz="4" w:space="0"/>
              <w:left w:val="nil"/>
              <w:bottom w:val="single" w:color="auto" w:sz="4" w:space="0"/>
              <w:right w:val="single" w:color="auto" w:sz="4" w:space="0"/>
            </w:tcBorders>
            <w:noWrap w:val="0"/>
            <w:vAlign w:val="center"/>
          </w:tcPr>
          <w:p>
            <w:pPr>
              <w:jc w:val="left"/>
            </w:pPr>
          </w:p>
        </w:tc>
        <w:tc>
          <w:tcPr>
            <w:tcW w:w="1097" w:type="dxa"/>
            <w:tcBorders>
              <w:top w:val="single" w:color="auto" w:sz="4" w:space="0"/>
              <w:left w:val="nil"/>
              <w:bottom w:val="single" w:color="auto" w:sz="4" w:space="0"/>
              <w:right w:val="single" w:color="auto" w:sz="4" w:space="0"/>
            </w:tcBorders>
            <w:noWrap w:val="0"/>
            <w:vAlign w:val="center"/>
          </w:tcPr>
          <w:p>
            <w:pPr>
              <w:jc w:val="left"/>
            </w:pPr>
          </w:p>
        </w:tc>
      </w:tr>
      <w:tr>
        <w:tblPrEx>
          <w:tblCellMar>
            <w:top w:w="0" w:type="dxa"/>
            <w:left w:w="108" w:type="dxa"/>
            <w:bottom w:w="0" w:type="dxa"/>
            <w:right w:w="108" w:type="dxa"/>
          </w:tblCellMar>
        </w:tblPrEx>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年度总体目标</w:t>
            </w:r>
          </w:p>
        </w:tc>
        <w:tc>
          <w:tcPr>
            <w:tcW w:w="43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预期目标</w:t>
            </w:r>
          </w:p>
        </w:tc>
        <w:tc>
          <w:tcPr>
            <w:tcW w:w="43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实际完成情况　</w:t>
            </w: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43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100%</w:t>
            </w:r>
          </w:p>
        </w:tc>
        <w:tc>
          <w:tcPr>
            <w:tcW w:w="43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r>
      <w:tr>
        <w:tblPrEx>
          <w:tblCellMar>
            <w:top w:w="0" w:type="dxa"/>
            <w:left w:w="108" w:type="dxa"/>
            <w:bottom w:w="0" w:type="dxa"/>
            <w:right w:w="108" w:type="dxa"/>
          </w:tblCellMar>
        </w:tblPrEx>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1"/>
                <w:szCs w:val="21"/>
                <w:u w:val="none"/>
                <w:lang w:val="en-US" w:eastAsia="zh-CN" w:bidi="ar"/>
              </w:rPr>
              <w:t>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一级指标</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二级指标</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三级指标</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年度</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实际</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分值</w:t>
            </w:r>
          </w:p>
        </w:tc>
        <w:tc>
          <w:tcPr>
            <w:tcW w:w="10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得分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偏差原因</w:t>
            </w: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指标值</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完成值</w:t>
            </w: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分析及</w:t>
            </w: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color w:val="000000"/>
                <w:kern w:val="0"/>
                <w:sz w:val="21"/>
                <w:szCs w:val="21"/>
                <w:lang w:val="en-US" w:eastAsia="zh-CN" w:bidi="ar-SA"/>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改进措施</w:t>
            </w: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1"/>
                <w:szCs w:val="21"/>
                <w:u w:val="none"/>
                <w:lang w:val="en-US" w:eastAsia="zh-CN" w:bidi="ar"/>
              </w:rPr>
              <w:t>产出指标(50分)</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数量指标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受益村个数</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24</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24</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20</w:t>
            </w:r>
          </w:p>
        </w:tc>
        <w:tc>
          <w:tcPr>
            <w:tcW w:w="10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20</w:t>
            </w:r>
          </w:p>
        </w:tc>
        <w:tc>
          <w:tcPr>
            <w:tcW w:w="10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支付率</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100%</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100%</w:t>
            </w: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支付进度</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100%</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100%</w:t>
            </w: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质量指标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项目工程合格率</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100%</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100%</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15</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15</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时效指标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项目工程及时完成率</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100%</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100%</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15</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15</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成本指标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1"/>
                <w:szCs w:val="21"/>
                <w:u w:val="none"/>
                <w:lang w:val="en-US" w:eastAsia="zh-CN" w:bidi="ar"/>
              </w:rPr>
              <w:t>效益指标（40分）</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1"/>
                <w:szCs w:val="21"/>
                <w:u w:val="none"/>
                <w:lang w:val="en-US" w:eastAsia="zh-CN" w:bidi="ar"/>
              </w:rPr>
              <w:t>经济效益指标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生产条件改善带动农业发展</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显著提升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显著提升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1"/>
                <w:szCs w:val="21"/>
                <w:u w:val="none"/>
                <w:lang w:val="en-US" w:eastAsia="zh-CN" w:bidi="ar"/>
              </w:rPr>
              <w:t>社会效益指标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完善农村基础设施</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显著改善</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显著改善</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605"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生态效益指标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可持续影响指标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工程设计使用年限</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≥10年</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≥10年</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1"/>
                <w:szCs w:val="21"/>
                <w:u w:val="none"/>
                <w:lang w:val="en-US" w:eastAsia="zh-CN" w:bidi="ar"/>
              </w:rPr>
              <w:t>收益农户满意度指标</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满意程度</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≥95%</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≥95%</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0"/>
                <w:szCs w:val="20"/>
                <w:u w:val="none"/>
                <w:lang w:val="en-US" w:eastAsia="zh-CN" w:bidi="ar"/>
              </w:rPr>
              <w:t>10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c>
          <w:tcPr>
            <w:tcW w:w="65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总分</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100</w:t>
            </w:r>
            <w:r>
              <w:rPr>
                <w:rFonts w:hint="default" w:ascii="仿宋_GB2312" w:hAnsi="Times New Roman" w:eastAsia="仿宋_GB2312" w:cs="仿宋_GB2312"/>
                <w:i w:val="0"/>
                <w:color w:val="000000"/>
                <w:kern w:val="0"/>
                <w:sz w:val="21"/>
                <w:szCs w:val="21"/>
                <w:u w:val="none"/>
                <w:lang w:val="en-US" w:eastAsia="zh-CN" w:bidi="ar"/>
              </w:rPr>
              <w:t>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100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xml:space="preserve">填表人： </w:t>
      </w:r>
      <w:r>
        <w:rPr>
          <w:rFonts w:hint="eastAsia" w:ascii="Times New Roman" w:hAnsi="Times New Roman" w:cs="Times New Roman"/>
          <w:kern w:val="0"/>
          <w:sz w:val="21"/>
          <w:szCs w:val="21"/>
          <w:lang w:eastAsia="zh-CN"/>
        </w:rPr>
        <w:t>李劲</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2023.4.20</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13189638907</w:t>
      </w:r>
      <w:r>
        <w:rPr>
          <w:rFonts w:ascii="Times New Roman" w:hAnsi="Times New Roman" w:eastAsia="仿宋_GB2312" w:cs="Times New Roman"/>
          <w:kern w:val="0"/>
          <w:sz w:val="21"/>
          <w:szCs w:val="21"/>
        </w:rPr>
        <w:t xml:space="preserve">      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1BF15"/>
    <w:multiLevelType w:val="singleLevel"/>
    <w:tmpl w:val="CBA1BF15"/>
    <w:lvl w:ilvl="0" w:tentative="0">
      <w:start w:val="2"/>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zYwYzFhMDg5YTIzNmVkOGQ3NmFhNzM2MjFmMGUifQ=="/>
  </w:docVars>
  <w:rsids>
    <w:rsidRoot w:val="5377723A"/>
    <w:rsid w:val="00771C51"/>
    <w:rsid w:val="11482241"/>
    <w:rsid w:val="12D5087F"/>
    <w:rsid w:val="3B20637D"/>
    <w:rsid w:val="40D67B91"/>
    <w:rsid w:val="5377723A"/>
    <w:rsid w:val="5E0C4813"/>
    <w:rsid w:val="61631C7B"/>
    <w:rsid w:val="7C7F3FAA"/>
    <w:rsid w:val="7C94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1490</Words>
  <Characters>1604</Characters>
  <Lines>0</Lines>
  <Paragraphs>0</Paragraphs>
  <TotalTime>0</TotalTime>
  <ScaleCrop>false</ScaleCrop>
  <LinksUpToDate>false</LinksUpToDate>
  <CharactersWithSpaces>1743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2023-04-24T06:20:00Z</dcterms:created>
  <dc:creator>vv</dc:creator>
  <cp:lastModifiedBy>阳光心情</cp:lastModifiedBy>
  <dcterms:modified xsi:type="dcterms:W3CDTF">2023-04-27T03:23:58Z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5010B54E34D8417AB67E3A27AB7DF172_11</vt:lpwstr>
  </property>
</Properties>
</file>