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5" w:lineRule="exact"/>
        <w:jc w:val="center"/>
        <w:rPr>
          <w:rFonts w:ascii="宋体" w:hAnsi="宋体" w:eastAsia="宋体" w:cs="宋体"/>
          <w:b/>
          <w:bCs/>
          <w:sz w:val="44"/>
          <w:szCs w:val="44"/>
        </w:rPr>
      </w:pPr>
      <w:r>
        <w:rPr>
          <w:rFonts w:hint="eastAsia" w:ascii="宋体" w:hAnsi="宋体" w:eastAsia="宋体" w:cs="宋体"/>
          <w:b/>
          <w:bCs/>
          <w:sz w:val="44"/>
          <w:szCs w:val="44"/>
        </w:rPr>
        <w:t>益阳市资阳区国有土地上房屋征收与补偿</w:t>
      </w:r>
    </w:p>
    <w:p>
      <w:pPr>
        <w:spacing w:line="575" w:lineRule="exact"/>
        <w:jc w:val="center"/>
        <w:rPr>
          <w:rFonts w:ascii="宋体" w:hAnsi="宋体" w:eastAsia="宋体" w:cs="宋体"/>
          <w:b/>
          <w:bCs/>
          <w:sz w:val="44"/>
          <w:szCs w:val="44"/>
        </w:rPr>
      </w:pPr>
      <w:r>
        <w:rPr>
          <w:rFonts w:hint="eastAsia" w:ascii="宋体" w:hAnsi="宋体" w:eastAsia="宋体" w:cs="宋体"/>
          <w:b/>
          <w:bCs/>
          <w:sz w:val="44"/>
          <w:szCs w:val="44"/>
        </w:rPr>
        <w:t>工作办公室2022年部门总体支出预算</w:t>
      </w:r>
    </w:p>
    <w:p>
      <w:pPr>
        <w:spacing w:line="575" w:lineRule="exact"/>
        <w:jc w:val="center"/>
        <w:rPr>
          <w:rFonts w:ascii="宋体" w:hAnsi="宋体" w:eastAsia="宋体" w:cs="宋体"/>
          <w:b/>
          <w:bCs/>
          <w:sz w:val="44"/>
          <w:szCs w:val="44"/>
        </w:rPr>
      </w:pPr>
      <w:r>
        <w:rPr>
          <w:rFonts w:hint="eastAsia" w:ascii="宋体" w:hAnsi="宋体" w:eastAsia="宋体" w:cs="宋体"/>
          <w:b/>
          <w:bCs/>
          <w:sz w:val="44"/>
          <w:szCs w:val="44"/>
        </w:rPr>
        <w:t>绩效自评报告</w:t>
      </w:r>
    </w:p>
    <w:p>
      <w:pPr>
        <w:spacing w:line="575" w:lineRule="exact"/>
        <w:ind w:left="720" w:hanging="720" w:hangingChars="200"/>
        <w:rPr>
          <w:rFonts w:ascii="黑体" w:eastAsia="黑体"/>
          <w:sz w:val="36"/>
          <w:szCs w:val="36"/>
        </w:rPr>
      </w:pPr>
    </w:p>
    <w:p>
      <w:pPr>
        <w:widowControl/>
        <w:shd w:val="clear" w:color="auto" w:fill="FFFFFF"/>
        <w:spacing w:line="575" w:lineRule="exact"/>
        <w:ind w:firstLine="640" w:firstLineChars="200"/>
        <w:rPr>
          <w:rFonts w:ascii="仿宋_GB2312" w:hAnsi="楷体"/>
        </w:rPr>
      </w:pPr>
      <w:r>
        <w:rPr>
          <w:rFonts w:hint="eastAsia" w:ascii="仿宋_GB2312" w:hAnsi="Times New Roman" w:cs="仿宋_GB2312"/>
        </w:rPr>
        <w:t>根据益阳市资阳区财政局关于开展</w:t>
      </w:r>
      <w:r>
        <w:rPr>
          <w:rFonts w:ascii="仿宋_GB2312" w:hAnsi="Times New Roman" w:cs="仿宋_GB2312"/>
        </w:rPr>
        <w:t>2022</w:t>
      </w:r>
      <w:r>
        <w:rPr>
          <w:rFonts w:hint="eastAsia" w:ascii="仿宋_GB2312" w:hAnsi="Times New Roman" w:cs="仿宋_GB2312"/>
        </w:rPr>
        <w:t>年部门绩效自评工作的要求，我办</w:t>
      </w:r>
      <w:r>
        <w:rPr>
          <w:rFonts w:hint="eastAsia" w:ascii="仿宋_GB2312" w:hAnsi="楷体" w:cs="仿宋_GB2312"/>
        </w:rPr>
        <w:t>遵循“科学规范、公开公正、分类管理、绩效相关”的原则，</w:t>
      </w:r>
      <w:r>
        <w:rPr>
          <w:rFonts w:hint="eastAsia" w:ascii="仿宋_GB2312" w:hAnsi="Times New Roman" w:cs="仿宋_GB2312"/>
        </w:rPr>
        <w:t>及时布置自评工作，明确分工，落实责任，</w:t>
      </w:r>
      <w:r>
        <w:rPr>
          <w:rFonts w:hint="eastAsia" w:ascii="仿宋_GB2312" w:hAnsi="楷体" w:cs="仿宋_GB2312"/>
        </w:rPr>
        <w:t>运用科学、合理的绩效评价方法，对本单位</w:t>
      </w:r>
      <w:r>
        <w:rPr>
          <w:rFonts w:ascii="仿宋_GB2312" w:hAnsi="楷体" w:cs="仿宋_GB2312"/>
        </w:rPr>
        <w:t>2022</w:t>
      </w:r>
      <w:r>
        <w:rPr>
          <w:rFonts w:hint="eastAsia" w:ascii="仿宋_GB2312" w:hAnsi="楷体" w:cs="仿宋_GB2312"/>
        </w:rPr>
        <w:t>年度预算绩效情况进行了客观、公正的评价。现就我办</w:t>
      </w:r>
      <w:r>
        <w:rPr>
          <w:rFonts w:ascii="仿宋_GB2312" w:hAnsi="Times New Roman" w:cs="仿宋_GB2312"/>
        </w:rPr>
        <w:t>2022</w:t>
      </w:r>
      <w:r>
        <w:rPr>
          <w:rFonts w:hint="eastAsia" w:ascii="仿宋_GB2312" w:hAnsi="Times New Roman" w:cs="仿宋_GB2312"/>
        </w:rPr>
        <w:t>年度整体支出绩效评价报告如下：</w:t>
      </w:r>
    </w:p>
    <w:p>
      <w:pPr>
        <w:snapToGrid w:val="0"/>
        <w:spacing w:line="575" w:lineRule="exact"/>
        <w:ind w:firstLine="640" w:firstLineChars="200"/>
        <w:rPr>
          <w:rFonts w:ascii="黑体" w:hAnsi="Times New Roman" w:eastAsia="黑体"/>
        </w:rPr>
      </w:pPr>
      <w:r>
        <w:rPr>
          <w:rFonts w:hint="eastAsia" w:ascii="黑体" w:hAnsi="Times New Roman" w:eastAsia="黑体" w:cs="黑体"/>
        </w:rPr>
        <w:t>一、部门基本情况</w:t>
      </w:r>
    </w:p>
    <w:p>
      <w:pPr>
        <w:snapToGrid w:val="0"/>
        <w:spacing w:line="575" w:lineRule="exact"/>
        <w:ind w:firstLine="643" w:firstLineChars="200"/>
        <w:rPr>
          <w:rFonts w:ascii="楷体_GB2312" w:hAnsi="仿宋" w:eastAsia="楷体_GB2312"/>
          <w:b/>
          <w:bCs/>
        </w:rPr>
      </w:pPr>
      <w:r>
        <w:rPr>
          <w:rFonts w:hint="eastAsia" w:ascii="楷体_GB2312" w:hAnsi="仿宋" w:eastAsia="楷体_GB2312" w:cs="楷体_GB2312"/>
          <w:b/>
          <w:bCs/>
        </w:rPr>
        <w:t>（一）主要职能</w:t>
      </w:r>
    </w:p>
    <w:p>
      <w:pPr>
        <w:widowControl/>
        <w:spacing w:line="575" w:lineRule="exact"/>
        <w:ind w:firstLine="627" w:firstLineChars="196"/>
        <w:rPr>
          <w:rFonts w:ascii="仿宋_GB2312"/>
        </w:rPr>
      </w:pPr>
      <w:r>
        <w:rPr>
          <w:rFonts w:ascii="仿宋_GB2312" w:cs="仿宋_GB2312"/>
        </w:rPr>
        <w:t xml:space="preserve">1. </w:t>
      </w:r>
      <w:r>
        <w:rPr>
          <w:rFonts w:hint="eastAsia" w:ascii="仿宋_GB2312" w:cs="仿宋_GB2312"/>
        </w:rPr>
        <w:t>负责全区国有土地上房屋征收与补偿的管理与协调监督工作。</w:t>
      </w:r>
    </w:p>
    <w:p>
      <w:pPr>
        <w:widowControl/>
        <w:spacing w:line="575" w:lineRule="exact"/>
        <w:ind w:firstLine="627" w:firstLineChars="196"/>
        <w:rPr>
          <w:rFonts w:ascii="仿宋_GB2312"/>
        </w:rPr>
      </w:pPr>
      <w:r>
        <w:rPr>
          <w:rFonts w:ascii="仿宋_GB2312" w:cs="仿宋_GB2312"/>
        </w:rPr>
        <w:t xml:space="preserve">2. </w:t>
      </w:r>
      <w:r>
        <w:rPr>
          <w:rFonts w:hint="eastAsia" w:ascii="仿宋_GB2312" w:cs="仿宋_GB2312"/>
        </w:rPr>
        <w:t>负责全区集体土地上土地征收与房屋拆迁补偿安置等事务性工作。</w:t>
      </w:r>
    </w:p>
    <w:p>
      <w:pPr>
        <w:widowControl/>
        <w:spacing w:line="575" w:lineRule="exact"/>
        <w:ind w:firstLine="627" w:firstLineChars="196"/>
        <w:rPr>
          <w:rFonts w:ascii="仿宋_GB2312"/>
        </w:rPr>
      </w:pPr>
      <w:r>
        <w:rPr>
          <w:rFonts w:ascii="仿宋_GB2312" w:cs="仿宋_GB2312"/>
        </w:rPr>
        <w:t xml:space="preserve">3. </w:t>
      </w:r>
      <w:r>
        <w:rPr>
          <w:rFonts w:hint="eastAsia" w:ascii="仿宋_GB2312" w:cs="仿宋_GB2312"/>
        </w:rPr>
        <w:t>负责全区中心城区集体土地上农村居民拆迁安置房建设、分配、管理，协调有关部门对城区征地农民的社会保障等工作。</w:t>
      </w:r>
    </w:p>
    <w:p>
      <w:pPr>
        <w:widowControl/>
        <w:spacing w:line="575" w:lineRule="exact"/>
        <w:ind w:firstLine="627" w:firstLineChars="196"/>
        <w:rPr>
          <w:rFonts w:ascii="仿宋_GB2312"/>
        </w:rPr>
      </w:pPr>
      <w:r>
        <w:rPr>
          <w:rFonts w:hint="eastAsia" w:ascii="仿宋_GB2312" w:cs="仿宋_GB2312"/>
        </w:rPr>
        <w:t>4.完成区委、区政府交办的其他任务。</w:t>
      </w:r>
    </w:p>
    <w:p>
      <w:pPr>
        <w:snapToGrid w:val="0"/>
        <w:spacing w:line="575" w:lineRule="exact"/>
        <w:ind w:firstLine="643" w:firstLineChars="200"/>
        <w:rPr>
          <w:rFonts w:ascii="楷体_GB2312" w:hAnsi="仿宋" w:eastAsia="楷体_GB2312"/>
          <w:b/>
          <w:bCs/>
        </w:rPr>
      </w:pPr>
      <w:r>
        <w:rPr>
          <w:rFonts w:hint="eastAsia" w:ascii="楷体_GB2312" w:hAnsi="仿宋" w:eastAsia="楷体_GB2312" w:cs="楷体_GB2312"/>
          <w:b/>
          <w:bCs/>
        </w:rPr>
        <w:t>（二）机构情况</w:t>
      </w:r>
    </w:p>
    <w:p>
      <w:pPr>
        <w:spacing w:line="575" w:lineRule="exact"/>
        <w:ind w:firstLine="640" w:firstLineChars="200"/>
        <w:rPr>
          <w:rFonts w:ascii="仿宋_GB2312" w:hAnsi="楷体_GB2312"/>
          <w:b/>
          <w:bCs/>
        </w:rPr>
      </w:pPr>
      <w:r>
        <w:rPr>
          <w:rFonts w:hint="eastAsia" w:ascii="仿宋_GB2312" w:hAnsi="宋体" w:cs="仿宋_GB2312"/>
          <w:kern w:val="0"/>
        </w:rPr>
        <w:t>内设机构</w:t>
      </w:r>
      <w:r>
        <w:rPr>
          <w:rFonts w:ascii="仿宋_GB2312" w:cs="仿宋_GB2312"/>
          <w:kern w:val="0"/>
        </w:rPr>
        <w:t>3</w:t>
      </w:r>
      <w:r>
        <w:rPr>
          <w:rFonts w:hint="eastAsia" w:ascii="仿宋_GB2312" w:hAnsi="宋体" w:cs="仿宋_GB2312"/>
          <w:kern w:val="0"/>
        </w:rPr>
        <w:t>个，主要职责是：</w:t>
      </w:r>
    </w:p>
    <w:p>
      <w:pPr>
        <w:spacing w:line="575" w:lineRule="exact"/>
        <w:ind w:firstLine="640" w:firstLineChars="200"/>
        <w:rPr>
          <w:rFonts w:ascii="仿宋_GB2312"/>
        </w:rPr>
      </w:pPr>
      <w:r>
        <w:rPr>
          <w:rFonts w:ascii="仿宋_GB2312" w:hAnsi="楷体_GB2312" w:cs="仿宋_GB2312"/>
          <w:bCs/>
        </w:rPr>
        <w:t xml:space="preserve">1. </w:t>
      </w:r>
      <w:r>
        <w:rPr>
          <w:rFonts w:hint="eastAsia" w:ascii="仿宋_GB2312" w:hAnsi="楷体_GB2312" w:cs="仿宋_GB2312"/>
          <w:bCs/>
        </w:rPr>
        <w:t>综合股。</w:t>
      </w:r>
      <w:r>
        <w:rPr>
          <w:rFonts w:hint="eastAsia" w:ascii="仿宋_GB2312" w:cs="仿宋_GB2312"/>
        </w:rPr>
        <w:t>负责机关综合信息、文秘、宣传、档案、机要、文印、政工人事、综合治理、绩效考核、督办查办等工作；综合协调人大代表建议和政协委员提案办理工作。</w:t>
      </w:r>
    </w:p>
    <w:p>
      <w:pPr>
        <w:spacing w:line="575" w:lineRule="exact"/>
        <w:ind w:firstLine="640" w:firstLineChars="200"/>
        <w:rPr>
          <w:rFonts w:ascii="仿宋_GB2312"/>
        </w:rPr>
      </w:pPr>
      <w:r>
        <w:rPr>
          <w:rFonts w:ascii="仿宋_GB2312" w:hAnsi="楷体_GB2312" w:cs="仿宋_GB2312"/>
          <w:bCs/>
        </w:rPr>
        <w:t xml:space="preserve">2. </w:t>
      </w:r>
      <w:r>
        <w:rPr>
          <w:rFonts w:hint="eastAsia" w:ascii="仿宋_GB2312" w:hAnsi="楷体_GB2312" w:cs="仿宋_GB2312"/>
          <w:bCs/>
        </w:rPr>
        <w:t>财务股。</w:t>
      </w:r>
      <w:r>
        <w:rPr>
          <w:rFonts w:hint="eastAsia" w:ascii="仿宋_GB2312" w:cs="仿宋_GB2312"/>
        </w:rPr>
        <w:t>负责机关财务管理、会计核算、资产管理、内部审计等工作，提供财务分析与评估。</w:t>
      </w:r>
      <w:r>
        <w:rPr>
          <w:rFonts w:ascii="仿宋_GB2312"/>
        </w:rPr>
        <w:t xml:space="preserve"> </w:t>
      </w:r>
    </w:p>
    <w:p>
      <w:pPr>
        <w:spacing w:line="575" w:lineRule="exact"/>
        <w:ind w:firstLine="627" w:firstLineChars="196"/>
        <w:rPr>
          <w:rFonts w:ascii="仿宋_GB2312"/>
        </w:rPr>
      </w:pPr>
      <w:r>
        <w:rPr>
          <w:rFonts w:ascii="仿宋_GB2312" w:hAnsi="楷体_GB2312" w:cs="仿宋_GB2312"/>
          <w:bCs/>
        </w:rPr>
        <w:t xml:space="preserve">3. </w:t>
      </w:r>
      <w:r>
        <w:rPr>
          <w:rFonts w:hint="eastAsia" w:ascii="仿宋_GB2312" w:hAnsi="楷体_GB2312" w:cs="仿宋_GB2312"/>
          <w:bCs/>
        </w:rPr>
        <w:t>工程股。</w:t>
      </w:r>
      <w:r>
        <w:rPr>
          <w:rFonts w:hint="eastAsia" w:ascii="仿宋_GB2312" w:cs="仿宋_GB2312"/>
        </w:rPr>
        <w:t>负责全区安置房规划建设及招投标、现场施工、质量、安全、造价、维修维护与物业管理，协助安置房销售、分配，城区农村安置房综合协调和管理等工作。</w:t>
      </w:r>
    </w:p>
    <w:p>
      <w:pPr>
        <w:spacing w:line="575" w:lineRule="exact"/>
        <w:ind w:firstLine="627" w:firstLineChars="196"/>
        <w:rPr>
          <w:rFonts w:ascii="仿宋_GB2312" w:hAnsi="楷体_GB2312"/>
          <w:b/>
          <w:bCs/>
        </w:rPr>
      </w:pPr>
      <w:r>
        <w:rPr>
          <w:rFonts w:hint="eastAsia" w:ascii="仿宋_GB2312" w:hAnsi="楷体_GB2312" w:cs="仿宋_GB2312"/>
        </w:rPr>
        <w:t>所属事业单位3个，主要职责是：</w:t>
      </w:r>
      <w:r>
        <w:rPr>
          <w:rFonts w:ascii="仿宋_GB2312" w:hAnsi="楷体_GB2312"/>
          <w:b/>
          <w:bCs/>
        </w:rPr>
        <w:t xml:space="preserve"> </w:t>
      </w:r>
    </w:p>
    <w:p>
      <w:pPr>
        <w:spacing w:line="575" w:lineRule="exact"/>
        <w:ind w:firstLine="640"/>
        <w:rPr>
          <w:rFonts w:ascii="仿宋_GB2312"/>
        </w:rPr>
      </w:pPr>
      <w:r>
        <w:rPr>
          <w:rFonts w:ascii="仿宋_GB2312" w:cs="仿宋_GB2312"/>
          <w:bCs/>
        </w:rPr>
        <w:t xml:space="preserve">1. </w:t>
      </w:r>
      <w:r>
        <w:rPr>
          <w:rFonts w:hint="eastAsia" w:ascii="仿宋_GB2312" w:cs="仿宋_GB2312"/>
          <w:bCs/>
        </w:rPr>
        <w:t>益阳市资阳区国有土地上房屋征收与补偿事务所</w:t>
      </w:r>
      <w:r>
        <w:rPr>
          <w:rFonts w:hint="eastAsia" w:ascii="仿宋_GB2312" w:cs="仿宋_GB2312"/>
        </w:rPr>
        <w:t>。负责全区国有土地上房屋征收与补偿的具体工作。</w:t>
      </w:r>
    </w:p>
    <w:p>
      <w:pPr>
        <w:spacing w:line="575" w:lineRule="exact"/>
        <w:ind w:firstLine="640" w:firstLineChars="200"/>
        <w:rPr>
          <w:rFonts w:ascii="仿宋_GB2312"/>
        </w:rPr>
      </w:pPr>
      <w:r>
        <w:rPr>
          <w:rFonts w:ascii="仿宋_GB2312" w:cs="仿宋_GB2312"/>
          <w:bCs/>
        </w:rPr>
        <w:t xml:space="preserve">2. </w:t>
      </w:r>
      <w:r>
        <w:rPr>
          <w:rFonts w:hint="eastAsia" w:ascii="仿宋_GB2312" w:cs="仿宋_GB2312"/>
          <w:bCs/>
        </w:rPr>
        <w:t>益阳市资阳区征地拆迁事务所。</w:t>
      </w:r>
      <w:r>
        <w:rPr>
          <w:rFonts w:hint="eastAsia" w:ascii="仿宋_GB2312" w:cs="仿宋_GB2312"/>
        </w:rPr>
        <w:t>负责全区集体土地上土地征收与房屋拆迁安置等事务性工作。</w:t>
      </w:r>
    </w:p>
    <w:p>
      <w:pPr>
        <w:spacing w:line="575" w:lineRule="exact"/>
        <w:ind w:firstLine="640"/>
        <w:rPr>
          <w:rFonts w:ascii="仿宋_GB2312"/>
        </w:rPr>
      </w:pPr>
      <w:r>
        <w:rPr>
          <w:rFonts w:ascii="仿宋_GB2312" w:cs="仿宋_GB2312"/>
          <w:bCs/>
        </w:rPr>
        <w:t xml:space="preserve">3. </w:t>
      </w:r>
      <w:r>
        <w:rPr>
          <w:rFonts w:hint="eastAsia" w:ascii="仿宋_GB2312" w:cs="仿宋_GB2312"/>
          <w:bCs/>
        </w:rPr>
        <w:t>益阳市资阳区安置房建设管理站。</w:t>
      </w:r>
      <w:r>
        <w:rPr>
          <w:rFonts w:hint="eastAsia" w:ascii="仿宋_GB2312" w:cs="仿宋_GB2312"/>
        </w:rPr>
        <w:t>负责全区国有土地上房屋征收与补偿中的安置房建设、管理工作。</w:t>
      </w:r>
    </w:p>
    <w:p>
      <w:pPr>
        <w:snapToGrid w:val="0"/>
        <w:spacing w:line="575" w:lineRule="exact"/>
        <w:ind w:firstLine="643" w:firstLineChars="200"/>
        <w:rPr>
          <w:rFonts w:ascii="楷体_GB2312" w:hAnsi="仿宋" w:eastAsia="楷体_GB2312"/>
          <w:b/>
          <w:bCs/>
        </w:rPr>
      </w:pPr>
      <w:r>
        <w:rPr>
          <w:rFonts w:hint="eastAsia" w:ascii="楷体_GB2312" w:hAnsi="仿宋" w:eastAsia="楷体_GB2312" w:cs="楷体_GB2312"/>
          <w:b/>
          <w:bCs/>
        </w:rPr>
        <w:t>（三）人员情况</w:t>
      </w:r>
    </w:p>
    <w:p>
      <w:pPr>
        <w:widowControl/>
        <w:shd w:val="clear" w:color="auto" w:fill="FFFFFF"/>
        <w:spacing w:line="575" w:lineRule="exact"/>
        <w:ind w:firstLine="640" w:firstLineChars="200"/>
        <w:rPr>
          <w:rFonts w:ascii="仿宋_GB2312" w:hAnsi="宋体"/>
          <w:kern w:val="0"/>
        </w:rPr>
      </w:pPr>
      <w:r>
        <w:rPr>
          <w:rFonts w:hint="eastAsia" w:ascii="仿宋_GB2312" w:hAnsi="宋体" w:cs="仿宋_GB2312"/>
          <w:kern w:val="0"/>
        </w:rPr>
        <w:t>根据编委核定，实际编制</w:t>
      </w:r>
      <w:r>
        <w:rPr>
          <w:rFonts w:ascii="仿宋_GB2312" w:hAnsi="宋体" w:cs="仿宋_GB2312"/>
          <w:kern w:val="0"/>
        </w:rPr>
        <w:t>15</w:t>
      </w:r>
      <w:r>
        <w:rPr>
          <w:rFonts w:hint="eastAsia" w:ascii="仿宋_GB2312" w:hAnsi="宋体" w:cs="仿宋_GB2312"/>
          <w:kern w:val="0"/>
        </w:rPr>
        <w:t>个，本年末我单位在编全额拨款事业编制人员</w:t>
      </w:r>
      <w:r>
        <w:rPr>
          <w:rFonts w:ascii="仿宋_GB2312" w:hAnsi="宋体" w:cs="仿宋_GB2312"/>
          <w:kern w:val="0"/>
        </w:rPr>
        <w:t>10</w:t>
      </w:r>
      <w:r>
        <w:rPr>
          <w:rFonts w:hint="eastAsia" w:ascii="仿宋_GB2312" w:hAnsi="宋体" w:cs="仿宋_GB2312"/>
          <w:kern w:val="0"/>
        </w:rPr>
        <w:t>人，差额拨款人员</w:t>
      </w:r>
      <w:r>
        <w:rPr>
          <w:rFonts w:ascii="仿宋_GB2312" w:hAnsi="宋体" w:cs="仿宋_GB2312"/>
          <w:kern w:val="0"/>
        </w:rPr>
        <w:t>5</w:t>
      </w:r>
      <w:r>
        <w:rPr>
          <w:rFonts w:hint="eastAsia" w:ascii="仿宋_GB2312" w:hAnsi="宋体" w:cs="仿宋_GB2312"/>
          <w:kern w:val="0"/>
        </w:rPr>
        <w:t>人。</w:t>
      </w:r>
    </w:p>
    <w:p>
      <w:pPr>
        <w:widowControl/>
        <w:spacing w:line="575" w:lineRule="exact"/>
        <w:ind w:firstLine="640" w:firstLineChars="200"/>
        <w:rPr>
          <w:rFonts w:ascii="黑体" w:hAnsi="Times New Roman" w:eastAsia="黑体"/>
        </w:rPr>
      </w:pPr>
      <w:r>
        <w:rPr>
          <w:rFonts w:hint="eastAsia" w:ascii="黑体" w:hAnsi="Times New Roman" w:eastAsia="黑体" w:cs="黑体"/>
        </w:rPr>
        <w:t>二、一般公共预算支出情况</w:t>
      </w:r>
    </w:p>
    <w:p>
      <w:pPr>
        <w:spacing w:line="575" w:lineRule="exact"/>
        <w:ind w:firstLine="643" w:firstLineChars="200"/>
        <w:rPr>
          <w:rFonts w:ascii="楷体_GB2312" w:hAnsi="Times New Roman" w:eastAsia="楷体_GB2312"/>
          <w:b/>
          <w:bCs/>
        </w:rPr>
      </w:pPr>
      <w:r>
        <w:rPr>
          <w:rFonts w:hint="eastAsia" w:ascii="楷体_GB2312" w:hAnsi="Times New Roman" w:eastAsia="楷体_GB2312" w:cs="楷体_GB2312"/>
          <w:b/>
          <w:bCs/>
        </w:rPr>
        <w:t>（一）基本支出情况</w:t>
      </w:r>
    </w:p>
    <w:p>
      <w:pPr>
        <w:spacing w:line="575" w:lineRule="exact"/>
        <w:ind w:firstLine="640" w:firstLineChars="200"/>
        <w:rPr>
          <w:rFonts w:ascii="仿宋_GB2312" w:hAnsi="Times New Roman"/>
        </w:rPr>
      </w:pPr>
      <w:r>
        <w:rPr>
          <w:rFonts w:hint="eastAsia" w:ascii="仿宋_GB2312" w:hAnsi="仿宋" w:cs="仿宋_GB2312"/>
        </w:rPr>
        <w:t>一般公共预算财政拨款基本支出</w:t>
      </w:r>
      <w:r>
        <w:rPr>
          <w:rFonts w:ascii="仿宋_GB2312" w:hAnsi="仿宋" w:cs="仿宋_GB2312"/>
        </w:rPr>
        <w:t>151.68</w:t>
      </w:r>
      <w:r>
        <w:rPr>
          <w:rFonts w:hint="eastAsia" w:ascii="仿宋_GB2312" w:hAnsi="仿宋" w:cs="仿宋_GB2312"/>
        </w:rPr>
        <w:t>万元。其中人员经费支出</w:t>
      </w:r>
      <w:r>
        <w:rPr>
          <w:rFonts w:ascii="仿宋_GB2312" w:hAnsi="仿宋" w:cs="仿宋_GB2312"/>
        </w:rPr>
        <w:t>137.36</w:t>
      </w:r>
      <w:r>
        <w:rPr>
          <w:rFonts w:hint="eastAsia" w:ascii="仿宋_GB2312" w:hAnsi="仿宋" w:cs="仿宋_GB2312"/>
        </w:rPr>
        <w:t>万元，主要包括：工资福利支出</w:t>
      </w:r>
      <w:r>
        <w:rPr>
          <w:rFonts w:ascii="仿宋_GB2312" w:hAnsi="仿宋" w:cs="仿宋_GB2312"/>
        </w:rPr>
        <w:t>136.8</w:t>
      </w:r>
      <w:r>
        <w:rPr>
          <w:rFonts w:hint="eastAsia" w:ascii="仿宋_GB2312" w:hAnsi="仿宋" w:cs="仿宋_GB2312"/>
        </w:rPr>
        <w:t>万元，其他对个人和家庭的补助支出</w:t>
      </w:r>
      <w:r>
        <w:rPr>
          <w:rFonts w:ascii="仿宋_GB2312" w:hAnsi="仿宋" w:cs="仿宋_GB2312"/>
        </w:rPr>
        <w:t>0.56</w:t>
      </w:r>
      <w:r>
        <w:rPr>
          <w:rFonts w:hint="eastAsia" w:ascii="仿宋_GB2312" w:hAnsi="仿宋" w:cs="仿宋_GB2312"/>
        </w:rPr>
        <w:t>万元，主要用于单位人员基本工资、津贴补贴、绩效工资、奖金、机关事业单位养老保险金缴费、职业年金缴费、</w:t>
      </w:r>
      <w:r>
        <w:rPr>
          <w:rFonts w:hint="eastAsia" w:ascii="仿宋_GB2312" w:hAnsi="宋体" w:cs="仿宋_GB2312"/>
        </w:rPr>
        <w:t>医疗保险缴费、其他社会保障缴费、其他工资福利支出、住房公积金、其他对个人和家庭的补助支出等</w:t>
      </w:r>
      <w:r>
        <w:rPr>
          <w:rFonts w:hint="eastAsia" w:ascii="仿宋_GB2312" w:hAnsi="仿宋" w:cs="仿宋_GB2312"/>
        </w:rPr>
        <w:t>；日常公用经费支出14.32万元，主要用于单位办公费、印刷费、水电费、邮电费、维护维修费、工会经费、其他交通费等，办公设备购置支出</w:t>
      </w:r>
      <w:r>
        <w:rPr>
          <w:rFonts w:ascii="仿宋_GB2312" w:hAnsi="仿宋" w:cs="仿宋_GB2312"/>
        </w:rPr>
        <w:t>2.54</w:t>
      </w:r>
      <w:r>
        <w:rPr>
          <w:rFonts w:hint="eastAsia" w:ascii="仿宋_GB2312" w:hAnsi="仿宋" w:cs="仿宋_GB2312"/>
        </w:rPr>
        <w:t>万元。</w:t>
      </w:r>
    </w:p>
    <w:p>
      <w:pPr>
        <w:spacing w:line="575" w:lineRule="exact"/>
        <w:ind w:firstLine="643" w:firstLineChars="200"/>
        <w:jc w:val="left"/>
        <w:rPr>
          <w:rFonts w:ascii="楷体_GB2312" w:hAnsi="Times New Roman" w:eastAsia="楷体_GB2312" w:cs="楷体_GB2312"/>
          <w:b/>
          <w:bCs/>
        </w:rPr>
      </w:pPr>
      <w:r>
        <w:rPr>
          <w:rFonts w:hint="eastAsia" w:ascii="楷体_GB2312" w:hAnsi="Times New Roman" w:eastAsia="楷体_GB2312" w:cs="楷体_GB2312"/>
          <w:b/>
          <w:bCs/>
        </w:rPr>
        <w:t>（二）项目支出情况</w:t>
      </w:r>
      <w:r>
        <w:rPr>
          <w:rFonts w:ascii="楷体_GB2312" w:hAnsi="Times New Roman" w:eastAsia="楷体_GB2312" w:cs="楷体_GB2312"/>
          <w:b/>
          <w:bCs/>
        </w:rPr>
        <w:t xml:space="preserve"> </w:t>
      </w:r>
    </w:p>
    <w:p>
      <w:pPr>
        <w:spacing w:line="575" w:lineRule="exact"/>
        <w:ind w:firstLine="640" w:firstLineChars="200"/>
        <w:jc w:val="left"/>
        <w:rPr>
          <w:rFonts w:ascii="仿宋_GB2312" w:hAnsi="仿宋"/>
        </w:rPr>
      </w:pPr>
      <w:r>
        <w:rPr>
          <w:rFonts w:hint="eastAsia" w:ascii="仿宋_GB2312" w:hAnsi="仿宋" w:cs="仿宋_GB2312"/>
        </w:rPr>
        <w:t>一般公共预算财政拨款项目支出工作经费</w:t>
      </w:r>
      <w:r>
        <w:rPr>
          <w:rFonts w:ascii="仿宋_GB2312" w:hAnsi="仿宋" w:cs="仿宋_GB2312"/>
        </w:rPr>
        <w:t>10.18</w:t>
      </w:r>
      <w:r>
        <w:rPr>
          <w:rFonts w:hint="eastAsia" w:ascii="仿宋_GB2312" w:hAnsi="仿宋" w:cs="仿宋_GB2312"/>
        </w:rPr>
        <w:t>万元。其中，办公费、印刷费、维护费用等</w:t>
      </w:r>
      <w:r>
        <w:rPr>
          <w:rFonts w:ascii="仿宋_GB2312" w:hAnsi="仿宋" w:cs="仿宋_GB2312"/>
        </w:rPr>
        <w:t>7.36</w:t>
      </w:r>
      <w:r>
        <w:rPr>
          <w:rFonts w:hint="eastAsia" w:ascii="仿宋_GB2312" w:hAnsi="仿宋" w:cs="仿宋_GB2312"/>
        </w:rPr>
        <w:t>万元，办公设备购置</w:t>
      </w:r>
      <w:r>
        <w:rPr>
          <w:rFonts w:ascii="仿宋_GB2312" w:hAnsi="仿宋" w:cs="仿宋_GB2312"/>
        </w:rPr>
        <w:t>2.82</w:t>
      </w:r>
      <w:r>
        <w:rPr>
          <w:rFonts w:hint="eastAsia" w:ascii="仿宋_GB2312" w:hAnsi="仿宋" w:cs="仿宋_GB2312"/>
        </w:rPr>
        <w:t>万元。</w:t>
      </w:r>
    </w:p>
    <w:p>
      <w:pPr>
        <w:widowControl/>
        <w:spacing w:line="575" w:lineRule="exact"/>
        <w:ind w:firstLine="640" w:firstLineChars="200"/>
        <w:jc w:val="left"/>
        <w:rPr>
          <w:rFonts w:ascii="黑体" w:hAnsi="Times New Roman" w:eastAsia="黑体"/>
        </w:rPr>
      </w:pPr>
      <w:r>
        <w:rPr>
          <w:rFonts w:hint="eastAsia" w:ascii="黑体" w:hAnsi="Times New Roman" w:eastAsia="黑体" w:cs="黑体"/>
        </w:rPr>
        <w:t>三、政府性基金预算支出情况</w:t>
      </w:r>
    </w:p>
    <w:p>
      <w:pPr>
        <w:widowControl/>
        <w:spacing w:line="575" w:lineRule="exact"/>
        <w:ind w:firstLine="640" w:firstLineChars="200"/>
      </w:pPr>
      <w:r>
        <w:rPr>
          <w:rFonts w:ascii="仿宋_GB2312" w:hAnsi="仿宋" w:cs="仿宋_GB2312"/>
        </w:rPr>
        <w:t>2022</w:t>
      </w:r>
      <w:r>
        <w:rPr>
          <w:rFonts w:hint="eastAsia" w:ascii="仿宋_GB2312" w:hAnsi="仿宋" w:cs="仿宋_GB2312"/>
        </w:rPr>
        <w:t>年度政府性基金预算财政拨款收入总计</w:t>
      </w:r>
      <w:r>
        <w:rPr>
          <w:rFonts w:ascii="仿宋_GB2312" w:hAnsi="仿宋" w:cs="仿宋_GB2312"/>
        </w:rPr>
        <w:t>87</w:t>
      </w:r>
      <w:r>
        <w:rPr>
          <w:rFonts w:hint="eastAsia" w:ascii="仿宋_GB2312" w:hAnsi="仿宋" w:cs="仿宋_GB2312"/>
        </w:rPr>
        <w:t>万元，政府性基金预算财政拨款支出总计</w:t>
      </w:r>
      <w:r>
        <w:rPr>
          <w:rFonts w:ascii="仿宋_GB2312" w:hAnsi="仿宋" w:cs="仿宋_GB2312"/>
        </w:rPr>
        <w:t>87</w:t>
      </w:r>
      <w:r>
        <w:rPr>
          <w:rFonts w:hint="eastAsia" w:ascii="仿宋_GB2312" w:hAnsi="仿宋" w:cs="仿宋_GB2312"/>
        </w:rPr>
        <w:t>万元。全部用于征地拆迁补偿工作经费支出，</w:t>
      </w:r>
      <w:r>
        <w:rPr>
          <w:rFonts w:hint="eastAsia" w:cs="仿宋_GB2312"/>
        </w:rPr>
        <w:t>无结余无浪费行为，无挤占挪用或套取资金等现象。</w:t>
      </w:r>
    </w:p>
    <w:p>
      <w:pPr>
        <w:widowControl/>
        <w:spacing w:line="575" w:lineRule="exact"/>
        <w:ind w:firstLine="640" w:firstLineChars="200"/>
        <w:jc w:val="left"/>
        <w:rPr>
          <w:rFonts w:ascii="Times New Roman" w:hAnsi="Times New Roman" w:eastAsia="黑体"/>
        </w:rPr>
      </w:pPr>
      <w:r>
        <w:rPr>
          <w:rFonts w:hint="eastAsia" w:ascii="Times New Roman" w:hAnsi="Times New Roman" w:eastAsia="黑体" w:cs="黑体"/>
        </w:rPr>
        <w:t>四、国有资本经营预算支出情况</w:t>
      </w:r>
    </w:p>
    <w:p>
      <w:pPr>
        <w:widowControl/>
        <w:spacing w:line="575" w:lineRule="exact"/>
        <w:ind w:firstLine="664" w:firstLineChars="200"/>
        <w:jc w:val="left"/>
        <w:rPr>
          <w:rFonts w:ascii="仿宋_GB2312" w:hAnsi="Times New Roman"/>
          <w:spacing w:val="6"/>
        </w:rPr>
      </w:pPr>
      <w:r>
        <w:rPr>
          <w:rFonts w:ascii="仿宋_GB2312" w:hAnsi="Times New Roman" w:cs="仿宋_GB2312"/>
          <w:spacing w:val="6"/>
        </w:rPr>
        <w:t>2022</w:t>
      </w:r>
      <w:r>
        <w:rPr>
          <w:rFonts w:hint="eastAsia" w:ascii="仿宋_GB2312" w:hAnsi="Times New Roman" w:cs="仿宋_GB2312"/>
          <w:spacing w:val="6"/>
        </w:rPr>
        <w:t>年度无国有资本经营预算收入和国有资本经营预算支出。</w:t>
      </w:r>
    </w:p>
    <w:p>
      <w:pPr>
        <w:widowControl/>
        <w:spacing w:line="575" w:lineRule="exact"/>
        <w:ind w:firstLine="640" w:firstLineChars="200"/>
        <w:jc w:val="left"/>
        <w:rPr>
          <w:rFonts w:ascii="Times New Roman" w:hAnsi="Times New Roman" w:eastAsia="黑体"/>
        </w:rPr>
      </w:pPr>
      <w:r>
        <w:rPr>
          <w:rFonts w:hint="eastAsia" w:ascii="Times New Roman" w:hAnsi="Times New Roman" w:eastAsia="黑体" w:cs="黑体"/>
        </w:rPr>
        <w:t>五、社会保险基金预算支出情况</w:t>
      </w:r>
    </w:p>
    <w:p>
      <w:pPr>
        <w:widowControl/>
        <w:spacing w:line="575" w:lineRule="exact"/>
        <w:ind w:firstLine="664" w:firstLineChars="200"/>
        <w:jc w:val="left"/>
        <w:rPr>
          <w:rFonts w:ascii="仿宋_GB2312" w:hAnsi="Times New Roman"/>
          <w:spacing w:val="6"/>
        </w:rPr>
      </w:pPr>
      <w:r>
        <w:rPr>
          <w:rFonts w:ascii="仿宋_GB2312" w:hAnsi="Times New Roman" w:cs="仿宋_GB2312"/>
          <w:spacing w:val="6"/>
        </w:rPr>
        <w:t>2022</w:t>
      </w:r>
      <w:r>
        <w:rPr>
          <w:rFonts w:hint="eastAsia" w:ascii="仿宋_GB2312" w:hAnsi="Times New Roman" w:cs="仿宋_GB2312"/>
          <w:spacing w:val="6"/>
        </w:rPr>
        <w:t>年度无社会保险基金预算收入和社会保险基金预算支出。</w:t>
      </w:r>
    </w:p>
    <w:p>
      <w:pPr>
        <w:widowControl/>
        <w:spacing w:line="575" w:lineRule="exact"/>
        <w:ind w:firstLine="645"/>
        <w:jc w:val="left"/>
        <w:rPr>
          <w:rFonts w:ascii="黑体" w:hAnsi="Times New Roman" w:eastAsia="黑体"/>
        </w:rPr>
      </w:pPr>
      <w:r>
        <w:rPr>
          <w:rFonts w:hint="eastAsia" w:ascii="黑体" w:eastAsia="黑体" w:cs="黑体"/>
        </w:rPr>
        <w:t>六</w:t>
      </w:r>
      <w:r>
        <w:rPr>
          <w:rFonts w:hint="eastAsia" w:ascii="黑体" w:hAnsi="Times New Roman" w:eastAsia="黑体" w:cs="黑体"/>
        </w:rPr>
        <w:t>、部门整体支出绩效情况</w:t>
      </w:r>
    </w:p>
    <w:p>
      <w:pPr>
        <w:spacing w:line="575" w:lineRule="exact"/>
        <w:ind w:firstLine="643" w:firstLineChars="200"/>
        <w:rPr>
          <w:rFonts w:ascii="楷体_GB2312" w:hAnsi="Times New Roman" w:eastAsia="楷体_GB2312"/>
          <w:b/>
          <w:bCs/>
        </w:rPr>
      </w:pPr>
      <w:r>
        <w:rPr>
          <w:rFonts w:hint="eastAsia" w:ascii="楷体_GB2312" w:hAnsi="Times New Roman" w:eastAsia="楷体_GB2312" w:cs="楷体_GB2312"/>
          <w:b/>
          <w:bCs/>
        </w:rPr>
        <w:t>（一）年度总体工作思路和工作重点</w:t>
      </w:r>
    </w:p>
    <w:p>
      <w:pPr>
        <w:spacing w:line="575" w:lineRule="exact"/>
        <w:ind w:firstLine="640" w:firstLineChars="200"/>
        <w:rPr>
          <w:rFonts w:ascii="仿宋_GB2312"/>
        </w:rPr>
      </w:pPr>
      <w:r>
        <w:rPr>
          <w:rFonts w:hint="eastAsia" w:ascii="仿宋_GB2312" w:cs="仿宋_GB2312"/>
        </w:rPr>
        <w:t>紧紧围绕区委、区政府各项重大决策部署，以政治建设为统领，</w:t>
      </w:r>
      <w:r>
        <w:rPr>
          <w:rFonts w:hint="eastAsia" w:ascii="仿宋_GB2312" w:hAnsi="仿宋" w:cs="仿宋_GB2312"/>
        </w:rPr>
        <w:t>全面</w:t>
      </w:r>
      <w:r>
        <w:rPr>
          <w:rFonts w:hint="eastAsia" w:ascii="仿宋_GB2312" w:cs="仿宋_GB2312"/>
        </w:rPr>
        <w:t>加强党的建设，</w:t>
      </w:r>
      <w:r>
        <w:rPr>
          <w:rFonts w:hint="eastAsia" w:ascii="仿宋_GB2312" w:hAnsi="仿宋" w:cs="仿宋_GB2312"/>
        </w:rPr>
        <w:t>贯彻</w:t>
      </w:r>
      <w:r>
        <w:rPr>
          <w:rFonts w:hint="eastAsia" w:ascii="仿宋_GB2312" w:cs="仿宋_GB2312"/>
        </w:rPr>
        <w:t>落实从严治党主体责任，全力推进各项工作开展，做到“精准征拆，阳光征拆”，即精准征拆范围、精准征拆程序、精准征拆补偿标准、精准征拆扫尾清零，征拆全过程做到“公平、公正、公开”，为打造中国</w:t>
      </w:r>
      <w:r>
        <w:rPr>
          <w:rFonts w:ascii="仿宋_GB2312" w:cs="仿宋_GB2312"/>
        </w:rPr>
        <w:t>PCB</w:t>
      </w:r>
      <w:r>
        <w:rPr>
          <w:rFonts w:hint="eastAsia" w:ascii="仿宋_GB2312" w:cs="仿宋_GB2312"/>
        </w:rPr>
        <w:t>“第三极”，建设幸福新资阳贡献力量。</w:t>
      </w:r>
    </w:p>
    <w:p>
      <w:pPr>
        <w:pStyle w:val="4"/>
        <w:spacing w:before="0" w:beforeAutospacing="0" w:after="0" w:line="575" w:lineRule="exact"/>
        <w:ind w:firstLine="482" w:firstLineChars="150"/>
        <w:rPr>
          <w:rFonts w:ascii="楷体_GB2312" w:hAnsi="楷体" w:eastAsia="楷体_GB2312"/>
          <w:b/>
          <w:bCs/>
          <w:sz w:val="32"/>
          <w:szCs w:val="32"/>
        </w:rPr>
      </w:pPr>
      <w:r>
        <w:rPr>
          <w:rFonts w:hint="eastAsia" w:ascii="楷体_GB2312" w:hAnsi="楷体" w:eastAsia="楷体_GB2312" w:cs="楷体_GB2312"/>
          <w:b/>
          <w:bCs/>
          <w:sz w:val="32"/>
          <w:szCs w:val="32"/>
        </w:rPr>
        <w:t>（二）绩效目标完成情况</w:t>
      </w:r>
    </w:p>
    <w:p>
      <w:pPr>
        <w:spacing w:line="575" w:lineRule="exact"/>
        <w:ind w:firstLine="643" w:firstLineChars="200"/>
        <w:rPr>
          <w:rFonts w:ascii="仿宋_GB2312"/>
        </w:rPr>
      </w:pPr>
      <w:r>
        <w:rPr>
          <w:rFonts w:ascii="仿宋_GB2312" w:hAnsi="楷体" w:cs="仿宋_GB2312"/>
          <w:b/>
          <w:bCs/>
        </w:rPr>
        <w:t xml:space="preserve">1. </w:t>
      </w:r>
      <w:r>
        <w:rPr>
          <w:rFonts w:hint="eastAsia" w:ascii="仿宋_GB2312" w:hAnsi="楷体" w:cs="仿宋_GB2312"/>
          <w:b/>
          <w:bCs/>
        </w:rPr>
        <w:t>国有土地上房屋征收工作。</w:t>
      </w:r>
      <w:r>
        <w:rPr>
          <w:rFonts w:hint="eastAsia" w:ascii="仿宋_GB2312" w:cs="仿宋_GB2312"/>
          <w:b/>
          <w:bCs/>
        </w:rPr>
        <w:t>一是全力推进攻坚扫尾。</w:t>
      </w:r>
      <w:r>
        <w:rPr>
          <w:rFonts w:hint="eastAsia" w:ascii="仿宋_GB2312" w:cs="仿宋_GB2312"/>
        </w:rPr>
        <w:t>根据区委区政府安排部署，</w:t>
      </w:r>
      <w:r>
        <w:rPr>
          <w:rFonts w:ascii="仿宋_GB2312" w:cs="仿宋_GB2312"/>
        </w:rPr>
        <w:t>2022</w:t>
      </w:r>
      <w:r>
        <w:rPr>
          <w:rFonts w:hint="eastAsia" w:ascii="仿宋_GB2312" w:cs="仿宋_GB2312"/>
        </w:rPr>
        <w:t>年征拆工作重点是对继转项目进行攻坚扫尾。在区棚改指挥部和各项目指挥部的具体指导下，区征补办与各征拆责任单位及法院等相关部门单位积极对接，想办法，谋出路，全面完善司法强制搬迁前置程序，全力推进资江风貌带、金花湖东路及东片区各地块等项目征拆扫尾工作。通过努力，各项目征拆任务基本完成。</w:t>
      </w:r>
      <w:r>
        <w:rPr>
          <w:rFonts w:hint="eastAsia" w:ascii="仿宋_GB2312" w:cs="仿宋_GB2312"/>
          <w:b/>
          <w:bCs/>
        </w:rPr>
        <w:t>二是积极配合土地收储。</w:t>
      </w:r>
      <w:r>
        <w:rPr>
          <w:rFonts w:hint="eastAsia" w:ascii="仿宋_GB2312" w:cs="仿宋_GB2312"/>
        </w:rPr>
        <w:t>对明清古城片</w:t>
      </w:r>
      <w:r>
        <w:rPr>
          <w:rFonts w:hint="eastAsia" w:ascii="仿宋_GB2312" w:hAnsi="仿宋" w:cs="仿宋_GB2312"/>
        </w:rPr>
        <w:t>区</w:t>
      </w:r>
      <w:r>
        <w:rPr>
          <w:rFonts w:ascii="仿宋_GB2312" w:hAnsi="仿宋" w:cs="仿宋_GB2312"/>
        </w:rPr>
        <w:t>14</w:t>
      </w:r>
      <w:r>
        <w:rPr>
          <w:rFonts w:hint="eastAsia" w:ascii="仿宋_GB2312" w:hAnsi="仿宋" w:cs="仿宋_GB2312"/>
        </w:rPr>
        <w:t>号地、</w:t>
      </w:r>
      <w:r>
        <w:rPr>
          <w:rFonts w:ascii="仿宋_GB2312" w:hAnsi="仿宋" w:cs="仿宋_GB2312"/>
        </w:rPr>
        <w:t>17</w:t>
      </w:r>
      <w:r>
        <w:rPr>
          <w:rFonts w:hint="eastAsia" w:ascii="仿宋_GB2312" w:hAnsi="仿宋" w:cs="仿宋_GB2312"/>
        </w:rPr>
        <w:t>号地、</w:t>
      </w:r>
      <w:r>
        <w:rPr>
          <w:rFonts w:ascii="仿宋_GB2312" w:hAnsi="仿宋" w:cs="仿宋_GB2312"/>
        </w:rPr>
        <w:t>18</w:t>
      </w:r>
      <w:r>
        <w:rPr>
          <w:rFonts w:hint="eastAsia" w:ascii="仿宋_GB2312" w:hAnsi="仿宋" w:cs="仿宋_GB2312"/>
        </w:rPr>
        <w:t>号地和东片区</w:t>
      </w:r>
      <w:r>
        <w:rPr>
          <w:rFonts w:ascii="仿宋_GB2312" w:hAnsi="仿宋" w:cs="仿宋_GB2312"/>
        </w:rPr>
        <w:t>2</w:t>
      </w:r>
      <w:r>
        <w:rPr>
          <w:rFonts w:hint="eastAsia" w:ascii="仿宋_GB2312" w:hAnsi="仿宋" w:cs="仿宋_GB2312"/>
        </w:rPr>
        <w:t>号地、</w:t>
      </w:r>
      <w:r>
        <w:rPr>
          <w:rFonts w:ascii="仿宋_GB2312" w:hAnsi="仿宋" w:cs="仿宋_GB2312"/>
        </w:rPr>
        <w:t>3</w:t>
      </w:r>
      <w:r>
        <w:rPr>
          <w:rFonts w:hint="eastAsia" w:ascii="仿宋_GB2312" w:hAnsi="仿宋" w:cs="仿宋_GB2312"/>
        </w:rPr>
        <w:t>号地及金花湖东</w:t>
      </w:r>
      <w:r>
        <w:rPr>
          <w:rFonts w:hint="eastAsia" w:ascii="仿宋_GB2312" w:cs="仿宋_GB2312"/>
        </w:rPr>
        <w:t>路、新兴街二期等棚改项目征拆资料进行全面清理，主动与市不动产中心、区发展集团等单位对接，及时注销被征收房屋权证，配合做好征收范围内的土地收储工作。</w:t>
      </w:r>
      <w:r>
        <w:rPr>
          <w:rFonts w:hint="eastAsia" w:ascii="仿宋_GB2312" w:cs="仿宋_GB2312"/>
          <w:b/>
          <w:bCs/>
        </w:rPr>
        <w:t>三是积极开展协调服务。</w:t>
      </w:r>
      <w:r>
        <w:rPr>
          <w:rFonts w:hint="eastAsia" w:ascii="仿宋_GB2312" w:cs="仿宋_GB2312"/>
        </w:rPr>
        <w:t>为各项目责任单位在房屋测绘、确权评估等方面做好协调服务与业务指导；协调电力、电信、移动、燃气、自来水等部门及时对被拆除房屋周围的杆线、管道等进行拆移，确保房屋拆除工作安全顺利进行。</w:t>
      </w:r>
      <w:r>
        <w:rPr>
          <w:rFonts w:hint="eastAsia" w:ascii="仿宋_GB2312" w:cs="仿宋_GB2312"/>
          <w:b/>
          <w:bCs/>
        </w:rPr>
        <w:t>四是</w:t>
      </w:r>
      <w:r>
        <w:rPr>
          <w:rFonts w:hint="eastAsia" w:ascii="仿宋_GB2312" w:cs="仿宋_GB2312"/>
        </w:rPr>
        <w:t>积极高效</w:t>
      </w:r>
      <w:r>
        <w:rPr>
          <w:rFonts w:hint="eastAsia" w:ascii="仿宋_GB2312" w:hAnsi="仿宋_GB2312" w:cs="仿宋_GB2312"/>
        </w:rPr>
        <w:t>主动应诉。对被征收人提起的行政诉讼案件，我办高度重视，积极与相关部门对接，整理完善证据资料，积极应诉，确保征拆项目依法推进。</w:t>
      </w:r>
    </w:p>
    <w:p>
      <w:pPr>
        <w:spacing w:line="575" w:lineRule="exact"/>
        <w:ind w:firstLine="643" w:firstLineChars="200"/>
        <w:rPr>
          <w:rFonts w:ascii="仿宋_GB2312" w:hAnsi="仿宋"/>
        </w:rPr>
      </w:pPr>
      <w:r>
        <w:rPr>
          <w:rFonts w:ascii="仿宋_GB2312" w:hAnsi="楷体" w:cs="仿宋_GB2312"/>
          <w:b/>
          <w:bCs/>
        </w:rPr>
        <w:t xml:space="preserve">2. </w:t>
      </w:r>
      <w:r>
        <w:rPr>
          <w:rFonts w:hint="eastAsia" w:ascii="仿宋_GB2312" w:hAnsi="楷体" w:cs="仿宋_GB2312"/>
          <w:b/>
          <w:bCs/>
        </w:rPr>
        <w:t>集体土地征拆工作。</w:t>
      </w:r>
      <w:r>
        <w:rPr>
          <w:rFonts w:ascii="仿宋_GB2312" w:hAnsi="仿宋_GB2312" w:cs="仿宋_GB2312"/>
        </w:rPr>
        <w:t>2022</w:t>
      </w:r>
      <w:r>
        <w:rPr>
          <w:rFonts w:hint="eastAsia" w:ascii="仿宋_GB2312" w:hAnsi="仿宋_GB2312" w:cs="仿宋_GB2312"/>
        </w:rPr>
        <w:t>年我办参与实施的集体土地征拆项目</w:t>
      </w:r>
      <w:r>
        <w:rPr>
          <w:rFonts w:ascii="仿宋_GB2312" w:hAnsi="仿宋" w:cs="仿宋_GB2312"/>
        </w:rPr>
        <w:t>7</w:t>
      </w:r>
      <w:r>
        <w:rPr>
          <w:rFonts w:hint="eastAsia" w:ascii="仿宋_GB2312" w:hAnsi="仿宋" w:cs="仿宋_GB2312"/>
        </w:rPr>
        <w:t>个，工作任务重，时间要求紧，面临困难多，全体干职工能主动作为，迎难而上，积极应对，各项工作有序开展，配合完成征地两千余亩，签订房屋拆迁补偿协议三百余户，</w:t>
      </w:r>
      <w:r>
        <w:rPr>
          <w:rFonts w:hint="eastAsia" w:ascii="仿宋_GB2312" w:hAnsi="仿宋" w:cs="仿宋_GB2312"/>
          <w:b/>
          <w:bCs/>
        </w:rPr>
        <w:t>一是全力推进长春经开区产业项目。</w:t>
      </w:r>
      <w:r>
        <w:rPr>
          <w:rFonts w:ascii="仿宋_GB2312" w:hAnsi="仿宋" w:cs="仿宋_GB2312"/>
        </w:rPr>
        <w:t>8</w:t>
      </w:r>
      <w:r>
        <w:rPr>
          <w:rFonts w:hint="eastAsia" w:ascii="仿宋_GB2312" w:hAnsi="仿宋" w:cs="仿宋_GB2312"/>
        </w:rPr>
        <w:t>月区委区政府明确长春经开区除工业项目外的其他征拆项目，由我办全面负责被拆迁房屋的签约拆除和青苗补偿等工作，</w:t>
      </w:r>
      <w:r>
        <w:rPr>
          <w:rFonts w:ascii="仿宋_GB2312" w:hAnsi="仿宋" w:cs="仿宋_GB2312"/>
        </w:rPr>
        <w:t>8</w:t>
      </w:r>
      <w:r>
        <w:rPr>
          <w:rFonts w:hint="eastAsia" w:ascii="仿宋_GB2312" w:hAnsi="仿宋" w:cs="仿宋_GB2312"/>
        </w:rPr>
        <w:t>月</w:t>
      </w:r>
      <w:r>
        <w:rPr>
          <w:rFonts w:ascii="仿宋_GB2312" w:hAnsi="仿宋" w:cs="仿宋_GB2312"/>
        </w:rPr>
        <w:t>15</w:t>
      </w:r>
      <w:r>
        <w:rPr>
          <w:rFonts w:hint="eastAsia" w:ascii="仿宋_GB2312" w:hAnsi="仿宋" w:cs="仿宋_GB2312"/>
        </w:rPr>
        <w:t>日建材产业园、南丰储备用地及天成市场地下商铺</w:t>
      </w:r>
      <w:r>
        <w:rPr>
          <w:rFonts w:ascii="仿宋_GB2312" w:hAnsi="仿宋" w:cs="仿宋_GB2312"/>
        </w:rPr>
        <w:t>3</w:t>
      </w:r>
      <w:r>
        <w:rPr>
          <w:rFonts w:hint="eastAsia" w:ascii="仿宋_GB2312" w:hAnsi="仿宋" w:cs="仿宋_GB2312"/>
        </w:rPr>
        <w:t>个项目正式移交我办后，全办干职工提高政</w:t>
      </w:r>
      <w:r>
        <w:rPr>
          <w:rFonts w:hint="eastAsia" w:ascii="仿宋_GB2312" w:hAnsi="仿宋" w:cs="仿宋_GB2312"/>
          <w:lang w:val="en-US" w:eastAsia="zh-CN"/>
        </w:rPr>
        <w:t>治</w:t>
      </w:r>
      <w:bookmarkStart w:id="0" w:name="_GoBack"/>
      <w:bookmarkEnd w:id="0"/>
      <w:r>
        <w:rPr>
          <w:rFonts w:hint="eastAsia" w:ascii="仿宋_GB2312" w:hAnsi="仿宋" w:cs="仿宋_GB2312"/>
        </w:rPr>
        <w:t>站位，克服人员少，项目点多面广等困难，积极迅速行动，发扬“五加二”“白加黑”的征拆精神，一线参与拆迁协谈，按区里安排除天成市场地下商铺暂未启动外，另外两个项目取得了显著成绩。建材产业园项目在一个月内全面完成房屋签约并拆除，南丰储备用地项目基本完成，正在强力推进征拆扫尾。</w:t>
      </w:r>
      <w:r>
        <w:rPr>
          <w:rFonts w:hint="eastAsia" w:ascii="仿宋_GB2312" w:hAnsi="仿宋" w:cs="仿宋_GB2312"/>
          <w:b/>
          <w:bCs/>
        </w:rPr>
        <w:t>二是积极参与乡镇重点项目征拆。</w:t>
      </w:r>
      <w:r>
        <w:rPr>
          <w:rFonts w:hint="eastAsia" w:ascii="仿宋_GB2312" w:hAnsi="仿宋" w:cs="仿宋_GB2312"/>
        </w:rPr>
        <w:t>完成</w:t>
      </w:r>
      <w:r>
        <w:rPr>
          <w:rFonts w:ascii="仿宋_GB2312" w:hAnsi="仿宋" w:cs="仿宋_GB2312"/>
        </w:rPr>
        <w:t>5</w:t>
      </w:r>
      <w:r>
        <w:rPr>
          <w:rFonts w:hint="eastAsia" w:ascii="仿宋_GB2312" w:hAnsi="仿宋" w:cs="仿宋_GB2312"/>
        </w:rPr>
        <w:t>个重点项目房屋丈量、青苗及地上附着物调查，并制作预算书。其中沙头镇文兴村沙石集散中心、益阳劳动科技职业技术学校项目、益气加油站项目征拆任务现已全面完成；益常高速复线项目房屋拆迁完成率</w:t>
      </w:r>
      <w:r>
        <w:rPr>
          <w:rFonts w:ascii="仿宋_GB2312" w:hAnsi="仿宋" w:cs="仿宋_GB2312"/>
        </w:rPr>
        <w:t>99.7%</w:t>
      </w:r>
      <w:r>
        <w:rPr>
          <w:rFonts w:hint="eastAsia" w:ascii="仿宋_GB2312" w:hAnsi="仿宋" w:cs="仿宋_GB2312"/>
        </w:rPr>
        <w:t>；新桥河镇板岩矿项目，完成了房屋丈量登记及青苗和地上附着物调查，并制作预算书，按要求完成了阶段任务。</w:t>
      </w:r>
      <w:r>
        <w:rPr>
          <w:rFonts w:hint="eastAsia" w:ascii="仿宋_GB2312" w:hAnsi="仿宋" w:cs="仿宋_GB2312"/>
          <w:b/>
          <w:bCs/>
        </w:rPr>
        <w:t>三是全面提升干职工业务水平。</w:t>
      </w:r>
      <w:r>
        <w:rPr>
          <w:rFonts w:hint="eastAsia" w:ascii="仿宋_GB2312" w:hAnsi="仿宋" w:cs="仿宋_GB2312"/>
        </w:rPr>
        <w:t>在推进征拆工作的同时，积极组织干职工深入学习土地管理法及实施条例、征地补偿标准等相关政策法规，积极探索新的安置办法，积极参与市集体土地征收与房屋拆迁补偿安置办法的修订等，干职工业务水平得到较大程度的提升。</w:t>
      </w:r>
    </w:p>
    <w:p>
      <w:pPr>
        <w:snapToGrid w:val="0"/>
        <w:spacing w:line="575" w:lineRule="exact"/>
        <w:ind w:firstLine="643" w:firstLineChars="200"/>
        <w:rPr>
          <w:rFonts w:ascii="仿宋_GB2312" w:hAnsi="仿宋"/>
          <w:b/>
          <w:bCs/>
        </w:rPr>
      </w:pPr>
      <w:r>
        <w:rPr>
          <w:rFonts w:ascii="仿宋_GB2312" w:hAnsi="楷体" w:cs="仿宋_GB2312"/>
          <w:b/>
          <w:bCs/>
        </w:rPr>
        <w:t xml:space="preserve">3. </w:t>
      </w:r>
      <w:r>
        <w:rPr>
          <w:rFonts w:hint="eastAsia" w:ascii="仿宋_GB2312" w:hAnsi="楷体" w:cs="仿宋_GB2312"/>
          <w:b/>
          <w:bCs/>
        </w:rPr>
        <w:t>安置房维护管理工作。</w:t>
      </w:r>
      <w:r>
        <w:rPr>
          <w:rFonts w:hint="eastAsia" w:ascii="仿宋_GB2312" w:hAnsi="仿宋" w:cs="仿宋_GB2312"/>
          <w:b/>
          <w:bCs/>
        </w:rPr>
        <w:t>一是权证办理工作基本完成。</w:t>
      </w:r>
      <w:r>
        <w:rPr>
          <w:rFonts w:ascii="仿宋_GB2312" w:hAnsi="仿宋" w:cs="仿宋_GB2312"/>
        </w:rPr>
        <w:t>2007</w:t>
      </w:r>
      <w:r>
        <w:rPr>
          <w:rFonts w:hint="eastAsia" w:ascii="仿宋_GB2312" w:hAnsi="仿宋" w:cs="仿宋_GB2312"/>
        </w:rPr>
        <w:t>年以来，为配合资江防洪大堤、资江风貌带建设和棚户区改造拆迁安置工作，我区相继建设了和顺家园、和乐家园等</w:t>
      </w:r>
      <w:r>
        <w:rPr>
          <w:rFonts w:ascii="仿宋_GB2312" w:hAnsi="仿宋" w:cs="仿宋_GB2312"/>
        </w:rPr>
        <w:t>9</w:t>
      </w:r>
      <w:r>
        <w:rPr>
          <w:rFonts w:hint="eastAsia" w:ascii="仿宋_GB2312" w:hAnsi="仿宋" w:cs="仿宋_GB2312"/>
        </w:rPr>
        <w:t>个安置小区，共有房屋</w:t>
      </w:r>
      <w:r>
        <w:rPr>
          <w:rFonts w:ascii="仿宋_GB2312" w:hAnsi="仿宋" w:cs="仿宋_GB2312"/>
        </w:rPr>
        <w:t>13</w:t>
      </w:r>
      <w:r>
        <w:rPr>
          <w:rFonts w:hint="eastAsia" w:ascii="仿宋_GB2312" w:hAnsi="仿宋" w:cs="仿宋_GB2312"/>
        </w:rPr>
        <w:t>00余套，因报建、资料遗失等历史原因，各安置小区房屋无法办理产权证，形成不稳定因素。我办克服困难，经过几年的努力，目前办证工作已基本完成，</w:t>
      </w:r>
      <w:r>
        <w:rPr>
          <w:rFonts w:ascii="仿宋_GB2312" w:hAnsi="仿宋" w:cs="仿宋_GB2312"/>
        </w:rPr>
        <w:t>9</w:t>
      </w:r>
      <w:r>
        <w:rPr>
          <w:rFonts w:hint="eastAsia" w:ascii="仿宋_GB2312" w:hAnsi="仿宋" w:cs="仿宋_GB2312"/>
        </w:rPr>
        <w:t>个安置小区应办产权证</w:t>
      </w:r>
      <w:r>
        <w:rPr>
          <w:rFonts w:ascii="仿宋_GB2312" w:hAnsi="仿宋" w:cs="仿宋_GB2312"/>
        </w:rPr>
        <w:t>1283</w:t>
      </w:r>
      <w:r>
        <w:rPr>
          <w:rFonts w:hint="eastAsia" w:ascii="仿宋_GB2312" w:hAnsi="仿宋" w:cs="仿宋_GB2312"/>
        </w:rPr>
        <w:t>本，现已办证</w:t>
      </w:r>
      <w:r>
        <w:rPr>
          <w:rFonts w:ascii="仿宋_GB2312" w:hAnsi="仿宋" w:cs="仿宋_GB2312"/>
        </w:rPr>
        <w:t>1212</w:t>
      </w:r>
      <w:r>
        <w:rPr>
          <w:rFonts w:hint="eastAsia" w:ascii="仿宋_GB2312" w:hAnsi="仿宋" w:cs="仿宋_GB2312"/>
        </w:rPr>
        <w:t>本，除区公房管理所房屋暂不办证及少数住户因住户自身原因暂未办证外，其余已全部办理到位。</w:t>
      </w:r>
      <w:r>
        <w:rPr>
          <w:rFonts w:hint="eastAsia" w:ascii="仿宋_GB2312" w:hAnsi="仿宋" w:cs="仿宋_GB2312"/>
          <w:b/>
          <w:bCs/>
        </w:rPr>
        <w:t>二是强化安置小区维护管理。</w:t>
      </w:r>
      <w:r>
        <w:rPr>
          <w:rFonts w:hint="eastAsia" w:ascii="仿宋_GB2312" w:hAnsi="仿宋" w:cs="仿宋_GB2312"/>
        </w:rPr>
        <w:t>组织工作人员对安置小区进行了安全隐患排查，并张贴了“防火、防盗”宣传标语及垃圾分类和严禁烟花爆竹燃放的宣传栏；配合社区做好了小区疫情防控宣传和值守工作；根据小区实际情况，做好了各小区的维修与维护</w:t>
      </w:r>
      <w:r>
        <w:rPr>
          <w:rFonts w:hint="eastAsia" w:ascii="仿宋_GB2312" w:cs="仿宋_GB2312"/>
        </w:rPr>
        <w:t>工作</w:t>
      </w:r>
      <w:r>
        <w:rPr>
          <w:rFonts w:hint="eastAsia" w:ascii="仿宋_GB2312" w:hAnsi="仿宋" w:cs="仿宋_GB2312"/>
        </w:rPr>
        <w:t>，对原李昌港建筑公司家属楼电力线路进行了整改，消除了安全隐患，保障了小区居民的生活秩序；做好了安置小区群众的信访接待工作，维护了小区和谐稳定。</w:t>
      </w:r>
    </w:p>
    <w:p>
      <w:pPr>
        <w:widowControl/>
        <w:spacing w:line="575" w:lineRule="exact"/>
        <w:ind w:firstLine="640" w:firstLineChars="200"/>
        <w:jc w:val="left"/>
        <w:rPr>
          <w:rFonts w:ascii="黑体" w:hAnsi="Times New Roman" w:eastAsia="黑体"/>
        </w:rPr>
      </w:pPr>
      <w:r>
        <w:rPr>
          <w:rFonts w:hint="eastAsia" w:ascii="黑体" w:hAnsi="Times New Roman" w:eastAsia="黑体" w:cs="黑体"/>
        </w:rPr>
        <w:t>七、存在的问题及原因分析</w:t>
      </w:r>
    </w:p>
    <w:p>
      <w:pPr>
        <w:widowControl/>
        <w:spacing w:line="575" w:lineRule="exact"/>
        <w:ind w:firstLine="640" w:firstLineChars="200"/>
        <w:rPr>
          <w:rFonts w:ascii="黑体" w:hAnsi="Times New Roman" w:eastAsia="黑体"/>
        </w:rPr>
      </w:pPr>
      <w:r>
        <w:rPr>
          <w:rFonts w:ascii="仿宋_GB2312" w:hAnsi="Times New Roman" w:cs="仿宋_GB2312"/>
        </w:rPr>
        <w:t xml:space="preserve">1. </w:t>
      </w:r>
      <w:r>
        <w:rPr>
          <w:rFonts w:hint="eastAsia" w:ascii="仿宋_GB2312" w:hAnsi="Times New Roman" w:cs="仿宋_GB2312"/>
        </w:rPr>
        <w:t>年初在预算编制时，部分项目编制不够精准、全面，执行存在有调整。</w:t>
      </w:r>
      <w:r>
        <w:rPr>
          <w:rFonts w:ascii="仿宋_GB2312" w:hAnsi="Times New Roman" w:cs="仿宋_GB2312"/>
        </w:rPr>
        <w:t>2022</w:t>
      </w:r>
      <w:r>
        <w:rPr>
          <w:rFonts w:hint="eastAsia" w:ascii="仿宋_GB2312" w:hAnsi="Times New Roman" w:cs="仿宋_GB2312"/>
        </w:rPr>
        <w:t>年度一般公共预算财政拨款预算为</w:t>
      </w:r>
      <w:r>
        <w:rPr>
          <w:rFonts w:ascii="仿宋_GB2312" w:hAnsi="Times New Roman" w:cs="仿宋_GB2312"/>
        </w:rPr>
        <w:t>124.78</w:t>
      </w:r>
      <w:r>
        <w:rPr>
          <w:rFonts w:hint="eastAsia" w:ascii="仿宋_GB2312" w:hAnsi="Times New Roman" w:cs="仿宋_GB2312"/>
        </w:rPr>
        <w:t>万元，一般公共预算财政拨款决算为</w:t>
      </w:r>
      <w:r>
        <w:rPr>
          <w:rFonts w:ascii="仿宋_GB2312" w:hAnsi="Times New Roman" w:cs="仿宋_GB2312"/>
        </w:rPr>
        <w:t>161.85</w:t>
      </w:r>
      <w:r>
        <w:rPr>
          <w:rFonts w:hint="eastAsia" w:ascii="仿宋_GB2312" w:hAnsi="Times New Roman" w:cs="仿宋_GB2312"/>
        </w:rPr>
        <w:t>万元，差异率</w:t>
      </w:r>
      <w:r>
        <w:rPr>
          <w:rFonts w:ascii="仿宋_GB2312" w:hAnsi="Times New Roman" w:cs="仿宋_GB2312"/>
        </w:rPr>
        <w:t>29.71%</w:t>
      </w:r>
      <w:r>
        <w:rPr>
          <w:rFonts w:hint="eastAsia" w:ascii="仿宋_GB2312" w:hAnsi="Times New Roman" w:cs="仿宋_GB2312"/>
        </w:rPr>
        <w:t>，主要原因是增加了绩效考核奖励、人员增资及工作经费增加。</w:t>
      </w:r>
    </w:p>
    <w:p>
      <w:pPr>
        <w:widowControl/>
        <w:spacing w:line="575" w:lineRule="exact"/>
        <w:ind w:firstLine="640" w:firstLineChars="200"/>
        <w:rPr>
          <w:rFonts w:hint="eastAsia" w:ascii="仿宋_GB2312" w:hAnsi="Times New Roman" w:cs="仿宋_GB2312"/>
        </w:rPr>
      </w:pPr>
      <w:r>
        <w:rPr>
          <w:rFonts w:hint="eastAsia" w:ascii="仿宋_GB2312" w:hAnsi="Times New Roman" w:cs="仿宋_GB2312"/>
        </w:rPr>
        <w:t>2.由于个别被拆迁户房屋征拆难度大，个别项目尚未扫尾清零。</w:t>
      </w:r>
    </w:p>
    <w:p>
      <w:pPr>
        <w:widowControl/>
        <w:spacing w:line="575" w:lineRule="exact"/>
        <w:ind w:firstLine="640" w:firstLineChars="200"/>
        <w:rPr>
          <w:rFonts w:hint="eastAsia" w:ascii="仿宋_GB2312" w:hAnsi="Times New Roman" w:cs="仿宋_GB2312"/>
        </w:rPr>
      </w:pPr>
      <w:r>
        <w:rPr>
          <w:rFonts w:hint="eastAsia" w:ascii="仿宋_GB2312" w:hAnsi="Times New Roman" w:cs="仿宋_GB2312"/>
        </w:rPr>
        <w:t>3</w:t>
      </w:r>
      <w:r>
        <w:rPr>
          <w:rFonts w:ascii="仿宋_GB2312" w:hAnsi="Times New Roman" w:cs="仿宋_GB2312"/>
        </w:rPr>
        <w:t>.</w:t>
      </w:r>
      <w:r>
        <w:rPr>
          <w:rFonts w:hint="eastAsia" w:ascii="仿宋_GB2312" w:hAnsi="Times New Roman" w:cs="仿宋_GB2312"/>
        </w:rPr>
        <w:t>征地拆迁工作项目每年增加，一般公共预算财政拨款经费较少，为实现拆迁和安置工作的有效衔接，推动拆迁安置工作的有序推进，建议财政增加经费拨款。</w:t>
      </w:r>
    </w:p>
    <w:p>
      <w:pPr>
        <w:widowControl/>
        <w:tabs>
          <w:tab w:val="center" w:pos="4474"/>
        </w:tabs>
        <w:spacing w:line="575" w:lineRule="exact"/>
        <w:ind w:firstLine="640" w:firstLineChars="200"/>
        <w:jc w:val="left"/>
        <w:rPr>
          <w:rFonts w:ascii="仿宋_GB2312" w:hAnsi="仿宋"/>
          <w:b/>
          <w:bCs/>
        </w:rPr>
      </w:pPr>
      <w:r>
        <w:rPr>
          <w:rFonts w:hint="eastAsia" w:ascii="黑体" w:hAnsi="仿宋" w:eastAsia="黑体" w:cs="黑体"/>
        </w:rPr>
        <w:t>八、下一步改进措施</w:t>
      </w:r>
    </w:p>
    <w:p>
      <w:pPr>
        <w:widowControl/>
        <w:shd w:val="clear" w:color="auto" w:fill="FFFFFF"/>
        <w:spacing w:line="575" w:lineRule="exact"/>
        <w:ind w:firstLine="630" w:firstLineChars="196"/>
        <w:jc w:val="left"/>
        <w:rPr>
          <w:rFonts w:ascii="楷体_GB2312" w:hAnsi="仿宋" w:eastAsia="楷体_GB2312"/>
          <w:b/>
          <w:bCs/>
        </w:rPr>
      </w:pPr>
      <w:r>
        <w:rPr>
          <w:rFonts w:hint="eastAsia" w:ascii="楷体_GB2312" w:hAnsi="仿宋" w:eastAsia="楷体_GB2312" w:cs="楷体_GB2312"/>
          <w:b/>
          <w:bCs/>
        </w:rPr>
        <w:t>（一）细化预算编制工作，认真做好预算的编制。</w:t>
      </w:r>
    </w:p>
    <w:p>
      <w:pPr>
        <w:widowControl/>
        <w:shd w:val="clear" w:color="auto" w:fill="FFFFFF"/>
        <w:spacing w:line="575" w:lineRule="exact"/>
        <w:ind w:firstLine="627" w:firstLineChars="196"/>
        <w:rPr>
          <w:rFonts w:ascii="仿宋_GB2312" w:hAnsi="Times New Roman"/>
          <w:b/>
          <w:bCs/>
        </w:rPr>
      </w:pPr>
      <w:r>
        <w:rPr>
          <w:rFonts w:hint="eastAsia" w:ascii="仿宋_GB2312" w:hAnsi="仿宋" w:cs="仿宋_GB2312"/>
        </w:rPr>
        <w:t>进一步加强我办内部机构的预算管理意识，严格按照预算编制的相关制度和要求进行预算编制，</w:t>
      </w:r>
      <w:r>
        <w:rPr>
          <w:rFonts w:hint="eastAsia" w:ascii="仿宋_GB2312" w:hAnsi="Helvetica" w:cs="仿宋_GB2312"/>
        </w:rPr>
        <w:t>坚持先有预算、后有支出，没有预算不得支出</w:t>
      </w:r>
      <w:r>
        <w:rPr>
          <w:rFonts w:hint="eastAsia" w:ascii="仿宋_GB2312" w:hAnsi="仿宋" w:cs="仿宋_GB2312"/>
        </w:rPr>
        <w:t>；</w:t>
      </w:r>
      <w:r>
        <w:rPr>
          <w:rFonts w:hint="eastAsia" w:ascii="仿宋_GB2312" w:hAnsi="Helvetica" w:cs="仿宋_GB2312"/>
        </w:rPr>
        <w:t>预算编制前根据年度内单位可预见的工作任务，确定单位年度预算目标，细化预算指标，</w:t>
      </w:r>
      <w:r>
        <w:rPr>
          <w:rFonts w:hint="eastAsia" w:ascii="仿宋_GB2312" w:hAnsi="仿宋" w:cs="仿宋_GB2312"/>
        </w:rPr>
        <w:t>全面编制预算项目，优先保障固定性的、相对刚性的费用支出项目，尽量压缩变动性的、有控制空间的费用项目，进一步提高预算编制的科学性、严谨性和可控性，积极推进财政预算、财政决算公开，不断提高理财透明度。</w:t>
      </w:r>
      <w:r>
        <w:rPr>
          <w:rFonts w:hint="eastAsia" w:ascii="仿宋_GB2312" w:hAnsi="Helvetica" w:cs="仿宋_GB2312"/>
        </w:rPr>
        <w:t>根据实际情况，定期做好预算执行分析，掌握预算执行进度，及时找出预算实际执行情况与预算目标之间存在的差距，纠正偏差，为下一次科学、准确地编制部门预算积累经验。</w:t>
      </w:r>
      <w:r>
        <w:rPr>
          <w:rFonts w:ascii="仿宋_GB2312" w:hAnsi="仿宋" w:cs="仿宋_GB2312"/>
        </w:rPr>
        <w:t xml:space="preserve"> </w:t>
      </w:r>
    </w:p>
    <w:p>
      <w:pPr>
        <w:widowControl/>
        <w:shd w:val="clear" w:color="auto" w:fill="FFFFFF"/>
        <w:spacing w:line="575" w:lineRule="exact"/>
        <w:ind w:firstLine="643" w:firstLineChars="200"/>
        <w:jc w:val="left"/>
        <w:rPr>
          <w:rFonts w:ascii="楷体_GB2312" w:hAnsi="仿宋" w:eastAsia="楷体_GB2312"/>
          <w:b/>
          <w:bCs/>
        </w:rPr>
      </w:pPr>
      <w:r>
        <w:rPr>
          <w:rFonts w:hint="eastAsia" w:ascii="楷体_GB2312" w:hAnsi="仿宋" w:eastAsia="楷体_GB2312" w:cs="楷体_GB2312"/>
          <w:b/>
          <w:bCs/>
        </w:rPr>
        <w:t>（二）加强财务管理，严格财务审核。</w:t>
      </w:r>
    </w:p>
    <w:p>
      <w:pPr>
        <w:widowControl/>
        <w:shd w:val="clear" w:color="auto" w:fill="FFFFFF"/>
        <w:spacing w:line="575" w:lineRule="exact"/>
        <w:ind w:firstLine="640" w:firstLineChars="200"/>
        <w:rPr>
          <w:rFonts w:ascii="仿宋_GB2312" w:hAnsi="仿宋"/>
        </w:rPr>
      </w:pPr>
      <w:r>
        <w:rPr>
          <w:rFonts w:hint="eastAsia" w:ascii="仿宋_GB2312" w:hAnsi="仿宋" w:cs="仿宋_GB2312"/>
        </w:rPr>
        <w:t>在费用报账支付时，按照预算规定的费用项目和用途进行资金使用审核、列报支付、财务核算，杜绝超支现象的发生。</w:t>
      </w:r>
    </w:p>
    <w:p>
      <w:pPr>
        <w:widowControl/>
        <w:shd w:val="clear" w:color="auto" w:fill="FFFFFF"/>
        <w:spacing w:line="575" w:lineRule="exact"/>
        <w:ind w:firstLine="643" w:firstLineChars="200"/>
        <w:rPr>
          <w:rFonts w:ascii="楷体_GB2312" w:hAnsi="仿宋" w:eastAsia="楷体_GB2312"/>
          <w:b/>
          <w:bCs/>
        </w:rPr>
      </w:pPr>
      <w:r>
        <w:rPr>
          <w:rFonts w:hint="eastAsia" w:ascii="楷体_GB2312" w:hAnsi="仿宋" w:eastAsia="楷体_GB2312" w:cs="楷体_GB2312"/>
          <w:b/>
          <w:bCs/>
        </w:rPr>
        <w:t>（三）持续控制管理好“三公”经费。</w:t>
      </w:r>
    </w:p>
    <w:p>
      <w:pPr>
        <w:widowControl/>
        <w:shd w:val="clear" w:color="auto" w:fill="FFFFFF"/>
        <w:spacing w:line="575" w:lineRule="exact"/>
        <w:ind w:firstLine="640" w:firstLineChars="200"/>
        <w:rPr>
          <w:rFonts w:hint="eastAsia" w:ascii="仿宋_GB2312" w:hAnsi="仿宋" w:cs="仿宋_GB2312"/>
        </w:rPr>
      </w:pPr>
      <w:r>
        <w:rPr>
          <w:rFonts w:hint="eastAsia" w:ascii="仿宋_GB2312" w:hAnsi="仿宋" w:cs="仿宋_GB2312"/>
        </w:rPr>
        <w:t>严格控制“三公”经费的规模和比例，把关“三公”经费支出的审核、审批，杜绝挪用和挤占其他预算资金行为；进一步细化“三公”经费的管理，合理压缩“三公”经费支出。</w:t>
      </w:r>
    </w:p>
    <w:p>
      <w:pPr>
        <w:widowControl/>
        <w:shd w:val="clear" w:color="auto" w:fill="FFFFFF"/>
        <w:spacing w:line="575" w:lineRule="exact"/>
        <w:ind w:firstLine="643" w:firstLineChars="200"/>
        <w:rPr>
          <w:rFonts w:hint="eastAsia" w:ascii="楷体_GB2312" w:hAnsi="仿宋" w:eastAsia="楷体_GB2312" w:cs="楷体_GB2312"/>
          <w:b/>
          <w:bCs/>
        </w:rPr>
      </w:pPr>
      <w:r>
        <w:rPr>
          <w:rFonts w:hint="eastAsia" w:ascii="楷体_GB2312" w:hAnsi="仿宋" w:eastAsia="楷体_GB2312" w:cs="仿宋_GB2312"/>
          <w:b/>
        </w:rPr>
        <w:t>（四</w:t>
      </w:r>
      <w:r>
        <w:rPr>
          <w:rFonts w:hint="eastAsia" w:ascii="楷体_GB2312" w:hAnsi="仿宋" w:eastAsia="楷体_GB2312" w:cs="楷体_GB2312"/>
          <w:b/>
          <w:bCs/>
        </w:rPr>
        <w:t>）进一步加大协调征拆力度。</w:t>
      </w:r>
    </w:p>
    <w:p>
      <w:pPr>
        <w:widowControl/>
        <w:shd w:val="clear" w:color="auto" w:fill="FFFFFF"/>
        <w:spacing w:line="575" w:lineRule="exact"/>
        <w:ind w:firstLine="640" w:firstLineChars="200"/>
        <w:rPr>
          <w:rFonts w:hint="eastAsia" w:ascii="仿宋_GB2312" w:hAnsi="仿宋" w:cs="楷体_GB2312"/>
          <w:bCs/>
        </w:rPr>
      </w:pPr>
      <w:r>
        <w:rPr>
          <w:rFonts w:hint="eastAsia" w:ascii="仿宋_GB2312" w:hAnsi="仿宋" w:cs="楷体_GB2312"/>
          <w:bCs/>
        </w:rPr>
        <w:t>深入一线了解项目协调进度，准确把握难点问题，加强与各部门沟通，及时向相关指挥部汇报，协同指导。加强与相关职能部门及有协助拆迁工作任务的部门进行沟通，形成合力，提高攻坚效果。进一步统筹协调和业务指导，协助各实施单位尽快扫尾清零。</w:t>
      </w:r>
    </w:p>
    <w:p>
      <w:pPr>
        <w:widowControl/>
        <w:spacing w:line="575" w:lineRule="exact"/>
        <w:ind w:firstLine="640" w:firstLineChars="200"/>
        <w:rPr>
          <w:rFonts w:ascii="黑体" w:hAnsi="Times New Roman" w:eastAsia="黑体"/>
        </w:rPr>
      </w:pPr>
      <w:r>
        <w:rPr>
          <w:rFonts w:hint="eastAsia" w:ascii="黑体" w:hAnsi="Times New Roman" w:eastAsia="黑体" w:cs="黑体"/>
        </w:rPr>
        <w:t>九、部门整体支出</w:t>
      </w:r>
      <w:r>
        <w:rPr>
          <w:rFonts w:hint="eastAsia" w:ascii="黑体" w:eastAsia="黑体" w:cs="黑体"/>
        </w:rPr>
        <w:t>绩效自评结果应用及公开情况</w:t>
      </w:r>
    </w:p>
    <w:p>
      <w:pPr>
        <w:spacing w:line="575" w:lineRule="exact"/>
        <w:ind w:firstLine="645"/>
        <w:rPr>
          <w:rFonts w:ascii="仿宋_GB2312" w:hAnsi="仿宋"/>
        </w:rPr>
      </w:pPr>
      <w:r>
        <w:rPr>
          <w:rFonts w:hint="eastAsia" w:ascii="仿宋_GB2312" w:cs="仿宋_GB2312"/>
        </w:rPr>
        <w:t>通过此次绩效自评，</w:t>
      </w:r>
      <w:r>
        <w:rPr>
          <w:rFonts w:hint="eastAsia" w:ascii="仿宋_GB2312" w:hAnsi="仿宋" w:cs="仿宋_GB2312"/>
        </w:rPr>
        <w:t>全面分析和综合评价了我办财政预算资金的使用情况，</w:t>
      </w:r>
      <w:r>
        <w:rPr>
          <w:rFonts w:hint="eastAsia" w:ascii="仿宋_GB2312" w:cs="仿宋_GB2312"/>
        </w:rPr>
        <w:t>进一步掌握了资金使用管理和取得的成效，为</w:t>
      </w:r>
      <w:r>
        <w:rPr>
          <w:rFonts w:hint="eastAsia" w:ascii="仿宋_GB2312" w:hAnsi="仿宋" w:cs="仿宋_GB2312"/>
        </w:rPr>
        <w:t>严格落实《预算法》及省、市、区绩效管理工作的有关规定，切实提高财政资金使用效益，进一步规范财政资金管理，牢固树立预算绩效理念，强化部门支出责任，为</w:t>
      </w:r>
      <w:r>
        <w:rPr>
          <w:rFonts w:hint="eastAsia" w:ascii="仿宋_GB2312" w:hAnsi="宋体" w:cs="仿宋_GB2312"/>
        </w:rPr>
        <w:t>推动全区</w:t>
      </w:r>
      <w:r>
        <w:rPr>
          <w:rFonts w:hint="eastAsia" w:ascii="仿宋_GB2312" w:hAnsi="仿宋" w:cs="仿宋_GB2312"/>
        </w:rPr>
        <w:t>征拆工作的开展提供了重要的参考。</w:t>
      </w:r>
    </w:p>
    <w:p>
      <w:pPr>
        <w:spacing w:line="575" w:lineRule="exact"/>
        <w:ind w:firstLine="645"/>
        <w:rPr>
          <w:rFonts w:ascii="仿宋_GB2312"/>
        </w:rPr>
      </w:pPr>
      <w:r>
        <w:rPr>
          <w:rFonts w:hint="eastAsia" w:ascii="仿宋_GB2312" w:cs="仿宋_GB2312"/>
        </w:rPr>
        <w:t>此次绩效自评结果将在资阳公众信息网上全文向社会公开，接受群众监督。</w:t>
      </w:r>
    </w:p>
    <w:p>
      <w:pPr>
        <w:spacing w:line="575" w:lineRule="exact"/>
        <w:ind w:firstLine="645"/>
        <w:rPr>
          <w:rFonts w:ascii="黑体" w:eastAsia="黑体"/>
        </w:rPr>
      </w:pPr>
      <w:r>
        <w:rPr>
          <w:rFonts w:hint="eastAsia" w:ascii="黑体" w:eastAsia="黑体" w:cs="黑体"/>
        </w:rPr>
        <w:t>十、其他需要说明的情况</w:t>
      </w:r>
    </w:p>
    <w:p>
      <w:pPr>
        <w:spacing w:line="575" w:lineRule="exact"/>
        <w:ind w:firstLine="645"/>
        <w:rPr>
          <w:rFonts w:ascii="仿宋_GB2312"/>
        </w:rPr>
      </w:pPr>
      <w:r>
        <w:rPr>
          <w:rFonts w:hint="eastAsia" w:ascii="仿宋_GB2312" w:cs="仿宋_GB2312"/>
        </w:rPr>
        <w:t>无</w:t>
      </w:r>
    </w:p>
    <w:p>
      <w:pPr>
        <w:spacing w:line="575" w:lineRule="exact"/>
        <w:ind w:firstLine="645"/>
        <w:rPr>
          <w:rFonts w:ascii="仿宋_GB2312"/>
        </w:rPr>
      </w:pPr>
      <w:r>
        <w:rPr>
          <w:rFonts w:hint="eastAsia" w:ascii="仿宋_GB2312" w:cs="仿宋_GB2312"/>
        </w:rPr>
        <w:t>附件：</w:t>
      </w:r>
      <w:r>
        <w:rPr>
          <w:rFonts w:ascii="仿宋_GB2312" w:cs="仿宋_GB2312"/>
        </w:rPr>
        <w:t>1. 2022</w:t>
      </w:r>
      <w:r>
        <w:rPr>
          <w:rFonts w:hint="eastAsia" w:ascii="仿宋_GB2312" w:cs="仿宋_GB2312"/>
        </w:rPr>
        <w:t>年度整体支出绩效评价基础数据表</w:t>
      </w:r>
    </w:p>
    <w:p>
      <w:pPr>
        <w:spacing w:line="575" w:lineRule="exact"/>
        <w:ind w:firstLine="645"/>
        <w:rPr>
          <w:rFonts w:ascii="仿宋_GB2312"/>
        </w:rPr>
      </w:pPr>
      <w:r>
        <w:rPr>
          <w:rFonts w:ascii="仿宋_GB2312" w:cs="仿宋_GB2312"/>
        </w:rPr>
        <w:t xml:space="preserve">      2. 2022</w:t>
      </w:r>
      <w:r>
        <w:rPr>
          <w:rFonts w:hint="eastAsia" w:ascii="仿宋_GB2312" w:cs="仿宋_GB2312"/>
        </w:rPr>
        <w:t>年度整体支出绩效自评表</w:t>
      </w:r>
    </w:p>
    <w:p>
      <w:pPr>
        <w:widowControl/>
        <w:spacing w:line="560" w:lineRule="exact"/>
        <w:jc w:val="left"/>
        <w:rPr>
          <w:rFonts w:eastAsia="黑体"/>
        </w:rPr>
      </w:pPr>
      <w:r>
        <w:rPr>
          <w:rFonts w:hint="eastAsia" w:eastAsia="黑体" w:cs="黑体"/>
        </w:rPr>
        <w:t>附件</w:t>
      </w:r>
      <w:r>
        <w:rPr>
          <w:rFonts w:eastAsia="黑体"/>
        </w:rPr>
        <w:t>1</w:t>
      </w:r>
    </w:p>
    <w:p>
      <w:pPr>
        <w:spacing w:beforeLines="50" w:afterLines="50" w:line="560" w:lineRule="exact"/>
        <w:jc w:val="center"/>
        <w:rPr>
          <w:rFonts w:ascii="方正小标宋简体" w:eastAsia="方正小标宋简体"/>
          <w:kern w:val="0"/>
          <w:sz w:val="44"/>
          <w:szCs w:val="44"/>
        </w:rPr>
      </w:pPr>
      <w:r>
        <w:rPr>
          <w:rFonts w:ascii="方正小标宋简体" w:eastAsia="方正小标宋简体" w:cs="方正小标宋简体"/>
          <w:kern w:val="0"/>
          <w:sz w:val="44"/>
          <w:szCs w:val="44"/>
        </w:rPr>
        <w:t>2022</w:t>
      </w:r>
      <w:r>
        <w:rPr>
          <w:rFonts w:hint="eastAsia" w:ascii="方正小标宋简体" w:eastAsia="方正小标宋简体" w:cs="方正小标宋简体"/>
          <w:kern w:val="0"/>
          <w:sz w:val="44"/>
          <w:szCs w:val="44"/>
        </w:rPr>
        <w:t>年度部门整体支出绩效评价基础数据表</w:t>
      </w:r>
    </w:p>
    <w:tbl>
      <w:tblPr>
        <w:tblStyle w:val="6"/>
        <w:tblW w:w="8879" w:type="dxa"/>
        <w:tblInd w:w="-106" w:type="dxa"/>
        <w:tblLayout w:type="fixed"/>
        <w:tblCellMar>
          <w:top w:w="0" w:type="dxa"/>
          <w:left w:w="108" w:type="dxa"/>
          <w:bottom w:w="0" w:type="dxa"/>
          <w:right w:w="108" w:type="dxa"/>
        </w:tblCellMar>
      </w:tblPr>
      <w:tblGrid>
        <w:gridCol w:w="3214"/>
        <w:gridCol w:w="940"/>
        <w:gridCol w:w="897"/>
        <w:gridCol w:w="933"/>
        <w:gridCol w:w="959"/>
        <w:gridCol w:w="960"/>
        <w:gridCol w:w="976"/>
      </w:tblGrid>
      <w:tr>
        <w:tblPrEx>
          <w:tblCellMar>
            <w:top w:w="0" w:type="dxa"/>
            <w:left w:w="108" w:type="dxa"/>
            <w:bottom w:w="0" w:type="dxa"/>
            <w:right w:w="108" w:type="dxa"/>
          </w:tblCellMar>
        </w:tblPrEx>
        <w:trPr>
          <w:trHeight w:val="397" w:hRule="atLeast"/>
        </w:trPr>
        <w:tc>
          <w:tcPr>
            <w:tcW w:w="3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财政供养人员情况（人）</w:t>
            </w:r>
          </w:p>
        </w:tc>
        <w:tc>
          <w:tcPr>
            <w:tcW w:w="183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
                <w:bCs/>
                <w:kern w:val="0"/>
                <w:sz w:val="21"/>
                <w:szCs w:val="21"/>
              </w:rPr>
            </w:pPr>
            <w:r>
              <w:rPr>
                <w:rFonts w:hint="eastAsia" w:ascii="宋体" w:hAnsi="宋体" w:eastAsia="宋体" w:cs="宋体"/>
                <w:b/>
                <w:bCs/>
                <w:kern w:val="0"/>
                <w:sz w:val="21"/>
                <w:szCs w:val="21"/>
              </w:rPr>
              <w:t>编制数</w:t>
            </w:r>
          </w:p>
        </w:tc>
        <w:tc>
          <w:tcPr>
            <w:tcW w:w="189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
                <w:bCs/>
                <w:kern w:val="0"/>
                <w:sz w:val="21"/>
                <w:szCs w:val="21"/>
              </w:rPr>
            </w:pPr>
            <w:r>
              <w:rPr>
                <w:rFonts w:ascii="宋体" w:hAnsi="宋体" w:eastAsia="宋体" w:cs="宋体"/>
                <w:b/>
                <w:bCs/>
                <w:kern w:val="0"/>
                <w:sz w:val="21"/>
                <w:szCs w:val="21"/>
              </w:rPr>
              <w:t>2022</w:t>
            </w:r>
            <w:r>
              <w:rPr>
                <w:rFonts w:hint="eastAsia" w:ascii="宋体" w:hAnsi="宋体" w:eastAsia="宋体" w:cs="宋体"/>
                <w:b/>
                <w:bCs/>
                <w:kern w:val="0"/>
                <w:sz w:val="21"/>
                <w:szCs w:val="21"/>
              </w:rPr>
              <w:t>年实际</w:t>
            </w:r>
          </w:p>
          <w:p>
            <w:pPr>
              <w:widowControl/>
              <w:jc w:val="center"/>
              <w:rPr>
                <w:rFonts w:ascii="宋体" w:hAnsi="宋体" w:eastAsia="宋体"/>
                <w:b/>
                <w:bCs/>
                <w:kern w:val="0"/>
                <w:sz w:val="21"/>
                <w:szCs w:val="21"/>
              </w:rPr>
            </w:pPr>
            <w:r>
              <w:rPr>
                <w:rFonts w:hint="eastAsia" w:ascii="宋体" w:hAnsi="宋体" w:eastAsia="宋体" w:cs="宋体"/>
                <w:b/>
                <w:bCs/>
                <w:kern w:val="0"/>
                <w:sz w:val="21"/>
                <w:szCs w:val="21"/>
              </w:rPr>
              <w:t>在职人数</w:t>
            </w:r>
          </w:p>
        </w:tc>
        <w:tc>
          <w:tcPr>
            <w:tcW w:w="193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
                <w:bCs/>
                <w:kern w:val="0"/>
                <w:sz w:val="21"/>
                <w:szCs w:val="21"/>
              </w:rPr>
            </w:pPr>
            <w:r>
              <w:rPr>
                <w:rFonts w:hint="eastAsia" w:ascii="宋体" w:hAnsi="宋体" w:eastAsia="宋体" w:cs="宋体"/>
                <w:b/>
                <w:bCs/>
                <w:kern w:val="0"/>
                <w:sz w:val="21"/>
                <w:szCs w:val="21"/>
              </w:rPr>
              <w:t>控制率</w:t>
            </w:r>
          </w:p>
        </w:tc>
      </w:tr>
      <w:tr>
        <w:tblPrEx>
          <w:tblCellMar>
            <w:top w:w="0" w:type="dxa"/>
            <w:left w:w="108" w:type="dxa"/>
            <w:bottom w:w="0" w:type="dxa"/>
            <w:right w:w="108" w:type="dxa"/>
          </w:tblCellMar>
        </w:tblPrEx>
        <w:trPr>
          <w:trHeight w:val="505" w:hRule="atLeast"/>
        </w:trPr>
        <w:tc>
          <w:tcPr>
            <w:tcW w:w="3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p>
        </w:tc>
        <w:tc>
          <w:tcPr>
            <w:tcW w:w="183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15</w:t>
            </w:r>
          </w:p>
        </w:tc>
        <w:tc>
          <w:tcPr>
            <w:tcW w:w="189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15</w:t>
            </w:r>
          </w:p>
        </w:tc>
        <w:tc>
          <w:tcPr>
            <w:tcW w:w="193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100%</w:t>
            </w:r>
          </w:p>
        </w:tc>
      </w:tr>
      <w:tr>
        <w:tblPrEx>
          <w:tblCellMar>
            <w:top w:w="0" w:type="dxa"/>
            <w:left w:w="108" w:type="dxa"/>
            <w:bottom w:w="0" w:type="dxa"/>
            <w:right w:w="108" w:type="dxa"/>
          </w:tblCellMar>
        </w:tblPrEx>
        <w:trPr>
          <w:trHeight w:val="397" w:hRule="atLeast"/>
        </w:trPr>
        <w:tc>
          <w:tcPr>
            <w:tcW w:w="321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经费控制情况（万元）</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b/>
                <w:bCs/>
                <w:kern w:val="0"/>
                <w:sz w:val="21"/>
                <w:szCs w:val="21"/>
              </w:rPr>
            </w:pPr>
            <w:r>
              <w:rPr>
                <w:rFonts w:ascii="宋体" w:hAnsi="宋体" w:eastAsia="宋体" w:cs="宋体"/>
                <w:b/>
                <w:bCs/>
                <w:kern w:val="0"/>
                <w:sz w:val="21"/>
                <w:szCs w:val="21"/>
              </w:rPr>
              <w:t>2021</w:t>
            </w:r>
            <w:r>
              <w:rPr>
                <w:rFonts w:hint="eastAsia" w:ascii="宋体" w:hAnsi="宋体" w:eastAsia="宋体" w:cs="宋体"/>
                <w:b/>
                <w:bCs/>
                <w:kern w:val="0"/>
                <w:sz w:val="21"/>
                <w:szCs w:val="21"/>
              </w:rPr>
              <w:t>年决算数</w:t>
            </w:r>
          </w:p>
        </w:tc>
        <w:tc>
          <w:tcPr>
            <w:tcW w:w="189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b/>
                <w:bCs/>
                <w:kern w:val="0"/>
                <w:sz w:val="21"/>
                <w:szCs w:val="21"/>
              </w:rPr>
            </w:pPr>
            <w:r>
              <w:rPr>
                <w:rFonts w:ascii="宋体" w:hAnsi="宋体" w:eastAsia="宋体" w:cs="宋体"/>
                <w:b/>
                <w:bCs/>
                <w:kern w:val="0"/>
                <w:sz w:val="21"/>
                <w:szCs w:val="21"/>
              </w:rPr>
              <w:t>2022</w:t>
            </w:r>
            <w:r>
              <w:rPr>
                <w:rFonts w:hint="eastAsia" w:ascii="宋体" w:hAnsi="宋体" w:eastAsia="宋体" w:cs="宋体"/>
                <w:b/>
                <w:bCs/>
                <w:kern w:val="0"/>
                <w:sz w:val="21"/>
                <w:szCs w:val="21"/>
              </w:rPr>
              <w:t>年预算数</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b/>
                <w:bCs/>
                <w:kern w:val="0"/>
                <w:sz w:val="21"/>
                <w:szCs w:val="21"/>
              </w:rPr>
            </w:pPr>
            <w:r>
              <w:rPr>
                <w:rFonts w:ascii="宋体" w:hAnsi="宋体" w:eastAsia="宋体" w:cs="宋体"/>
                <w:b/>
                <w:bCs/>
                <w:kern w:val="0"/>
                <w:sz w:val="21"/>
                <w:szCs w:val="21"/>
              </w:rPr>
              <w:t>2022</w:t>
            </w:r>
            <w:r>
              <w:rPr>
                <w:rFonts w:hint="eastAsia" w:ascii="宋体" w:hAnsi="宋体" w:eastAsia="宋体" w:cs="宋体"/>
                <w:b/>
                <w:bCs/>
                <w:kern w:val="0"/>
                <w:sz w:val="21"/>
                <w:szCs w:val="21"/>
              </w:rPr>
              <w:t>年决算数</w:t>
            </w:r>
          </w:p>
        </w:tc>
      </w:tr>
      <w:tr>
        <w:tblPrEx>
          <w:tblCellMar>
            <w:top w:w="0" w:type="dxa"/>
            <w:left w:w="108" w:type="dxa"/>
            <w:bottom w:w="0" w:type="dxa"/>
            <w:right w:w="108" w:type="dxa"/>
          </w:tblCellMar>
        </w:tblPrEx>
        <w:trPr>
          <w:trHeight w:val="470" w:hRule="atLeast"/>
        </w:trPr>
        <w:tc>
          <w:tcPr>
            <w:tcW w:w="321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b/>
                <w:bCs/>
                <w:kern w:val="0"/>
                <w:sz w:val="21"/>
                <w:szCs w:val="21"/>
              </w:rPr>
              <w:t>支出总额</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
                <w:bCs/>
                <w:kern w:val="0"/>
                <w:sz w:val="21"/>
                <w:szCs w:val="21"/>
              </w:rPr>
            </w:pPr>
            <w:r>
              <w:rPr>
                <w:rFonts w:ascii="宋体" w:hAnsi="宋体" w:eastAsia="宋体" w:cs="宋体"/>
                <w:b/>
                <w:bCs/>
                <w:kern w:val="0"/>
                <w:sz w:val="21"/>
                <w:szCs w:val="21"/>
              </w:rPr>
              <w:t>286.76</w:t>
            </w:r>
          </w:p>
        </w:tc>
        <w:tc>
          <w:tcPr>
            <w:tcW w:w="189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
                <w:bCs/>
                <w:kern w:val="0"/>
                <w:sz w:val="21"/>
                <w:szCs w:val="21"/>
              </w:rPr>
            </w:pPr>
            <w:r>
              <w:rPr>
                <w:rFonts w:ascii="宋体" w:hAnsi="宋体" w:eastAsia="宋体" w:cs="宋体"/>
                <w:b/>
                <w:bCs/>
                <w:kern w:val="0"/>
                <w:sz w:val="21"/>
                <w:szCs w:val="21"/>
              </w:rPr>
              <w:t>268.46</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
                <w:bCs/>
                <w:kern w:val="0"/>
                <w:sz w:val="21"/>
                <w:szCs w:val="21"/>
              </w:rPr>
            </w:pPr>
            <w:r>
              <w:rPr>
                <w:rFonts w:ascii="宋体" w:hAnsi="宋体" w:eastAsia="宋体" w:cs="宋体"/>
                <w:b/>
                <w:bCs/>
                <w:kern w:val="0"/>
                <w:sz w:val="21"/>
                <w:szCs w:val="21"/>
              </w:rPr>
              <w:t>361.74</w:t>
            </w:r>
          </w:p>
        </w:tc>
      </w:tr>
      <w:tr>
        <w:tblPrEx>
          <w:tblCellMar>
            <w:top w:w="0" w:type="dxa"/>
            <w:left w:w="108" w:type="dxa"/>
            <w:bottom w:w="0" w:type="dxa"/>
            <w:right w:w="108" w:type="dxa"/>
          </w:tblCellMar>
        </w:tblPrEx>
        <w:trPr>
          <w:trHeight w:val="470" w:hRule="atLeast"/>
        </w:trPr>
        <w:tc>
          <w:tcPr>
            <w:tcW w:w="321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b/>
                <w:bCs/>
                <w:kern w:val="0"/>
                <w:sz w:val="21"/>
                <w:szCs w:val="21"/>
              </w:rPr>
              <w:t>基本支出</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260.76</w:t>
            </w:r>
          </w:p>
        </w:tc>
        <w:tc>
          <w:tcPr>
            <w:tcW w:w="189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261.26</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264.56</w:t>
            </w:r>
          </w:p>
        </w:tc>
      </w:tr>
      <w:tr>
        <w:tblPrEx>
          <w:tblCellMar>
            <w:top w:w="0" w:type="dxa"/>
            <w:left w:w="108" w:type="dxa"/>
            <w:bottom w:w="0" w:type="dxa"/>
            <w:right w:w="108" w:type="dxa"/>
          </w:tblCellMar>
        </w:tblPrEx>
        <w:trPr>
          <w:trHeight w:val="397" w:hRule="atLeast"/>
        </w:trPr>
        <w:tc>
          <w:tcPr>
            <w:tcW w:w="321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r>
              <w:rPr>
                <w:rFonts w:ascii="宋体" w:hAnsi="宋体" w:eastAsia="宋体" w:cs="宋体"/>
                <w:kern w:val="0"/>
                <w:sz w:val="21"/>
                <w:szCs w:val="21"/>
              </w:rPr>
              <w:t xml:space="preserve">    </w:t>
            </w:r>
            <w:r>
              <w:rPr>
                <w:rFonts w:hint="eastAsia" w:ascii="宋体" w:hAnsi="宋体" w:eastAsia="宋体" w:cs="宋体"/>
                <w:kern w:val="0"/>
                <w:sz w:val="21"/>
                <w:szCs w:val="21"/>
              </w:rPr>
              <w:t>其中：公用经费</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64.74</w:t>
            </w:r>
          </w:p>
        </w:tc>
        <w:tc>
          <w:tcPr>
            <w:tcW w:w="189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117.09</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103.38</w:t>
            </w:r>
          </w:p>
        </w:tc>
      </w:tr>
      <w:tr>
        <w:tblPrEx>
          <w:tblCellMar>
            <w:top w:w="0" w:type="dxa"/>
            <w:left w:w="108" w:type="dxa"/>
            <w:bottom w:w="0" w:type="dxa"/>
            <w:right w:w="108" w:type="dxa"/>
          </w:tblCellMar>
        </w:tblPrEx>
        <w:trPr>
          <w:trHeight w:val="397" w:hRule="atLeast"/>
        </w:trPr>
        <w:tc>
          <w:tcPr>
            <w:tcW w:w="321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b/>
                <w:bCs/>
                <w:kern w:val="0"/>
                <w:sz w:val="21"/>
                <w:szCs w:val="21"/>
              </w:rPr>
              <w:t>项目支出</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26.00</w:t>
            </w:r>
          </w:p>
        </w:tc>
        <w:tc>
          <w:tcPr>
            <w:tcW w:w="189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7.2</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97.18</w:t>
            </w:r>
          </w:p>
        </w:tc>
      </w:tr>
      <w:tr>
        <w:tblPrEx>
          <w:tblCellMar>
            <w:top w:w="0" w:type="dxa"/>
            <w:left w:w="108" w:type="dxa"/>
            <w:bottom w:w="0" w:type="dxa"/>
            <w:right w:w="108" w:type="dxa"/>
          </w:tblCellMar>
        </w:tblPrEx>
        <w:trPr>
          <w:trHeight w:val="397" w:hRule="atLeast"/>
        </w:trPr>
        <w:tc>
          <w:tcPr>
            <w:tcW w:w="321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b/>
                <w:bCs/>
                <w:kern w:val="0"/>
                <w:sz w:val="21"/>
                <w:szCs w:val="21"/>
              </w:rPr>
            </w:pPr>
            <w:r>
              <w:rPr>
                <w:rFonts w:ascii="宋体" w:hAnsi="宋体" w:eastAsia="宋体" w:cs="宋体"/>
                <w:kern w:val="0"/>
                <w:sz w:val="21"/>
                <w:szCs w:val="21"/>
              </w:rPr>
              <w:t xml:space="preserve">    </w:t>
            </w:r>
            <w:r>
              <w:rPr>
                <w:rFonts w:hint="eastAsia" w:ascii="宋体" w:hAnsi="宋体" w:eastAsia="宋体" w:cs="宋体"/>
                <w:kern w:val="0"/>
                <w:sz w:val="21"/>
                <w:szCs w:val="21"/>
              </w:rPr>
              <w:t>其中：</w:t>
            </w:r>
            <w:r>
              <w:rPr>
                <w:rFonts w:ascii="宋体" w:hAnsi="宋体" w:eastAsia="宋体" w:cs="宋体"/>
                <w:kern w:val="0"/>
                <w:sz w:val="21"/>
                <w:szCs w:val="21"/>
              </w:rPr>
              <w:t>1</w:t>
            </w:r>
            <w:r>
              <w:rPr>
                <w:rFonts w:hint="eastAsia" w:ascii="宋体" w:hAnsi="宋体" w:eastAsia="宋体" w:cs="宋体"/>
                <w:kern w:val="0"/>
                <w:sz w:val="21"/>
                <w:szCs w:val="21"/>
              </w:rPr>
              <w:t>、运行维护经费</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8.00</w:t>
            </w:r>
          </w:p>
        </w:tc>
        <w:tc>
          <w:tcPr>
            <w:tcW w:w="189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7.2</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10.18</w:t>
            </w:r>
          </w:p>
        </w:tc>
      </w:tr>
      <w:tr>
        <w:tblPrEx>
          <w:tblCellMar>
            <w:top w:w="0" w:type="dxa"/>
            <w:left w:w="108" w:type="dxa"/>
            <w:bottom w:w="0" w:type="dxa"/>
            <w:right w:w="108" w:type="dxa"/>
          </w:tblCellMar>
        </w:tblPrEx>
        <w:trPr>
          <w:trHeight w:val="580" w:hRule="atLeast"/>
        </w:trPr>
        <w:tc>
          <w:tcPr>
            <w:tcW w:w="3214" w:type="dxa"/>
            <w:tcBorders>
              <w:top w:val="nil"/>
              <w:left w:val="single" w:color="auto" w:sz="4" w:space="0"/>
              <w:bottom w:val="single" w:color="auto" w:sz="4" w:space="0"/>
              <w:right w:val="single" w:color="auto" w:sz="4" w:space="0"/>
            </w:tcBorders>
            <w:vAlign w:val="center"/>
          </w:tcPr>
          <w:p>
            <w:pPr>
              <w:widowControl/>
              <w:jc w:val="right"/>
              <w:rPr>
                <w:rFonts w:ascii="宋体" w:hAnsi="宋体" w:eastAsia="宋体" w:cs="宋体"/>
                <w:kern w:val="0"/>
                <w:sz w:val="21"/>
                <w:szCs w:val="21"/>
              </w:rPr>
            </w:pPr>
            <w:r>
              <w:rPr>
                <w:rFonts w:ascii="宋体" w:hAnsi="宋体" w:eastAsia="宋体" w:cs="宋体"/>
                <w:kern w:val="0"/>
                <w:sz w:val="21"/>
                <w:szCs w:val="21"/>
              </w:rPr>
              <w:t xml:space="preserve">        2</w:t>
            </w:r>
            <w:r>
              <w:rPr>
                <w:rFonts w:hint="eastAsia" w:ascii="宋体" w:hAnsi="宋体" w:eastAsia="宋体" w:cs="宋体"/>
                <w:kern w:val="0"/>
                <w:sz w:val="21"/>
                <w:szCs w:val="21"/>
              </w:rPr>
              <w:t>、征拆补偿工作经费</w:t>
            </w:r>
            <w:r>
              <w:rPr>
                <w:rFonts w:ascii="宋体" w:hAnsi="宋体" w:eastAsia="宋体" w:cs="宋体"/>
                <w:kern w:val="0"/>
                <w:sz w:val="21"/>
                <w:szCs w:val="21"/>
              </w:rPr>
              <w:t xml:space="preserve">           </w:t>
            </w:r>
            <w:r>
              <w:rPr>
                <w:rFonts w:hint="eastAsia" w:ascii="宋体" w:hAnsi="宋体" w:eastAsia="宋体" w:cs="宋体"/>
                <w:kern w:val="0"/>
                <w:sz w:val="21"/>
                <w:szCs w:val="21"/>
              </w:rPr>
              <w:t>（政府性基金预算）</w:t>
            </w:r>
            <w:r>
              <w:rPr>
                <w:rFonts w:ascii="宋体" w:hAnsi="宋体" w:eastAsia="宋体" w:cs="宋体"/>
                <w:kern w:val="0"/>
                <w:sz w:val="21"/>
                <w:szCs w:val="21"/>
              </w:rPr>
              <w:t xml:space="preserve">  </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18.00</w:t>
            </w:r>
          </w:p>
        </w:tc>
        <w:tc>
          <w:tcPr>
            <w:tcW w:w="189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87.00</w:t>
            </w:r>
          </w:p>
        </w:tc>
      </w:tr>
      <w:tr>
        <w:tblPrEx>
          <w:tblCellMar>
            <w:top w:w="0" w:type="dxa"/>
            <w:left w:w="108" w:type="dxa"/>
            <w:bottom w:w="0" w:type="dxa"/>
            <w:right w:w="108" w:type="dxa"/>
          </w:tblCellMar>
        </w:tblPrEx>
        <w:trPr>
          <w:trHeight w:val="397" w:hRule="atLeast"/>
        </w:trPr>
        <w:tc>
          <w:tcPr>
            <w:tcW w:w="3214" w:type="dxa"/>
            <w:tcBorders>
              <w:top w:val="nil"/>
              <w:left w:val="single" w:color="auto" w:sz="4" w:space="0"/>
              <w:bottom w:val="single" w:color="auto" w:sz="4" w:space="0"/>
              <w:right w:val="single" w:color="auto" w:sz="4" w:space="0"/>
            </w:tcBorders>
            <w:vAlign w:val="center"/>
          </w:tcPr>
          <w:p>
            <w:pPr>
              <w:widowControl/>
              <w:rPr>
                <w:rFonts w:ascii="宋体" w:hAnsi="宋体" w:eastAsia="宋体"/>
                <w:kern w:val="0"/>
                <w:sz w:val="21"/>
                <w:szCs w:val="21"/>
              </w:rPr>
            </w:pPr>
            <w:r>
              <w:rPr>
                <w:rFonts w:ascii="宋体" w:hAnsi="宋体" w:eastAsia="宋体"/>
                <w:kern w:val="0"/>
                <w:sz w:val="21"/>
                <w:szCs w:val="21"/>
              </w:rPr>
              <w:t>……</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c>
          <w:tcPr>
            <w:tcW w:w="189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r>
      <w:tr>
        <w:tblPrEx>
          <w:tblCellMar>
            <w:top w:w="0" w:type="dxa"/>
            <w:left w:w="108" w:type="dxa"/>
            <w:bottom w:w="0" w:type="dxa"/>
            <w:right w:w="108" w:type="dxa"/>
          </w:tblCellMar>
        </w:tblPrEx>
        <w:trPr>
          <w:trHeight w:val="397" w:hRule="atLeast"/>
        </w:trPr>
        <w:tc>
          <w:tcPr>
            <w:tcW w:w="321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b/>
                <w:bCs/>
                <w:kern w:val="0"/>
                <w:sz w:val="21"/>
                <w:szCs w:val="21"/>
              </w:rPr>
              <w:t>三公经费</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c>
          <w:tcPr>
            <w:tcW w:w="189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r>
      <w:tr>
        <w:tblPrEx>
          <w:tblCellMar>
            <w:top w:w="0" w:type="dxa"/>
            <w:left w:w="108" w:type="dxa"/>
            <w:bottom w:w="0" w:type="dxa"/>
            <w:right w:w="108" w:type="dxa"/>
          </w:tblCellMar>
        </w:tblPrEx>
        <w:trPr>
          <w:trHeight w:val="397" w:hRule="atLeast"/>
        </w:trPr>
        <w:tc>
          <w:tcPr>
            <w:tcW w:w="321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r>
              <w:rPr>
                <w:rFonts w:ascii="宋体" w:hAnsi="宋体" w:eastAsia="宋体" w:cs="宋体"/>
                <w:kern w:val="0"/>
                <w:sz w:val="21"/>
                <w:szCs w:val="21"/>
              </w:rPr>
              <w:t xml:space="preserve">   1</w:t>
            </w:r>
            <w:r>
              <w:rPr>
                <w:rFonts w:hint="eastAsia" w:ascii="宋体" w:hAnsi="宋体" w:eastAsia="宋体" w:cs="宋体"/>
                <w:kern w:val="0"/>
                <w:sz w:val="21"/>
                <w:szCs w:val="21"/>
              </w:rPr>
              <w:t>、公务用车购置和维护经费</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c>
          <w:tcPr>
            <w:tcW w:w="189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r>
      <w:tr>
        <w:tblPrEx>
          <w:tblCellMar>
            <w:top w:w="0" w:type="dxa"/>
            <w:left w:w="108" w:type="dxa"/>
            <w:bottom w:w="0" w:type="dxa"/>
            <w:right w:w="108" w:type="dxa"/>
          </w:tblCellMar>
        </w:tblPrEx>
        <w:trPr>
          <w:trHeight w:val="397" w:hRule="atLeast"/>
        </w:trPr>
        <w:tc>
          <w:tcPr>
            <w:tcW w:w="321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r>
              <w:rPr>
                <w:rFonts w:ascii="宋体" w:hAnsi="宋体" w:eastAsia="宋体" w:cs="宋体"/>
                <w:kern w:val="0"/>
                <w:sz w:val="21"/>
                <w:szCs w:val="21"/>
              </w:rPr>
              <w:t xml:space="preserve">       </w:t>
            </w:r>
            <w:r>
              <w:rPr>
                <w:rFonts w:hint="eastAsia" w:ascii="宋体" w:hAnsi="宋体" w:eastAsia="宋体" w:cs="宋体"/>
                <w:kern w:val="0"/>
                <w:sz w:val="21"/>
                <w:szCs w:val="21"/>
              </w:rPr>
              <w:t>其中：公车购置</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c>
          <w:tcPr>
            <w:tcW w:w="189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r>
      <w:tr>
        <w:tblPrEx>
          <w:tblCellMar>
            <w:top w:w="0" w:type="dxa"/>
            <w:left w:w="108" w:type="dxa"/>
            <w:bottom w:w="0" w:type="dxa"/>
            <w:right w:w="108" w:type="dxa"/>
          </w:tblCellMar>
        </w:tblPrEx>
        <w:trPr>
          <w:trHeight w:val="397" w:hRule="atLeast"/>
        </w:trPr>
        <w:tc>
          <w:tcPr>
            <w:tcW w:w="321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r>
              <w:rPr>
                <w:rFonts w:ascii="宋体" w:hAnsi="宋体" w:eastAsia="宋体" w:cs="宋体"/>
                <w:kern w:val="0"/>
                <w:sz w:val="21"/>
                <w:szCs w:val="21"/>
              </w:rPr>
              <w:t xml:space="preserve">             </w:t>
            </w:r>
            <w:r>
              <w:rPr>
                <w:rFonts w:hint="eastAsia" w:ascii="宋体" w:hAnsi="宋体" w:eastAsia="宋体" w:cs="宋体"/>
                <w:kern w:val="0"/>
                <w:sz w:val="21"/>
                <w:szCs w:val="21"/>
              </w:rPr>
              <w:t>公车运行维护</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c>
          <w:tcPr>
            <w:tcW w:w="189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r>
      <w:tr>
        <w:tblPrEx>
          <w:tblCellMar>
            <w:top w:w="0" w:type="dxa"/>
            <w:left w:w="108" w:type="dxa"/>
            <w:bottom w:w="0" w:type="dxa"/>
            <w:right w:w="108" w:type="dxa"/>
          </w:tblCellMar>
        </w:tblPrEx>
        <w:trPr>
          <w:trHeight w:val="397" w:hRule="atLeast"/>
        </w:trPr>
        <w:tc>
          <w:tcPr>
            <w:tcW w:w="321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r>
              <w:rPr>
                <w:rFonts w:ascii="宋体" w:hAnsi="宋体" w:eastAsia="宋体" w:cs="宋体"/>
                <w:kern w:val="0"/>
                <w:sz w:val="21"/>
                <w:szCs w:val="21"/>
              </w:rPr>
              <w:t xml:space="preserve">   2</w:t>
            </w:r>
            <w:r>
              <w:rPr>
                <w:rFonts w:hint="eastAsia" w:ascii="宋体" w:hAnsi="宋体" w:eastAsia="宋体" w:cs="宋体"/>
                <w:kern w:val="0"/>
                <w:sz w:val="21"/>
                <w:szCs w:val="21"/>
              </w:rPr>
              <w:t>、出国经费</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c>
          <w:tcPr>
            <w:tcW w:w="189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r>
      <w:tr>
        <w:tblPrEx>
          <w:tblCellMar>
            <w:top w:w="0" w:type="dxa"/>
            <w:left w:w="108" w:type="dxa"/>
            <w:bottom w:w="0" w:type="dxa"/>
            <w:right w:w="108" w:type="dxa"/>
          </w:tblCellMar>
        </w:tblPrEx>
        <w:trPr>
          <w:trHeight w:val="397" w:hRule="atLeast"/>
        </w:trPr>
        <w:tc>
          <w:tcPr>
            <w:tcW w:w="321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r>
              <w:rPr>
                <w:rFonts w:ascii="宋体" w:hAnsi="宋体" w:eastAsia="宋体" w:cs="宋体"/>
                <w:kern w:val="0"/>
                <w:sz w:val="21"/>
                <w:szCs w:val="21"/>
              </w:rPr>
              <w:t xml:space="preserve">   3</w:t>
            </w:r>
            <w:r>
              <w:rPr>
                <w:rFonts w:hint="eastAsia" w:ascii="宋体" w:hAnsi="宋体" w:eastAsia="宋体" w:cs="宋体"/>
                <w:kern w:val="0"/>
                <w:sz w:val="21"/>
                <w:szCs w:val="21"/>
              </w:rPr>
              <w:t>、公务接待</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c>
          <w:tcPr>
            <w:tcW w:w="189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r>
      <w:tr>
        <w:tblPrEx>
          <w:tblCellMar>
            <w:top w:w="0" w:type="dxa"/>
            <w:left w:w="108" w:type="dxa"/>
            <w:bottom w:w="0" w:type="dxa"/>
            <w:right w:w="108" w:type="dxa"/>
          </w:tblCellMar>
        </w:tblPrEx>
        <w:trPr>
          <w:trHeight w:val="397" w:hRule="atLeast"/>
        </w:trPr>
        <w:tc>
          <w:tcPr>
            <w:tcW w:w="321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b/>
                <w:bCs/>
                <w:kern w:val="0"/>
                <w:sz w:val="21"/>
                <w:szCs w:val="21"/>
              </w:rPr>
              <w:t>政府采购金额</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w:t>
            </w:r>
          </w:p>
        </w:tc>
        <w:tc>
          <w:tcPr>
            <w:tcW w:w="189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10.2</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29.99</w:t>
            </w:r>
          </w:p>
        </w:tc>
      </w:tr>
      <w:tr>
        <w:tblPrEx>
          <w:tblCellMar>
            <w:top w:w="0" w:type="dxa"/>
            <w:left w:w="108" w:type="dxa"/>
            <w:bottom w:w="0" w:type="dxa"/>
            <w:right w:w="108" w:type="dxa"/>
          </w:tblCellMar>
        </w:tblPrEx>
        <w:trPr>
          <w:trHeight w:val="630" w:hRule="atLeast"/>
        </w:trPr>
        <w:tc>
          <w:tcPr>
            <w:tcW w:w="3214"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楼堂馆所控制情况</w:t>
            </w:r>
          </w:p>
          <w:p>
            <w:pPr>
              <w:widowControl/>
              <w:jc w:val="center"/>
              <w:rPr>
                <w:rFonts w:ascii="宋体" w:hAnsi="宋体" w:eastAsia="宋体"/>
                <w:kern w:val="0"/>
                <w:sz w:val="21"/>
                <w:szCs w:val="21"/>
              </w:rPr>
            </w:pPr>
            <w:r>
              <w:rPr>
                <w:rFonts w:hint="eastAsia" w:ascii="宋体" w:hAnsi="宋体" w:eastAsia="宋体" w:cs="宋体"/>
                <w:kern w:val="0"/>
                <w:sz w:val="21"/>
                <w:szCs w:val="21"/>
              </w:rPr>
              <w:t>（</w:t>
            </w:r>
            <w:r>
              <w:rPr>
                <w:rFonts w:ascii="宋体" w:hAnsi="宋体" w:eastAsia="宋体" w:cs="宋体"/>
                <w:kern w:val="0"/>
                <w:sz w:val="21"/>
                <w:szCs w:val="21"/>
              </w:rPr>
              <w:t>2021</w:t>
            </w:r>
            <w:r>
              <w:rPr>
                <w:rFonts w:hint="eastAsia" w:ascii="宋体" w:hAnsi="宋体" w:eastAsia="宋体" w:cs="宋体"/>
                <w:kern w:val="0"/>
                <w:sz w:val="21"/>
                <w:szCs w:val="21"/>
              </w:rPr>
              <w:t>年完工项目）</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批复</w:t>
            </w:r>
          </w:p>
          <w:p>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规模</w:t>
            </w:r>
          </w:p>
          <w:p>
            <w:pPr>
              <w:widowControl/>
              <w:jc w:val="center"/>
              <w:rPr>
                <w:rFonts w:ascii="宋体" w:hAnsi="宋体" w:eastAsia="宋体"/>
                <w:kern w:val="0"/>
                <w:sz w:val="21"/>
                <w:szCs w:val="21"/>
              </w:rPr>
            </w:pPr>
            <w:r>
              <w:rPr>
                <w:rFonts w:hint="eastAsia" w:ascii="宋体" w:hAnsi="宋体" w:eastAsia="宋体" w:cs="宋体"/>
                <w:kern w:val="0"/>
                <w:sz w:val="21"/>
                <w:szCs w:val="21"/>
              </w:rPr>
              <w:t>（㎡）</w:t>
            </w:r>
          </w:p>
        </w:tc>
        <w:tc>
          <w:tcPr>
            <w:tcW w:w="897"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实际</w:t>
            </w:r>
          </w:p>
          <w:p>
            <w:pPr>
              <w:widowControl/>
              <w:jc w:val="center"/>
              <w:rPr>
                <w:rFonts w:ascii="宋体" w:hAnsi="宋体" w:eastAsia="宋体"/>
                <w:kern w:val="0"/>
                <w:sz w:val="21"/>
                <w:szCs w:val="21"/>
              </w:rPr>
            </w:pPr>
            <w:r>
              <w:rPr>
                <w:rFonts w:hint="eastAsia" w:ascii="宋体" w:hAnsi="宋体" w:eastAsia="宋体" w:cs="宋体"/>
                <w:kern w:val="0"/>
                <w:sz w:val="21"/>
                <w:szCs w:val="21"/>
              </w:rPr>
              <w:t>规模</w:t>
            </w:r>
          </w:p>
          <w:p>
            <w:pPr>
              <w:widowControl/>
              <w:jc w:val="center"/>
              <w:rPr>
                <w:rFonts w:ascii="宋体" w:hAnsi="宋体" w:eastAsia="宋体"/>
                <w:kern w:val="0"/>
                <w:sz w:val="21"/>
                <w:szCs w:val="21"/>
              </w:rPr>
            </w:pPr>
            <w:r>
              <w:rPr>
                <w:rFonts w:hint="eastAsia" w:ascii="宋体" w:hAnsi="宋体" w:eastAsia="宋体" w:cs="宋体"/>
                <w:kern w:val="0"/>
                <w:sz w:val="21"/>
                <w:szCs w:val="21"/>
              </w:rPr>
              <w:t>（㎡）</w:t>
            </w:r>
          </w:p>
        </w:tc>
        <w:tc>
          <w:tcPr>
            <w:tcW w:w="933"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规模</w:t>
            </w:r>
          </w:p>
          <w:p>
            <w:pPr>
              <w:widowControl/>
              <w:jc w:val="center"/>
              <w:rPr>
                <w:rFonts w:ascii="宋体" w:hAnsi="宋体" w:eastAsia="宋体"/>
                <w:kern w:val="0"/>
                <w:sz w:val="21"/>
                <w:szCs w:val="21"/>
              </w:rPr>
            </w:pPr>
            <w:r>
              <w:rPr>
                <w:rFonts w:hint="eastAsia" w:ascii="宋体" w:hAnsi="宋体" w:eastAsia="宋体" w:cs="宋体"/>
                <w:kern w:val="0"/>
                <w:sz w:val="21"/>
                <w:szCs w:val="21"/>
              </w:rPr>
              <w:t>控制率</w:t>
            </w:r>
          </w:p>
        </w:tc>
        <w:tc>
          <w:tcPr>
            <w:tcW w:w="959"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预算</w:t>
            </w:r>
          </w:p>
          <w:p>
            <w:pPr>
              <w:widowControl/>
              <w:jc w:val="center"/>
              <w:rPr>
                <w:rFonts w:ascii="宋体" w:hAnsi="宋体" w:eastAsia="宋体"/>
                <w:kern w:val="0"/>
                <w:sz w:val="21"/>
                <w:szCs w:val="21"/>
              </w:rPr>
            </w:pPr>
            <w:r>
              <w:rPr>
                <w:rFonts w:hint="eastAsia" w:ascii="宋体" w:hAnsi="宋体" w:eastAsia="宋体" w:cs="宋体"/>
                <w:kern w:val="0"/>
                <w:sz w:val="21"/>
                <w:szCs w:val="21"/>
              </w:rPr>
              <w:t>投资</w:t>
            </w:r>
          </w:p>
          <w:p>
            <w:pPr>
              <w:widowControl/>
              <w:jc w:val="center"/>
              <w:rPr>
                <w:rFonts w:ascii="宋体" w:hAnsi="宋体" w:eastAsia="宋体"/>
                <w:kern w:val="0"/>
                <w:sz w:val="21"/>
                <w:szCs w:val="21"/>
              </w:rPr>
            </w:pPr>
            <w:r>
              <w:rPr>
                <w:rFonts w:hint="eastAsia" w:ascii="宋体" w:hAnsi="宋体" w:eastAsia="宋体" w:cs="宋体"/>
                <w:kern w:val="0"/>
                <w:sz w:val="21"/>
                <w:szCs w:val="21"/>
              </w:rPr>
              <w:t>（万元）</w:t>
            </w:r>
          </w:p>
        </w:tc>
        <w:tc>
          <w:tcPr>
            <w:tcW w:w="96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实际</w:t>
            </w:r>
          </w:p>
          <w:p>
            <w:pPr>
              <w:widowControl/>
              <w:jc w:val="center"/>
              <w:rPr>
                <w:rFonts w:ascii="宋体" w:hAnsi="宋体" w:eastAsia="宋体"/>
                <w:kern w:val="0"/>
                <w:sz w:val="21"/>
                <w:szCs w:val="21"/>
              </w:rPr>
            </w:pPr>
            <w:r>
              <w:rPr>
                <w:rFonts w:hint="eastAsia" w:ascii="宋体" w:hAnsi="宋体" w:eastAsia="宋体" w:cs="宋体"/>
                <w:kern w:val="0"/>
                <w:sz w:val="21"/>
                <w:szCs w:val="21"/>
              </w:rPr>
              <w:t>投资</w:t>
            </w:r>
          </w:p>
          <w:p>
            <w:pPr>
              <w:widowControl/>
              <w:jc w:val="center"/>
              <w:rPr>
                <w:rFonts w:ascii="宋体" w:hAnsi="宋体" w:eastAsia="宋体"/>
                <w:kern w:val="0"/>
                <w:sz w:val="21"/>
                <w:szCs w:val="21"/>
              </w:rPr>
            </w:pPr>
            <w:r>
              <w:rPr>
                <w:rFonts w:hint="eastAsia" w:ascii="宋体" w:hAnsi="宋体" w:eastAsia="宋体" w:cs="宋体"/>
                <w:kern w:val="0"/>
                <w:sz w:val="21"/>
                <w:szCs w:val="21"/>
              </w:rPr>
              <w:t>（万元）</w:t>
            </w:r>
          </w:p>
        </w:tc>
        <w:tc>
          <w:tcPr>
            <w:tcW w:w="976"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投资</w:t>
            </w:r>
          </w:p>
          <w:p>
            <w:pPr>
              <w:widowControl/>
              <w:jc w:val="center"/>
              <w:rPr>
                <w:rFonts w:ascii="宋体" w:hAnsi="宋体" w:eastAsia="宋体"/>
                <w:kern w:val="0"/>
                <w:sz w:val="21"/>
                <w:szCs w:val="21"/>
              </w:rPr>
            </w:pPr>
            <w:r>
              <w:rPr>
                <w:rFonts w:hint="eastAsia" w:ascii="宋体" w:hAnsi="宋体" w:eastAsia="宋体" w:cs="宋体"/>
                <w:kern w:val="0"/>
                <w:sz w:val="21"/>
                <w:szCs w:val="21"/>
              </w:rPr>
              <w:t>概算</w:t>
            </w:r>
          </w:p>
          <w:p>
            <w:pPr>
              <w:widowControl/>
              <w:jc w:val="center"/>
              <w:rPr>
                <w:rFonts w:ascii="宋体" w:hAnsi="宋体" w:eastAsia="宋体"/>
                <w:kern w:val="0"/>
                <w:sz w:val="21"/>
                <w:szCs w:val="21"/>
              </w:rPr>
            </w:pPr>
            <w:r>
              <w:rPr>
                <w:rFonts w:hint="eastAsia" w:ascii="宋体" w:hAnsi="宋体" w:eastAsia="宋体" w:cs="宋体"/>
                <w:kern w:val="0"/>
                <w:sz w:val="21"/>
                <w:szCs w:val="21"/>
              </w:rPr>
              <w:t>控制率</w:t>
            </w:r>
          </w:p>
        </w:tc>
      </w:tr>
      <w:tr>
        <w:tblPrEx>
          <w:tblCellMar>
            <w:top w:w="0" w:type="dxa"/>
            <w:left w:w="108" w:type="dxa"/>
            <w:bottom w:w="0" w:type="dxa"/>
            <w:right w:w="108" w:type="dxa"/>
          </w:tblCellMar>
        </w:tblPrEx>
        <w:trPr>
          <w:trHeight w:val="454" w:hRule="atLeast"/>
        </w:trPr>
        <w:tc>
          <w:tcPr>
            <w:tcW w:w="32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p>
        </w:tc>
        <w:tc>
          <w:tcPr>
            <w:tcW w:w="897"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p>
        </w:tc>
        <w:tc>
          <w:tcPr>
            <w:tcW w:w="933"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p>
        </w:tc>
        <w:tc>
          <w:tcPr>
            <w:tcW w:w="959"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p>
        </w:tc>
        <w:tc>
          <w:tcPr>
            <w:tcW w:w="96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p>
        </w:tc>
        <w:tc>
          <w:tcPr>
            <w:tcW w:w="976"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p>
        </w:tc>
      </w:tr>
      <w:tr>
        <w:tblPrEx>
          <w:tblCellMar>
            <w:top w:w="0" w:type="dxa"/>
            <w:left w:w="108" w:type="dxa"/>
            <w:bottom w:w="0" w:type="dxa"/>
            <w:right w:w="108" w:type="dxa"/>
          </w:tblCellMar>
        </w:tblPrEx>
        <w:trPr>
          <w:trHeight w:val="1026" w:hRule="atLeast"/>
        </w:trPr>
        <w:tc>
          <w:tcPr>
            <w:tcW w:w="321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厉行节约保障措施</w:t>
            </w:r>
          </w:p>
        </w:tc>
        <w:tc>
          <w:tcPr>
            <w:tcW w:w="5665"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r>
    </w:tbl>
    <w:p>
      <w:pPr>
        <w:widowControl/>
        <w:jc w:val="center"/>
        <w:rPr>
          <w:rFonts w:ascii="宋体" w:hAnsi="宋体" w:eastAsia="宋体"/>
          <w:kern w:val="0"/>
          <w:sz w:val="21"/>
          <w:szCs w:val="21"/>
        </w:rPr>
      </w:pPr>
    </w:p>
    <w:p>
      <w:pPr>
        <w:widowControl/>
        <w:jc w:val="center"/>
        <w:rPr>
          <w:rFonts w:ascii="宋体" w:hAnsi="宋体" w:eastAsia="宋体"/>
          <w:kern w:val="0"/>
          <w:sz w:val="21"/>
          <w:szCs w:val="21"/>
        </w:rPr>
      </w:pPr>
      <w:r>
        <w:rPr>
          <w:rFonts w:ascii="宋体" w:hAnsi="宋体" w:eastAsia="宋体" w:cs="宋体"/>
          <w:kern w:val="0"/>
          <w:sz w:val="21"/>
          <w:szCs w:val="21"/>
        </w:rPr>
        <w:t xml:space="preserve">    </w:t>
      </w:r>
      <w:r>
        <w:rPr>
          <w:rFonts w:hint="eastAsia" w:ascii="宋体" w:hAnsi="宋体" w:eastAsia="宋体" w:cs="宋体"/>
          <w:kern w:val="0"/>
          <w:sz w:val="21"/>
          <w:szCs w:val="21"/>
        </w:rPr>
        <w:t>说明：</w:t>
      </w:r>
      <w:r>
        <w:rPr>
          <w:rFonts w:ascii="宋体" w:hAnsi="宋体" w:eastAsia="宋体"/>
          <w:kern w:val="0"/>
          <w:sz w:val="21"/>
          <w:szCs w:val="21"/>
        </w:rPr>
        <w:t>“</w:t>
      </w:r>
      <w:r>
        <w:rPr>
          <w:rFonts w:hint="eastAsia" w:ascii="宋体" w:hAnsi="宋体" w:eastAsia="宋体" w:cs="宋体"/>
          <w:kern w:val="0"/>
          <w:sz w:val="21"/>
          <w:szCs w:val="21"/>
        </w:rPr>
        <w:t>公用经费</w:t>
      </w:r>
      <w:r>
        <w:rPr>
          <w:rFonts w:ascii="宋体" w:hAnsi="宋体" w:eastAsia="宋体"/>
          <w:kern w:val="0"/>
          <w:sz w:val="21"/>
          <w:szCs w:val="21"/>
        </w:rPr>
        <w:t>”</w:t>
      </w:r>
      <w:r>
        <w:rPr>
          <w:rFonts w:hint="eastAsia" w:ascii="宋体" w:hAnsi="宋体" w:eastAsia="宋体" w:cs="宋体"/>
          <w:kern w:val="0"/>
          <w:sz w:val="21"/>
          <w:szCs w:val="21"/>
        </w:rPr>
        <w:t>填报基本支出中的一般商品和服务支出。</w:t>
      </w:r>
      <w:r>
        <w:rPr>
          <w:rFonts w:ascii="宋体" w:hAnsi="宋体" w:eastAsia="宋体"/>
          <w:kern w:val="0"/>
          <w:sz w:val="21"/>
          <w:szCs w:val="21"/>
        </w:rPr>
        <w:t>“</w:t>
      </w:r>
      <w:r>
        <w:rPr>
          <w:rFonts w:hint="eastAsia" w:ascii="宋体" w:hAnsi="宋体" w:eastAsia="宋体" w:cs="宋体"/>
          <w:kern w:val="0"/>
          <w:sz w:val="21"/>
          <w:szCs w:val="21"/>
        </w:rPr>
        <w:t>项目支出</w:t>
      </w:r>
      <w:r>
        <w:rPr>
          <w:rFonts w:ascii="宋体" w:hAnsi="宋体" w:eastAsia="宋体"/>
          <w:kern w:val="0"/>
          <w:sz w:val="21"/>
          <w:szCs w:val="21"/>
        </w:rPr>
        <w:t>”</w:t>
      </w:r>
      <w:r>
        <w:rPr>
          <w:rFonts w:hint="eastAsia" w:ascii="宋体" w:hAnsi="宋体" w:eastAsia="宋体" w:cs="宋体"/>
          <w:kern w:val="0"/>
          <w:sz w:val="21"/>
          <w:szCs w:val="21"/>
        </w:rPr>
        <w:t>需要填报基本支出以外的所有项目支出情况，“运行维护经费”填报项目支出中用于人员类和公用运转类的支出。</w:t>
      </w:r>
    </w:p>
    <w:p>
      <w:pPr>
        <w:widowControl/>
        <w:jc w:val="center"/>
        <w:rPr>
          <w:rFonts w:ascii="宋体" w:hAnsi="宋体" w:eastAsia="宋体"/>
          <w:kern w:val="0"/>
          <w:sz w:val="21"/>
          <w:szCs w:val="21"/>
        </w:rPr>
      </w:pPr>
    </w:p>
    <w:p>
      <w:pPr>
        <w:widowControl/>
        <w:jc w:val="center"/>
        <w:rPr>
          <w:rFonts w:ascii="宋体" w:hAnsi="宋体" w:eastAsia="宋体" w:cs="宋体"/>
          <w:kern w:val="0"/>
          <w:sz w:val="21"/>
          <w:szCs w:val="21"/>
        </w:rPr>
      </w:pPr>
      <w:r>
        <w:rPr>
          <w:rFonts w:hint="eastAsia" w:ascii="宋体" w:hAnsi="宋体" w:eastAsia="宋体" w:cs="宋体"/>
          <w:kern w:val="0"/>
          <w:sz w:val="21"/>
          <w:szCs w:val="21"/>
        </w:rPr>
        <w:t>填表人：钟艳红</w:t>
      </w:r>
      <w:r>
        <w:rPr>
          <w:rFonts w:ascii="宋体" w:hAnsi="宋体" w:eastAsia="宋体" w:cs="宋体"/>
          <w:kern w:val="0"/>
          <w:sz w:val="21"/>
          <w:szCs w:val="21"/>
        </w:rPr>
        <w:t xml:space="preserve">  </w:t>
      </w:r>
      <w:r>
        <w:rPr>
          <w:rFonts w:hint="eastAsia" w:ascii="宋体" w:hAnsi="宋体" w:eastAsia="宋体" w:cs="宋体"/>
          <w:kern w:val="0"/>
          <w:sz w:val="21"/>
          <w:szCs w:val="21"/>
        </w:rPr>
        <w:t>填报日期：</w:t>
      </w:r>
      <w:r>
        <w:rPr>
          <w:rFonts w:ascii="宋体" w:hAnsi="宋体" w:eastAsia="宋体" w:cs="宋体"/>
          <w:kern w:val="0"/>
          <w:sz w:val="21"/>
          <w:szCs w:val="21"/>
        </w:rPr>
        <w:t xml:space="preserve">2023.4.10  </w:t>
      </w:r>
      <w:r>
        <w:rPr>
          <w:rFonts w:hint="eastAsia" w:ascii="宋体" w:hAnsi="宋体" w:eastAsia="宋体" w:cs="宋体"/>
          <w:kern w:val="0"/>
          <w:sz w:val="21"/>
          <w:szCs w:val="21"/>
        </w:rPr>
        <w:t>联系电话：</w:t>
      </w:r>
      <w:r>
        <w:rPr>
          <w:rFonts w:ascii="宋体" w:hAnsi="宋体" w:eastAsia="宋体" w:cs="宋体"/>
          <w:kern w:val="0"/>
          <w:sz w:val="21"/>
          <w:szCs w:val="21"/>
        </w:rPr>
        <w:t xml:space="preserve">15869770696  </w:t>
      </w:r>
      <w:r>
        <w:rPr>
          <w:rFonts w:hint="eastAsia" w:ascii="宋体" w:hAnsi="宋体" w:eastAsia="宋体" w:cs="宋体"/>
          <w:kern w:val="0"/>
          <w:sz w:val="21"/>
          <w:szCs w:val="21"/>
        </w:rPr>
        <w:t>单位负责人签字：张凯波</w:t>
      </w:r>
      <w:r>
        <w:rPr>
          <w:rFonts w:ascii="宋体" w:hAnsi="宋体" w:eastAsia="宋体" w:cs="宋体"/>
          <w:kern w:val="0"/>
          <w:sz w:val="21"/>
          <w:szCs w:val="21"/>
        </w:rPr>
        <w:t xml:space="preserve"> </w:t>
      </w:r>
    </w:p>
    <w:p>
      <w:pPr>
        <w:widowControl/>
        <w:spacing w:line="560" w:lineRule="exact"/>
        <w:jc w:val="left"/>
        <w:rPr>
          <w:rFonts w:ascii="Times New Roman" w:hAnsi="Times New Roman" w:eastAsia="黑体" w:cs="Times New Roman"/>
        </w:rPr>
      </w:pPr>
      <w:r>
        <w:rPr>
          <w:rFonts w:hint="eastAsia" w:ascii="Times New Roman" w:hAnsi="Times New Roman" w:eastAsia="黑体" w:cs="黑体"/>
        </w:rPr>
        <w:t>附件</w:t>
      </w:r>
      <w:r>
        <w:rPr>
          <w:rFonts w:ascii="Times New Roman" w:hAnsi="Times New Roman" w:eastAsia="黑体" w:cs="Times New Roman"/>
        </w:rPr>
        <w:t>2</w:t>
      </w:r>
    </w:p>
    <w:p>
      <w:pPr>
        <w:widowControl/>
        <w:spacing w:beforeLines="50" w:afterLines="50" w:line="560" w:lineRule="exact"/>
        <w:jc w:val="center"/>
        <w:rPr>
          <w:rFonts w:ascii="方正小标宋简体" w:hAnsi="Times New Roman" w:eastAsia="方正小标宋简体"/>
          <w:kern w:val="0"/>
          <w:sz w:val="44"/>
          <w:szCs w:val="44"/>
        </w:rPr>
      </w:pPr>
      <w:r>
        <w:rPr>
          <w:rFonts w:ascii="方正小标宋简体" w:hAnsi="Times New Roman" w:eastAsia="方正小标宋简体" w:cs="方正小标宋简体"/>
          <w:kern w:val="0"/>
          <w:sz w:val="44"/>
          <w:szCs w:val="44"/>
        </w:rPr>
        <w:t>2022</w:t>
      </w:r>
      <w:r>
        <w:rPr>
          <w:rFonts w:hint="eastAsia" w:ascii="方正小标宋简体" w:hAnsi="Times New Roman" w:eastAsia="方正小标宋简体" w:cs="方正小标宋简体"/>
          <w:kern w:val="0"/>
          <w:sz w:val="44"/>
          <w:szCs w:val="44"/>
        </w:rPr>
        <w:t>年度部门整体支出绩效自评表</w:t>
      </w:r>
    </w:p>
    <w:tbl>
      <w:tblPr>
        <w:tblStyle w:val="6"/>
        <w:tblW w:w="10536" w:type="dxa"/>
        <w:jc w:val="center"/>
        <w:tblLayout w:type="fixed"/>
        <w:tblCellMar>
          <w:top w:w="0" w:type="dxa"/>
          <w:left w:w="108" w:type="dxa"/>
          <w:bottom w:w="0" w:type="dxa"/>
          <w:right w:w="108" w:type="dxa"/>
        </w:tblCellMar>
      </w:tblPr>
      <w:tblGrid>
        <w:gridCol w:w="975"/>
        <w:gridCol w:w="980"/>
        <w:gridCol w:w="1134"/>
        <w:gridCol w:w="1653"/>
        <w:gridCol w:w="467"/>
        <w:gridCol w:w="1583"/>
        <w:gridCol w:w="1134"/>
        <w:gridCol w:w="678"/>
        <w:gridCol w:w="647"/>
        <w:gridCol w:w="1285"/>
      </w:tblGrid>
      <w:tr>
        <w:tblPrEx>
          <w:tblCellMar>
            <w:top w:w="0" w:type="dxa"/>
            <w:left w:w="108" w:type="dxa"/>
            <w:bottom w:w="0" w:type="dxa"/>
            <w:right w:w="108" w:type="dxa"/>
          </w:tblCellMar>
        </w:tblPrEx>
        <w:trPr>
          <w:trHeight w:val="425"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预算</w:t>
            </w:r>
          </w:p>
          <w:p>
            <w:pPr>
              <w:widowControl/>
              <w:jc w:val="center"/>
              <w:rPr>
                <w:rFonts w:ascii="宋体" w:hAnsi="宋体" w:eastAsia="宋体"/>
                <w:kern w:val="0"/>
                <w:sz w:val="21"/>
                <w:szCs w:val="21"/>
              </w:rPr>
            </w:pPr>
            <w:r>
              <w:rPr>
                <w:rFonts w:hint="eastAsia" w:ascii="宋体" w:hAnsi="宋体" w:eastAsia="宋体" w:cs="宋体"/>
                <w:kern w:val="0"/>
                <w:sz w:val="21"/>
                <w:szCs w:val="21"/>
              </w:rPr>
              <w:t>部门</w:t>
            </w:r>
          </w:p>
        </w:tc>
        <w:tc>
          <w:tcPr>
            <w:tcW w:w="9561"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益阳市资阳区国有土地上房屋征收与补偿工作办公室</w:t>
            </w:r>
          </w:p>
        </w:tc>
      </w:tr>
      <w:tr>
        <w:tblPrEx>
          <w:tblCellMar>
            <w:top w:w="0" w:type="dxa"/>
            <w:left w:w="108" w:type="dxa"/>
            <w:bottom w:w="0" w:type="dxa"/>
            <w:right w:w="108" w:type="dxa"/>
          </w:tblCellMar>
        </w:tblPrEx>
        <w:trPr>
          <w:trHeight w:val="477" w:hRule="atLeast"/>
          <w:jc w:val="center"/>
        </w:trPr>
        <w:tc>
          <w:tcPr>
            <w:tcW w:w="975" w:type="dxa"/>
            <w:vMerge w:val="restart"/>
            <w:tcBorders>
              <w:top w:val="nil"/>
              <w:left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年度预</w:t>
            </w:r>
          </w:p>
          <w:p>
            <w:pPr>
              <w:widowControl/>
              <w:jc w:val="center"/>
              <w:rPr>
                <w:rFonts w:ascii="宋体" w:hAnsi="宋体" w:eastAsia="宋体"/>
                <w:kern w:val="0"/>
                <w:sz w:val="21"/>
                <w:szCs w:val="21"/>
              </w:rPr>
            </w:pPr>
            <w:r>
              <w:rPr>
                <w:rFonts w:hint="eastAsia" w:ascii="宋体" w:hAnsi="宋体" w:eastAsia="宋体" w:cs="宋体"/>
                <w:kern w:val="0"/>
                <w:sz w:val="21"/>
                <w:szCs w:val="21"/>
              </w:rPr>
              <w:t>算申请（万元）</w:t>
            </w:r>
          </w:p>
        </w:tc>
        <w:tc>
          <w:tcPr>
            <w:tcW w:w="2114" w:type="dxa"/>
            <w:gridSpan w:val="2"/>
            <w:tcBorders>
              <w:top w:val="nil"/>
              <w:left w:val="nil"/>
              <w:bottom w:val="single" w:color="auto" w:sz="4" w:space="0"/>
              <w:right w:val="single" w:color="auto" w:sz="4" w:space="0"/>
            </w:tcBorders>
            <w:vAlign w:val="center"/>
          </w:tcPr>
          <w:p>
            <w:pPr>
              <w:jc w:val="center"/>
              <w:rPr>
                <w:rFonts w:ascii="宋体" w:hAnsi="宋体" w:eastAsia="宋体"/>
                <w:sz w:val="21"/>
                <w:szCs w:val="21"/>
              </w:rPr>
            </w:pPr>
          </w:p>
        </w:tc>
        <w:tc>
          <w:tcPr>
            <w:tcW w:w="1653" w:type="dxa"/>
            <w:tcBorders>
              <w:top w:val="nil"/>
              <w:left w:val="nil"/>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cs="宋体"/>
                <w:sz w:val="21"/>
                <w:szCs w:val="21"/>
              </w:rPr>
              <w:t>年初预算数</w:t>
            </w:r>
          </w:p>
        </w:tc>
        <w:tc>
          <w:tcPr>
            <w:tcW w:w="2050" w:type="dxa"/>
            <w:gridSpan w:val="2"/>
            <w:tcBorders>
              <w:top w:val="nil"/>
              <w:left w:val="nil"/>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cs="宋体"/>
                <w:sz w:val="21"/>
                <w:szCs w:val="21"/>
              </w:rPr>
              <w:t>全年预算数</w:t>
            </w:r>
          </w:p>
        </w:tc>
        <w:tc>
          <w:tcPr>
            <w:tcW w:w="1134" w:type="dxa"/>
            <w:tcBorders>
              <w:top w:val="nil"/>
              <w:left w:val="nil"/>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cs="宋体"/>
                <w:sz w:val="21"/>
                <w:szCs w:val="21"/>
              </w:rPr>
              <w:t>全年</w:t>
            </w:r>
          </w:p>
          <w:p>
            <w:pPr>
              <w:jc w:val="center"/>
              <w:rPr>
                <w:rFonts w:ascii="宋体" w:hAnsi="宋体" w:eastAsia="宋体"/>
                <w:sz w:val="21"/>
                <w:szCs w:val="21"/>
              </w:rPr>
            </w:pPr>
            <w:r>
              <w:rPr>
                <w:rFonts w:hint="eastAsia" w:ascii="宋体" w:hAnsi="宋体" w:eastAsia="宋体" w:cs="宋体"/>
                <w:sz w:val="21"/>
                <w:szCs w:val="21"/>
              </w:rPr>
              <w:t>执行数</w:t>
            </w:r>
          </w:p>
        </w:tc>
        <w:tc>
          <w:tcPr>
            <w:tcW w:w="678" w:type="dxa"/>
            <w:tcBorders>
              <w:top w:val="nil"/>
              <w:left w:val="nil"/>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cs="宋体"/>
                <w:sz w:val="21"/>
                <w:szCs w:val="21"/>
              </w:rPr>
              <w:t>分值</w:t>
            </w:r>
          </w:p>
        </w:tc>
        <w:tc>
          <w:tcPr>
            <w:tcW w:w="647" w:type="dxa"/>
            <w:tcBorders>
              <w:top w:val="nil"/>
              <w:left w:val="nil"/>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cs="宋体"/>
                <w:sz w:val="21"/>
                <w:szCs w:val="21"/>
              </w:rPr>
              <w:t>执行率</w:t>
            </w:r>
          </w:p>
        </w:tc>
        <w:tc>
          <w:tcPr>
            <w:tcW w:w="1285" w:type="dxa"/>
            <w:tcBorders>
              <w:top w:val="nil"/>
              <w:left w:val="nil"/>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cs="宋体"/>
                <w:sz w:val="21"/>
                <w:szCs w:val="21"/>
              </w:rPr>
              <w:t>得分</w:t>
            </w:r>
          </w:p>
        </w:tc>
      </w:tr>
      <w:tr>
        <w:tblPrEx>
          <w:tblCellMar>
            <w:top w:w="0" w:type="dxa"/>
            <w:left w:w="108" w:type="dxa"/>
            <w:bottom w:w="0" w:type="dxa"/>
            <w:right w:w="108" w:type="dxa"/>
          </w:tblCellMar>
        </w:tblPrEx>
        <w:trPr>
          <w:trHeight w:val="425" w:hRule="atLeast"/>
          <w:jc w:val="center"/>
        </w:trPr>
        <w:tc>
          <w:tcPr>
            <w:tcW w:w="975" w:type="dxa"/>
            <w:vMerge w:val="continue"/>
            <w:tcBorders>
              <w:top w:val="nil"/>
              <w:left w:val="single" w:color="auto" w:sz="4" w:space="0"/>
              <w:right w:val="single" w:color="auto" w:sz="4" w:space="0"/>
            </w:tcBorders>
            <w:vAlign w:val="center"/>
          </w:tcPr>
          <w:p>
            <w:pPr>
              <w:widowControl/>
              <w:jc w:val="center"/>
              <w:rPr>
                <w:rFonts w:ascii="宋体" w:hAnsi="宋体" w:eastAsia="宋体"/>
                <w:kern w:val="0"/>
                <w:sz w:val="21"/>
                <w:szCs w:val="21"/>
              </w:rPr>
            </w:pPr>
          </w:p>
        </w:tc>
        <w:tc>
          <w:tcPr>
            <w:tcW w:w="2114" w:type="dxa"/>
            <w:gridSpan w:val="2"/>
            <w:tcBorders>
              <w:top w:val="nil"/>
              <w:left w:val="nil"/>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cs="宋体"/>
                <w:kern w:val="0"/>
                <w:sz w:val="21"/>
                <w:szCs w:val="21"/>
              </w:rPr>
              <w:t>年度资金总额</w:t>
            </w:r>
          </w:p>
        </w:tc>
        <w:tc>
          <w:tcPr>
            <w:tcW w:w="1653" w:type="dxa"/>
            <w:tcBorders>
              <w:top w:val="nil"/>
              <w:left w:val="nil"/>
              <w:bottom w:val="single" w:color="auto" w:sz="4" w:space="0"/>
              <w:right w:val="single" w:color="auto" w:sz="4" w:space="0"/>
            </w:tcBorders>
            <w:vAlign w:val="center"/>
          </w:tcPr>
          <w:p>
            <w:pPr>
              <w:jc w:val="center"/>
              <w:rPr>
                <w:rFonts w:ascii="宋体" w:hAnsi="宋体" w:eastAsia="宋体" w:cs="宋体"/>
                <w:sz w:val="21"/>
                <w:szCs w:val="21"/>
              </w:rPr>
            </w:pPr>
            <w:r>
              <w:rPr>
                <w:rFonts w:ascii="宋体" w:hAnsi="宋体" w:eastAsia="宋体" w:cs="宋体"/>
                <w:sz w:val="21"/>
                <w:szCs w:val="21"/>
              </w:rPr>
              <w:t>268.46</w:t>
            </w:r>
          </w:p>
        </w:tc>
        <w:tc>
          <w:tcPr>
            <w:tcW w:w="2050" w:type="dxa"/>
            <w:gridSpan w:val="2"/>
            <w:tcBorders>
              <w:top w:val="nil"/>
              <w:left w:val="nil"/>
              <w:bottom w:val="single" w:color="auto" w:sz="4" w:space="0"/>
              <w:right w:val="single" w:color="auto" w:sz="4" w:space="0"/>
            </w:tcBorders>
            <w:vAlign w:val="center"/>
          </w:tcPr>
          <w:p>
            <w:pPr>
              <w:jc w:val="center"/>
              <w:rPr>
                <w:rFonts w:ascii="宋体" w:hAnsi="宋体" w:eastAsia="宋体" w:cs="宋体"/>
                <w:sz w:val="21"/>
                <w:szCs w:val="21"/>
              </w:rPr>
            </w:pPr>
            <w:r>
              <w:rPr>
                <w:rFonts w:ascii="宋体" w:hAnsi="宋体" w:eastAsia="宋体" w:cs="宋体"/>
                <w:sz w:val="21"/>
                <w:szCs w:val="21"/>
              </w:rPr>
              <w:t>361.74</w:t>
            </w:r>
          </w:p>
        </w:tc>
        <w:tc>
          <w:tcPr>
            <w:tcW w:w="1134" w:type="dxa"/>
            <w:tcBorders>
              <w:top w:val="nil"/>
              <w:left w:val="nil"/>
              <w:bottom w:val="single" w:color="auto" w:sz="4" w:space="0"/>
              <w:right w:val="single" w:color="auto" w:sz="4" w:space="0"/>
            </w:tcBorders>
            <w:vAlign w:val="center"/>
          </w:tcPr>
          <w:p>
            <w:pPr>
              <w:jc w:val="center"/>
              <w:rPr>
                <w:rFonts w:ascii="宋体" w:hAnsi="宋体" w:eastAsia="宋体" w:cs="宋体"/>
                <w:sz w:val="21"/>
                <w:szCs w:val="21"/>
              </w:rPr>
            </w:pPr>
            <w:r>
              <w:rPr>
                <w:rFonts w:ascii="宋体" w:hAnsi="宋体" w:eastAsia="宋体" w:cs="宋体"/>
                <w:sz w:val="21"/>
                <w:szCs w:val="21"/>
              </w:rPr>
              <w:t>361.74</w:t>
            </w:r>
          </w:p>
        </w:tc>
        <w:tc>
          <w:tcPr>
            <w:tcW w:w="678" w:type="dxa"/>
            <w:tcBorders>
              <w:top w:val="nil"/>
              <w:left w:val="nil"/>
              <w:bottom w:val="single" w:color="auto" w:sz="4" w:space="0"/>
              <w:right w:val="single" w:color="auto" w:sz="4" w:space="0"/>
            </w:tcBorders>
            <w:vAlign w:val="center"/>
          </w:tcPr>
          <w:p>
            <w:pPr>
              <w:jc w:val="center"/>
              <w:rPr>
                <w:rFonts w:ascii="宋体" w:hAnsi="宋体" w:eastAsia="宋体"/>
                <w:sz w:val="21"/>
                <w:szCs w:val="21"/>
              </w:rPr>
            </w:pPr>
            <w:r>
              <w:rPr>
                <w:rFonts w:ascii="宋体" w:hAnsi="宋体" w:eastAsia="宋体" w:cs="宋体"/>
                <w:sz w:val="21"/>
                <w:szCs w:val="21"/>
              </w:rPr>
              <w:t>10</w:t>
            </w:r>
            <w:r>
              <w:rPr>
                <w:rFonts w:hint="eastAsia" w:ascii="宋体" w:hAnsi="宋体" w:eastAsia="宋体" w:cs="宋体"/>
                <w:sz w:val="21"/>
                <w:szCs w:val="21"/>
              </w:rPr>
              <w:t>分</w:t>
            </w:r>
          </w:p>
        </w:tc>
        <w:tc>
          <w:tcPr>
            <w:tcW w:w="647" w:type="dxa"/>
            <w:tcBorders>
              <w:top w:val="nil"/>
              <w:left w:val="nil"/>
              <w:bottom w:val="single" w:color="auto" w:sz="4" w:space="0"/>
              <w:right w:val="single" w:color="auto" w:sz="4" w:space="0"/>
            </w:tcBorders>
            <w:vAlign w:val="center"/>
          </w:tcPr>
          <w:p>
            <w:pPr>
              <w:jc w:val="center"/>
              <w:rPr>
                <w:rFonts w:ascii="宋体" w:hAnsi="宋体" w:eastAsia="宋体" w:cs="宋体"/>
                <w:sz w:val="21"/>
                <w:szCs w:val="21"/>
              </w:rPr>
            </w:pPr>
            <w:r>
              <w:rPr>
                <w:rFonts w:ascii="宋体" w:hAnsi="宋体" w:eastAsia="宋体" w:cs="宋体"/>
                <w:sz w:val="21"/>
                <w:szCs w:val="21"/>
              </w:rPr>
              <w:t>100%</w:t>
            </w:r>
          </w:p>
        </w:tc>
        <w:tc>
          <w:tcPr>
            <w:tcW w:w="1285" w:type="dxa"/>
            <w:tcBorders>
              <w:top w:val="nil"/>
              <w:left w:val="nil"/>
              <w:bottom w:val="single" w:color="auto" w:sz="4" w:space="0"/>
              <w:right w:val="single" w:color="auto" w:sz="4" w:space="0"/>
            </w:tcBorders>
            <w:vAlign w:val="center"/>
          </w:tcPr>
          <w:p>
            <w:pPr>
              <w:jc w:val="center"/>
              <w:rPr>
                <w:rFonts w:ascii="宋体" w:hAnsi="宋体" w:eastAsia="宋体" w:cs="宋体"/>
                <w:sz w:val="21"/>
                <w:szCs w:val="21"/>
              </w:rPr>
            </w:pPr>
            <w:r>
              <w:rPr>
                <w:rFonts w:ascii="宋体" w:hAnsi="宋体" w:eastAsia="宋体" w:cs="宋体"/>
                <w:sz w:val="21"/>
                <w:szCs w:val="21"/>
              </w:rPr>
              <w:t>10</w:t>
            </w:r>
          </w:p>
        </w:tc>
      </w:tr>
      <w:tr>
        <w:tblPrEx>
          <w:tblCellMar>
            <w:top w:w="0" w:type="dxa"/>
            <w:left w:w="108" w:type="dxa"/>
            <w:bottom w:w="0" w:type="dxa"/>
            <w:right w:w="108" w:type="dxa"/>
          </w:tblCellMar>
        </w:tblPrEx>
        <w:trPr>
          <w:trHeight w:val="425" w:hRule="atLeast"/>
          <w:jc w:val="center"/>
        </w:trPr>
        <w:tc>
          <w:tcPr>
            <w:tcW w:w="975" w:type="dxa"/>
            <w:vMerge w:val="continue"/>
            <w:tcBorders>
              <w:left w:val="single" w:color="auto" w:sz="4" w:space="0"/>
              <w:right w:val="single" w:color="auto" w:sz="4" w:space="0"/>
            </w:tcBorders>
            <w:vAlign w:val="center"/>
          </w:tcPr>
          <w:p>
            <w:pPr>
              <w:widowControl/>
              <w:jc w:val="left"/>
              <w:rPr>
                <w:rFonts w:ascii="宋体" w:hAnsi="宋体" w:eastAsia="宋体"/>
                <w:kern w:val="0"/>
                <w:sz w:val="21"/>
                <w:szCs w:val="21"/>
              </w:rPr>
            </w:pPr>
          </w:p>
        </w:tc>
        <w:tc>
          <w:tcPr>
            <w:tcW w:w="5817" w:type="dxa"/>
            <w:gridSpan w:val="5"/>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按收入性质分：</w:t>
            </w:r>
            <w:r>
              <w:rPr>
                <w:rFonts w:ascii="宋体" w:hAnsi="宋体" w:eastAsia="宋体" w:cs="宋体"/>
                <w:kern w:val="0"/>
                <w:sz w:val="21"/>
                <w:szCs w:val="21"/>
              </w:rPr>
              <w:t>361.74</w:t>
            </w:r>
          </w:p>
        </w:tc>
        <w:tc>
          <w:tcPr>
            <w:tcW w:w="3744"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按支出性质分：</w:t>
            </w:r>
            <w:r>
              <w:rPr>
                <w:rFonts w:ascii="宋体" w:hAnsi="宋体" w:eastAsia="宋体" w:cs="宋体"/>
                <w:kern w:val="0"/>
                <w:sz w:val="21"/>
                <w:szCs w:val="21"/>
              </w:rPr>
              <w:t>361.74</w:t>
            </w:r>
          </w:p>
        </w:tc>
      </w:tr>
      <w:tr>
        <w:tblPrEx>
          <w:tblCellMar>
            <w:top w:w="0" w:type="dxa"/>
            <w:left w:w="108" w:type="dxa"/>
            <w:bottom w:w="0" w:type="dxa"/>
            <w:right w:w="108" w:type="dxa"/>
          </w:tblCellMar>
        </w:tblPrEx>
        <w:trPr>
          <w:trHeight w:val="258" w:hRule="atLeast"/>
          <w:jc w:val="center"/>
        </w:trPr>
        <w:tc>
          <w:tcPr>
            <w:tcW w:w="975" w:type="dxa"/>
            <w:vMerge w:val="continue"/>
            <w:tcBorders>
              <w:left w:val="single" w:color="auto" w:sz="4" w:space="0"/>
              <w:right w:val="single" w:color="auto" w:sz="4" w:space="0"/>
            </w:tcBorders>
            <w:vAlign w:val="center"/>
          </w:tcPr>
          <w:p>
            <w:pPr>
              <w:widowControl/>
              <w:jc w:val="left"/>
              <w:rPr>
                <w:rFonts w:ascii="宋体" w:hAnsi="宋体" w:eastAsia="宋体"/>
                <w:kern w:val="0"/>
                <w:sz w:val="21"/>
                <w:szCs w:val="21"/>
              </w:rPr>
            </w:pPr>
          </w:p>
        </w:tc>
        <w:tc>
          <w:tcPr>
            <w:tcW w:w="5817" w:type="dxa"/>
            <w:gridSpan w:val="5"/>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1"/>
                <w:szCs w:val="21"/>
              </w:rPr>
            </w:pPr>
            <w:r>
              <w:rPr>
                <w:rFonts w:ascii="宋体" w:hAnsi="宋体" w:eastAsia="宋体" w:cs="宋体"/>
                <w:kern w:val="0"/>
                <w:sz w:val="21"/>
                <w:szCs w:val="21"/>
              </w:rPr>
              <w:t xml:space="preserve">    </w:t>
            </w:r>
            <w:r>
              <w:rPr>
                <w:rFonts w:hint="eastAsia" w:ascii="宋体" w:hAnsi="宋体" w:eastAsia="宋体" w:cs="宋体"/>
                <w:kern w:val="0"/>
                <w:sz w:val="21"/>
                <w:szCs w:val="21"/>
              </w:rPr>
              <w:t>其中：一般公共预算：</w:t>
            </w:r>
            <w:r>
              <w:rPr>
                <w:rFonts w:ascii="宋体" w:hAnsi="宋体" w:eastAsia="宋体" w:cs="宋体"/>
                <w:kern w:val="0"/>
                <w:sz w:val="21"/>
                <w:szCs w:val="21"/>
              </w:rPr>
              <w:t>161.85</w:t>
            </w:r>
          </w:p>
        </w:tc>
        <w:tc>
          <w:tcPr>
            <w:tcW w:w="3744"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其中：基本支出：</w:t>
            </w:r>
            <w:r>
              <w:rPr>
                <w:rFonts w:ascii="宋体" w:hAnsi="宋体" w:eastAsia="宋体" w:cs="宋体"/>
                <w:kern w:val="0"/>
                <w:sz w:val="21"/>
                <w:szCs w:val="21"/>
              </w:rPr>
              <w:t>264.56</w:t>
            </w:r>
          </w:p>
        </w:tc>
      </w:tr>
      <w:tr>
        <w:tblPrEx>
          <w:tblCellMar>
            <w:top w:w="0" w:type="dxa"/>
            <w:left w:w="108" w:type="dxa"/>
            <w:bottom w:w="0" w:type="dxa"/>
            <w:right w:w="108" w:type="dxa"/>
          </w:tblCellMar>
        </w:tblPrEx>
        <w:trPr>
          <w:trHeight w:val="347" w:hRule="atLeast"/>
          <w:jc w:val="center"/>
        </w:trPr>
        <w:tc>
          <w:tcPr>
            <w:tcW w:w="975" w:type="dxa"/>
            <w:vMerge w:val="continue"/>
            <w:tcBorders>
              <w:left w:val="single" w:color="auto" w:sz="4" w:space="0"/>
              <w:right w:val="single" w:color="auto" w:sz="4" w:space="0"/>
            </w:tcBorders>
            <w:vAlign w:val="center"/>
          </w:tcPr>
          <w:p>
            <w:pPr>
              <w:widowControl/>
              <w:jc w:val="left"/>
              <w:rPr>
                <w:rFonts w:ascii="宋体" w:hAnsi="宋体" w:eastAsia="宋体"/>
                <w:kern w:val="0"/>
                <w:sz w:val="21"/>
                <w:szCs w:val="21"/>
              </w:rPr>
            </w:pPr>
          </w:p>
        </w:tc>
        <w:tc>
          <w:tcPr>
            <w:tcW w:w="5817" w:type="dxa"/>
            <w:gridSpan w:val="5"/>
            <w:tcBorders>
              <w:top w:val="nil"/>
              <w:left w:val="nil"/>
              <w:bottom w:val="single" w:color="auto" w:sz="4" w:space="0"/>
              <w:right w:val="single" w:color="auto" w:sz="4" w:space="0"/>
            </w:tcBorders>
            <w:vAlign w:val="center"/>
          </w:tcPr>
          <w:p>
            <w:pPr>
              <w:widowControl/>
              <w:ind w:firstLine="1050" w:firstLineChars="500"/>
              <w:jc w:val="left"/>
              <w:rPr>
                <w:rFonts w:ascii="宋体" w:hAnsi="宋体" w:eastAsia="宋体" w:cs="宋体"/>
                <w:kern w:val="0"/>
                <w:sz w:val="21"/>
                <w:szCs w:val="21"/>
              </w:rPr>
            </w:pPr>
            <w:r>
              <w:rPr>
                <w:rFonts w:hint="eastAsia" w:ascii="宋体" w:hAnsi="宋体" w:eastAsia="宋体" w:cs="宋体"/>
                <w:kern w:val="0"/>
                <w:sz w:val="21"/>
                <w:szCs w:val="21"/>
              </w:rPr>
              <w:t>政府性基金拨款：</w:t>
            </w:r>
            <w:r>
              <w:rPr>
                <w:rFonts w:ascii="宋体" w:hAnsi="宋体" w:eastAsia="宋体" w:cs="宋体"/>
                <w:kern w:val="0"/>
                <w:sz w:val="21"/>
                <w:szCs w:val="21"/>
              </w:rPr>
              <w:t>87.00</w:t>
            </w:r>
          </w:p>
        </w:tc>
        <w:tc>
          <w:tcPr>
            <w:tcW w:w="3744" w:type="dxa"/>
            <w:gridSpan w:val="4"/>
            <w:tcBorders>
              <w:top w:val="nil"/>
              <w:left w:val="nil"/>
              <w:bottom w:val="single" w:color="auto" w:sz="4" w:space="0"/>
              <w:right w:val="single" w:color="auto" w:sz="4" w:space="0"/>
            </w:tcBorders>
            <w:vAlign w:val="center"/>
          </w:tcPr>
          <w:p>
            <w:pPr>
              <w:widowControl/>
              <w:ind w:firstLine="630" w:firstLineChars="300"/>
              <w:jc w:val="left"/>
              <w:rPr>
                <w:rFonts w:ascii="宋体" w:hAnsi="宋体" w:eastAsia="宋体" w:cs="宋体"/>
                <w:kern w:val="0"/>
                <w:sz w:val="21"/>
                <w:szCs w:val="21"/>
              </w:rPr>
            </w:pPr>
            <w:r>
              <w:rPr>
                <w:rFonts w:hint="eastAsia" w:ascii="宋体" w:hAnsi="宋体" w:eastAsia="宋体" w:cs="宋体"/>
                <w:kern w:val="0"/>
                <w:sz w:val="21"/>
                <w:szCs w:val="21"/>
              </w:rPr>
              <w:t>项目支出：</w:t>
            </w:r>
            <w:r>
              <w:rPr>
                <w:rFonts w:ascii="宋体" w:hAnsi="宋体" w:eastAsia="宋体" w:cs="宋体"/>
                <w:kern w:val="0"/>
                <w:sz w:val="21"/>
                <w:szCs w:val="21"/>
              </w:rPr>
              <w:t>97.18</w:t>
            </w:r>
          </w:p>
        </w:tc>
      </w:tr>
      <w:tr>
        <w:tblPrEx>
          <w:tblCellMar>
            <w:top w:w="0" w:type="dxa"/>
            <w:left w:w="108" w:type="dxa"/>
            <w:bottom w:w="0" w:type="dxa"/>
            <w:right w:w="108" w:type="dxa"/>
          </w:tblCellMar>
        </w:tblPrEx>
        <w:trPr>
          <w:trHeight w:val="425" w:hRule="atLeast"/>
          <w:jc w:val="center"/>
        </w:trPr>
        <w:tc>
          <w:tcPr>
            <w:tcW w:w="975" w:type="dxa"/>
            <w:vMerge w:val="continue"/>
            <w:tcBorders>
              <w:left w:val="single" w:color="auto" w:sz="4" w:space="0"/>
              <w:right w:val="single" w:color="auto" w:sz="4" w:space="0"/>
            </w:tcBorders>
            <w:vAlign w:val="center"/>
          </w:tcPr>
          <w:p>
            <w:pPr>
              <w:widowControl/>
              <w:jc w:val="left"/>
              <w:rPr>
                <w:rFonts w:ascii="宋体" w:hAnsi="宋体" w:eastAsia="宋体"/>
                <w:kern w:val="0"/>
                <w:sz w:val="21"/>
                <w:szCs w:val="21"/>
              </w:rPr>
            </w:pPr>
          </w:p>
        </w:tc>
        <w:tc>
          <w:tcPr>
            <w:tcW w:w="5817" w:type="dxa"/>
            <w:gridSpan w:val="5"/>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纳入专户管理的非税收入拨款：</w:t>
            </w:r>
          </w:p>
        </w:tc>
        <w:tc>
          <w:tcPr>
            <w:tcW w:w="3744" w:type="dxa"/>
            <w:gridSpan w:val="4"/>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p>
        </w:tc>
      </w:tr>
      <w:tr>
        <w:tblPrEx>
          <w:tblCellMar>
            <w:top w:w="0" w:type="dxa"/>
            <w:left w:w="108" w:type="dxa"/>
            <w:bottom w:w="0" w:type="dxa"/>
            <w:right w:w="108" w:type="dxa"/>
          </w:tblCellMar>
        </w:tblPrEx>
        <w:trPr>
          <w:trHeight w:val="425" w:hRule="atLeast"/>
          <w:jc w:val="center"/>
        </w:trPr>
        <w:tc>
          <w:tcPr>
            <w:tcW w:w="975"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kern w:val="0"/>
                <w:sz w:val="21"/>
                <w:szCs w:val="21"/>
              </w:rPr>
            </w:pPr>
          </w:p>
        </w:tc>
        <w:tc>
          <w:tcPr>
            <w:tcW w:w="5817" w:type="dxa"/>
            <w:gridSpan w:val="5"/>
            <w:tcBorders>
              <w:top w:val="nil"/>
              <w:left w:val="nil"/>
              <w:bottom w:val="single" w:color="auto" w:sz="4" w:space="0"/>
              <w:right w:val="single" w:color="auto" w:sz="4" w:space="0"/>
            </w:tcBorders>
            <w:vAlign w:val="center"/>
          </w:tcPr>
          <w:p>
            <w:pPr>
              <w:widowControl/>
              <w:ind w:firstLine="1470" w:firstLineChars="700"/>
              <w:jc w:val="left"/>
              <w:rPr>
                <w:rFonts w:ascii="宋体" w:hAnsi="宋体" w:eastAsia="宋体" w:cs="宋体"/>
                <w:kern w:val="0"/>
                <w:sz w:val="21"/>
                <w:szCs w:val="21"/>
              </w:rPr>
            </w:pPr>
            <w:r>
              <w:rPr>
                <w:rFonts w:hint="eastAsia" w:ascii="宋体" w:hAnsi="宋体" w:eastAsia="宋体" w:cs="宋体"/>
                <w:kern w:val="0"/>
                <w:sz w:val="21"/>
                <w:szCs w:val="21"/>
              </w:rPr>
              <w:t>其他资金：</w:t>
            </w:r>
            <w:r>
              <w:rPr>
                <w:rFonts w:ascii="宋体" w:hAnsi="宋体" w:eastAsia="宋体" w:cs="宋体"/>
                <w:kern w:val="0"/>
                <w:sz w:val="21"/>
                <w:szCs w:val="21"/>
              </w:rPr>
              <w:t>112.89</w:t>
            </w:r>
          </w:p>
        </w:tc>
        <w:tc>
          <w:tcPr>
            <w:tcW w:w="3744" w:type="dxa"/>
            <w:gridSpan w:val="4"/>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p>
        </w:tc>
      </w:tr>
      <w:tr>
        <w:tblPrEx>
          <w:tblCellMar>
            <w:top w:w="0" w:type="dxa"/>
            <w:left w:w="108" w:type="dxa"/>
            <w:bottom w:w="0" w:type="dxa"/>
            <w:right w:w="108" w:type="dxa"/>
          </w:tblCellMar>
        </w:tblPrEx>
        <w:trPr>
          <w:trHeight w:val="425" w:hRule="atLeast"/>
          <w:jc w:val="center"/>
        </w:trPr>
        <w:tc>
          <w:tcPr>
            <w:tcW w:w="97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年度总体目标</w:t>
            </w:r>
          </w:p>
        </w:tc>
        <w:tc>
          <w:tcPr>
            <w:tcW w:w="5817"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预期目标</w:t>
            </w:r>
          </w:p>
        </w:tc>
        <w:tc>
          <w:tcPr>
            <w:tcW w:w="374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实际完成情况</w:t>
            </w:r>
          </w:p>
        </w:tc>
      </w:tr>
      <w:tr>
        <w:tblPrEx>
          <w:tblCellMar>
            <w:top w:w="0" w:type="dxa"/>
            <w:left w:w="108" w:type="dxa"/>
            <w:bottom w:w="0" w:type="dxa"/>
            <w:right w:w="108" w:type="dxa"/>
          </w:tblCellMar>
        </w:tblPrEx>
        <w:trPr>
          <w:trHeight w:val="425" w:hRule="atLeast"/>
          <w:jc w:val="center"/>
        </w:trPr>
        <w:tc>
          <w:tcPr>
            <w:tcW w:w="9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kern w:val="0"/>
                <w:sz w:val="21"/>
                <w:szCs w:val="21"/>
              </w:rPr>
            </w:pPr>
          </w:p>
        </w:tc>
        <w:tc>
          <w:tcPr>
            <w:tcW w:w="5817" w:type="dxa"/>
            <w:gridSpan w:val="5"/>
            <w:tcBorders>
              <w:top w:val="single" w:color="auto" w:sz="4" w:space="0"/>
              <w:left w:val="nil"/>
              <w:bottom w:val="single" w:color="auto" w:sz="4" w:space="0"/>
              <w:right w:val="single" w:color="000000" w:sz="4" w:space="0"/>
            </w:tcBorders>
          </w:tcPr>
          <w:p>
            <w:pPr>
              <w:rPr>
                <w:rFonts w:ascii="宋体" w:hAnsi="宋体" w:eastAsia="宋体"/>
                <w:sz w:val="21"/>
                <w:szCs w:val="21"/>
              </w:rPr>
            </w:pPr>
            <w:r>
              <w:rPr>
                <w:rFonts w:ascii="宋体" w:hAnsi="宋体" w:eastAsia="宋体" w:cs="宋体"/>
                <w:sz w:val="21"/>
                <w:szCs w:val="21"/>
              </w:rPr>
              <w:t>1</w:t>
            </w:r>
            <w:r>
              <w:rPr>
                <w:rFonts w:hint="eastAsia" w:ascii="宋体" w:hAnsi="宋体" w:eastAsia="宋体" w:cs="宋体"/>
                <w:sz w:val="21"/>
                <w:szCs w:val="21"/>
              </w:rPr>
              <w:t>、全面贯彻落实区委区政府重大决策部署。</w:t>
            </w:r>
          </w:p>
          <w:p>
            <w:pPr>
              <w:rPr>
                <w:rFonts w:ascii="宋体" w:hAnsi="宋体" w:eastAsia="宋体"/>
                <w:sz w:val="21"/>
                <w:szCs w:val="21"/>
              </w:rPr>
            </w:pPr>
            <w:r>
              <w:rPr>
                <w:rFonts w:ascii="宋体" w:hAnsi="宋体" w:eastAsia="宋体" w:cs="宋体"/>
                <w:sz w:val="21"/>
                <w:szCs w:val="21"/>
              </w:rPr>
              <w:t>2</w:t>
            </w:r>
            <w:r>
              <w:rPr>
                <w:rFonts w:hint="eastAsia" w:ascii="宋体" w:hAnsi="宋体" w:eastAsia="宋体" w:cs="宋体"/>
                <w:sz w:val="21"/>
                <w:szCs w:val="21"/>
              </w:rPr>
              <w:t>、全力推进棚户区改造和重点项目征拆。</w:t>
            </w:r>
          </w:p>
          <w:p>
            <w:pPr>
              <w:rPr>
                <w:rFonts w:ascii="宋体" w:hAnsi="宋体" w:eastAsia="宋体"/>
                <w:sz w:val="21"/>
                <w:szCs w:val="21"/>
              </w:rPr>
            </w:pPr>
            <w:r>
              <w:rPr>
                <w:rFonts w:ascii="宋体" w:hAnsi="宋体" w:eastAsia="宋体" w:cs="宋体"/>
                <w:sz w:val="21"/>
                <w:szCs w:val="21"/>
              </w:rPr>
              <w:t>3</w:t>
            </w:r>
            <w:r>
              <w:rPr>
                <w:rFonts w:hint="eastAsia" w:ascii="宋体" w:hAnsi="宋体" w:eastAsia="宋体" w:cs="宋体"/>
                <w:sz w:val="21"/>
                <w:szCs w:val="21"/>
              </w:rPr>
              <w:t>、全面完成安置房办证并加强安置小区管理。</w:t>
            </w:r>
          </w:p>
        </w:tc>
        <w:tc>
          <w:tcPr>
            <w:tcW w:w="374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已按要求全面落实</w:t>
            </w:r>
          </w:p>
        </w:tc>
      </w:tr>
      <w:tr>
        <w:tblPrEx>
          <w:tblCellMar>
            <w:top w:w="0" w:type="dxa"/>
            <w:left w:w="108" w:type="dxa"/>
            <w:bottom w:w="0" w:type="dxa"/>
            <w:right w:w="108" w:type="dxa"/>
          </w:tblCellMar>
        </w:tblPrEx>
        <w:trPr>
          <w:trHeight w:val="425" w:hRule="atLeast"/>
          <w:jc w:val="center"/>
        </w:trPr>
        <w:tc>
          <w:tcPr>
            <w:tcW w:w="975" w:type="dxa"/>
            <w:vMerge w:val="restart"/>
            <w:tcBorders>
              <w:top w:val="nil"/>
              <w:left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绩</w:t>
            </w:r>
          </w:p>
          <w:p>
            <w:pPr>
              <w:widowControl/>
              <w:jc w:val="center"/>
              <w:rPr>
                <w:rFonts w:ascii="宋体" w:hAnsi="宋体" w:eastAsia="宋体"/>
                <w:kern w:val="0"/>
                <w:sz w:val="21"/>
                <w:szCs w:val="21"/>
              </w:rPr>
            </w:pPr>
            <w:r>
              <w:rPr>
                <w:rFonts w:hint="eastAsia" w:ascii="宋体" w:hAnsi="宋体" w:eastAsia="宋体" w:cs="宋体"/>
                <w:kern w:val="0"/>
                <w:sz w:val="21"/>
                <w:szCs w:val="21"/>
              </w:rPr>
              <w:t>效</w:t>
            </w:r>
          </w:p>
          <w:p>
            <w:pPr>
              <w:widowControl/>
              <w:jc w:val="center"/>
              <w:rPr>
                <w:rFonts w:ascii="宋体" w:hAnsi="宋体" w:eastAsia="宋体"/>
                <w:kern w:val="0"/>
                <w:sz w:val="21"/>
                <w:szCs w:val="21"/>
              </w:rPr>
            </w:pPr>
            <w:r>
              <w:rPr>
                <w:rFonts w:hint="eastAsia" w:ascii="宋体" w:hAnsi="宋体" w:eastAsia="宋体" w:cs="宋体"/>
                <w:kern w:val="0"/>
                <w:sz w:val="21"/>
                <w:szCs w:val="21"/>
              </w:rPr>
              <w:t>指</w:t>
            </w:r>
          </w:p>
          <w:p>
            <w:pPr>
              <w:widowControl/>
              <w:jc w:val="center"/>
              <w:rPr>
                <w:rFonts w:ascii="宋体" w:hAnsi="宋体" w:eastAsia="宋体"/>
                <w:kern w:val="0"/>
                <w:sz w:val="21"/>
                <w:szCs w:val="21"/>
              </w:rPr>
            </w:pPr>
            <w:r>
              <w:rPr>
                <w:rFonts w:hint="eastAsia" w:ascii="宋体" w:hAnsi="宋体" w:eastAsia="宋体" w:cs="宋体"/>
                <w:kern w:val="0"/>
                <w:sz w:val="21"/>
                <w:szCs w:val="21"/>
              </w:rPr>
              <w:t>标</w:t>
            </w:r>
          </w:p>
        </w:tc>
        <w:tc>
          <w:tcPr>
            <w:tcW w:w="98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一级</w:t>
            </w:r>
          </w:p>
          <w:p>
            <w:pPr>
              <w:widowControl/>
              <w:jc w:val="center"/>
              <w:rPr>
                <w:rFonts w:ascii="宋体" w:hAnsi="宋体" w:eastAsia="宋体"/>
                <w:kern w:val="0"/>
                <w:sz w:val="21"/>
                <w:szCs w:val="21"/>
              </w:rPr>
            </w:pPr>
            <w:r>
              <w:rPr>
                <w:rFonts w:hint="eastAsia" w:ascii="宋体" w:hAnsi="宋体" w:eastAsia="宋体" w:cs="宋体"/>
                <w:kern w:val="0"/>
                <w:sz w:val="21"/>
                <w:szCs w:val="21"/>
              </w:rPr>
              <w:t>指标</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二级指标</w:t>
            </w:r>
          </w:p>
        </w:tc>
        <w:tc>
          <w:tcPr>
            <w:tcW w:w="21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三级指标</w:t>
            </w:r>
          </w:p>
        </w:tc>
        <w:tc>
          <w:tcPr>
            <w:tcW w:w="1583"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年度</w:t>
            </w:r>
          </w:p>
          <w:p>
            <w:pPr>
              <w:widowControl/>
              <w:jc w:val="center"/>
              <w:rPr>
                <w:rFonts w:ascii="宋体" w:hAnsi="宋体" w:eastAsia="宋体"/>
                <w:kern w:val="0"/>
                <w:sz w:val="21"/>
                <w:szCs w:val="21"/>
              </w:rPr>
            </w:pPr>
            <w:r>
              <w:rPr>
                <w:rFonts w:hint="eastAsia" w:ascii="宋体" w:hAnsi="宋体" w:eastAsia="宋体" w:cs="宋体"/>
                <w:kern w:val="0"/>
                <w:sz w:val="21"/>
                <w:szCs w:val="21"/>
              </w:rPr>
              <w:t>指标值</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实际</w:t>
            </w:r>
          </w:p>
          <w:p>
            <w:pPr>
              <w:widowControl/>
              <w:jc w:val="center"/>
              <w:rPr>
                <w:rFonts w:ascii="宋体" w:hAnsi="宋体" w:eastAsia="宋体"/>
                <w:kern w:val="0"/>
                <w:sz w:val="21"/>
                <w:szCs w:val="21"/>
              </w:rPr>
            </w:pPr>
            <w:r>
              <w:rPr>
                <w:rFonts w:hint="eastAsia" w:ascii="宋体" w:hAnsi="宋体" w:eastAsia="宋体" w:cs="宋体"/>
                <w:kern w:val="0"/>
                <w:sz w:val="21"/>
                <w:szCs w:val="21"/>
              </w:rPr>
              <w:t>完成值</w:t>
            </w:r>
          </w:p>
        </w:tc>
        <w:tc>
          <w:tcPr>
            <w:tcW w:w="678"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分值</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得分</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偏差原因</w:t>
            </w:r>
          </w:p>
          <w:p>
            <w:pPr>
              <w:widowControl/>
              <w:jc w:val="center"/>
              <w:rPr>
                <w:rFonts w:ascii="宋体" w:hAnsi="宋体" w:eastAsia="宋体"/>
                <w:kern w:val="0"/>
                <w:sz w:val="21"/>
                <w:szCs w:val="21"/>
              </w:rPr>
            </w:pPr>
            <w:r>
              <w:rPr>
                <w:rFonts w:hint="eastAsia" w:ascii="宋体" w:hAnsi="宋体" w:eastAsia="宋体" w:cs="宋体"/>
                <w:kern w:val="0"/>
                <w:sz w:val="21"/>
                <w:szCs w:val="21"/>
              </w:rPr>
              <w:t>分析及</w:t>
            </w:r>
          </w:p>
          <w:p>
            <w:pPr>
              <w:widowControl/>
              <w:jc w:val="center"/>
              <w:rPr>
                <w:rFonts w:ascii="宋体" w:hAnsi="宋体" w:eastAsia="宋体"/>
                <w:kern w:val="0"/>
                <w:sz w:val="21"/>
                <w:szCs w:val="21"/>
              </w:rPr>
            </w:pPr>
            <w:r>
              <w:rPr>
                <w:rFonts w:hint="eastAsia" w:ascii="宋体" w:hAnsi="宋体" w:eastAsia="宋体" w:cs="宋体"/>
                <w:kern w:val="0"/>
                <w:sz w:val="21"/>
                <w:szCs w:val="21"/>
              </w:rPr>
              <w:t>改进措施</w:t>
            </w:r>
          </w:p>
        </w:tc>
      </w:tr>
      <w:tr>
        <w:tblPrEx>
          <w:tblCellMar>
            <w:top w:w="0" w:type="dxa"/>
            <w:left w:w="108" w:type="dxa"/>
            <w:bottom w:w="0" w:type="dxa"/>
            <w:right w:w="108" w:type="dxa"/>
          </w:tblCellMar>
        </w:tblPrEx>
        <w:trPr>
          <w:trHeight w:val="571" w:hRule="atLeast"/>
          <w:jc w:val="center"/>
        </w:trPr>
        <w:tc>
          <w:tcPr>
            <w:tcW w:w="975" w:type="dxa"/>
            <w:vMerge w:val="continue"/>
            <w:tcBorders>
              <w:left w:val="single" w:color="auto" w:sz="4" w:space="0"/>
              <w:right w:val="single" w:color="auto" w:sz="4" w:space="0"/>
            </w:tcBorders>
            <w:vAlign w:val="center"/>
          </w:tcPr>
          <w:p>
            <w:pPr>
              <w:jc w:val="left"/>
              <w:rPr>
                <w:rFonts w:ascii="宋体" w:hAnsi="宋体" w:eastAsia="宋体"/>
                <w:kern w:val="0"/>
                <w:sz w:val="21"/>
                <w:szCs w:val="21"/>
              </w:rPr>
            </w:pPr>
          </w:p>
        </w:tc>
        <w:tc>
          <w:tcPr>
            <w:tcW w:w="980" w:type="dxa"/>
            <w:vMerge w:val="restart"/>
            <w:tcBorders>
              <w:top w:val="nil"/>
              <w:left w:val="nil"/>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产出</w:t>
            </w:r>
          </w:p>
          <w:p>
            <w:pPr>
              <w:widowControl/>
              <w:jc w:val="center"/>
              <w:rPr>
                <w:rFonts w:ascii="宋体" w:hAnsi="宋体" w:eastAsia="宋体"/>
                <w:kern w:val="0"/>
                <w:sz w:val="21"/>
                <w:szCs w:val="21"/>
              </w:rPr>
            </w:pPr>
            <w:r>
              <w:rPr>
                <w:rFonts w:hint="eastAsia" w:ascii="宋体" w:hAnsi="宋体" w:eastAsia="宋体" w:cs="宋体"/>
                <w:kern w:val="0"/>
                <w:sz w:val="21"/>
                <w:szCs w:val="21"/>
              </w:rPr>
              <w:t>指标</w:t>
            </w:r>
          </w:p>
          <w:p>
            <w:pPr>
              <w:widowControl/>
              <w:jc w:val="center"/>
              <w:rPr>
                <w:rFonts w:ascii="宋体" w:hAnsi="宋体" w:eastAsia="宋体" w:cs="宋体"/>
                <w:kern w:val="0"/>
                <w:sz w:val="21"/>
                <w:szCs w:val="21"/>
              </w:rPr>
            </w:pPr>
            <w:r>
              <w:rPr>
                <w:rFonts w:ascii="宋体" w:hAnsi="宋体" w:eastAsia="宋体" w:cs="宋体"/>
                <w:kern w:val="0"/>
                <w:sz w:val="21"/>
                <w:szCs w:val="21"/>
              </w:rPr>
              <w:t>(50</w:t>
            </w:r>
            <w:r>
              <w:rPr>
                <w:rFonts w:hint="eastAsia" w:ascii="宋体" w:hAnsi="宋体" w:eastAsia="宋体" w:cs="宋体"/>
                <w:kern w:val="0"/>
                <w:sz w:val="21"/>
                <w:szCs w:val="21"/>
              </w:rPr>
              <w:t>分</w:t>
            </w:r>
            <w:r>
              <w:rPr>
                <w:rFonts w:ascii="宋体" w:hAnsi="宋体" w:eastAsia="宋体" w:cs="宋体"/>
                <w:kern w:val="0"/>
                <w:sz w:val="21"/>
                <w:szCs w:val="21"/>
              </w:rPr>
              <w:t>)</w:t>
            </w:r>
          </w:p>
        </w:tc>
        <w:tc>
          <w:tcPr>
            <w:tcW w:w="1134" w:type="dxa"/>
            <w:vMerge w:val="restart"/>
            <w:tcBorders>
              <w:top w:val="nil"/>
              <w:left w:val="nil"/>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数量指标</w:t>
            </w:r>
          </w:p>
        </w:tc>
        <w:tc>
          <w:tcPr>
            <w:tcW w:w="2120" w:type="dxa"/>
            <w:gridSpan w:val="2"/>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参与乡镇重点拆迁项目个数</w:t>
            </w:r>
          </w:p>
        </w:tc>
        <w:tc>
          <w:tcPr>
            <w:tcW w:w="1583"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ascii="宋体" w:hAnsi="宋体" w:eastAsia="宋体" w:cs="宋体"/>
                <w:kern w:val="0"/>
                <w:sz w:val="21"/>
                <w:szCs w:val="21"/>
              </w:rPr>
              <w:t>5</w:t>
            </w:r>
            <w:r>
              <w:rPr>
                <w:rFonts w:hint="eastAsia" w:ascii="宋体" w:hAnsi="宋体" w:eastAsia="宋体" w:cs="宋体"/>
                <w:kern w:val="0"/>
                <w:sz w:val="21"/>
                <w:szCs w:val="21"/>
              </w:rPr>
              <w:t>个</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ascii="宋体" w:hAnsi="宋体" w:eastAsia="宋体" w:cs="宋体"/>
                <w:kern w:val="0"/>
                <w:sz w:val="21"/>
                <w:szCs w:val="21"/>
              </w:rPr>
              <w:t>5</w:t>
            </w:r>
            <w:r>
              <w:rPr>
                <w:rFonts w:hint="eastAsia" w:ascii="宋体" w:hAnsi="宋体" w:eastAsia="宋体" w:cs="宋体"/>
                <w:kern w:val="0"/>
                <w:sz w:val="21"/>
                <w:szCs w:val="21"/>
              </w:rPr>
              <w:t>个</w:t>
            </w:r>
          </w:p>
        </w:tc>
        <w:tc>
          <w:tcPr>
            <w:tcW w:w="678" w:type="dxa"/>
            <w:tcBorders>
              <w:top w:val="nil"/>
              <w:left w:val="nil"/>
              <w:bottom w:val="single" w:color="auto" w:sz="4" w:space="0"/>
              <w:right w:val="single" w:color="auto" w:sz="4" w:space="0"/>
            </w:tcBorders>
            <w:vAlign w:val="center"/>
          </w:tcPr>
          <w:p>
            <w:pPr>
              <w:widowControl/>
              <w:ind w:firstLine="210" w:firstLineChars="100"/>
              <w:jc w:val="center"/>
              <w:rPr>
                <w:rFonts w:ascii="宋体" w:hAnsi="宋体" w:eastAsia="宋体" w:cs="宋体"/>
                <w:kern w:val="0"/>
                <w:sz w:val="21"/>
                <w:szCs w:val="21"/>
              </w:rPr>
            </w:pPr>
            <w:r>
              <w:rPr>
                <w:rFonts w:ascii="宋体" w:hAnsi="宋体" w:eastAsia="宋体" w:cs="宋体"/>
                <w:kern w:val="0"/>
                <w:sz w:val="21"/>
                <w:szCs w:val="21"/>
              </w:rPr>
              <w:t>6</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6</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225" w:hRule="atLeast"/>
          <w:jc w:val="center"/>
        </w:trPr>
        <w:tc>
          <w:tcPr>
            <w:tcW w:w="975" w:type="dxa"/>
            <w:vMerge w:val="continue"/>
            <w:tcBorders>
              <w:left w:val="single" w:color="auto" w:sz="4" w:space="0"/>
              <w:right w:val="single" w:color="auto" w:sz="4" w:space="0"/>
            </w:tcBorders>
            <w:vAlign w:val="center"/>
          </w:tcPr>
          <w:p>
            <w:pPr>
              <w:jc w:val="left"/>
              <w:rPr>
                <w:rFonts w:ascii="宋体" w:hAnsi="宋体" w:eastAsia="宋体"/>
                <w:kern w:val="0"/>
                <w:sz w:val="21"/>
                <w:szCs w:val="21"/>
              </w:rPr>
            </w:pPr>
          </w:p>
        </w:tc>
        <w:tc>
          <w:tcPr>
            <w:tcW w:w="980" w:type="dxa"/>
            <w:vMerge w:val="continue"/>
            <w:tcBorders>
              <w:left w:val="nil"/>
              <w:right w:val="single" w:color="auto" w:sz="4" w:space="0"/>
            </w:tcBorders>
            <w:vAlign w:val="center"/>
          </w:tcPr>
          <w:p>
            <w:pPr>
              <w:jc w:val="left"/>
              <w:rPr>
                <w:rFonts w:ascii="宋体" w:hAnsi="宋体" w:eastAsia="宋体"/>
                <w:kern w:val="0"/>
                <w:sz w:val="21"/>
                <w:szCs w:val="21"/>
              </w:rPr>
            </w:pPr>
          </w:p>
        </w:tc>
        <w:tc>
          <w:tcPr>
            <w:tcW w:w="1134" w:type="dxa"/>
            <w:vMerge w:val="continue"/>
            <w:tcBorders>
              <w:left w:val="nil"/>
              <w:right w:val="single" w:color="auto" w:sz="4" w:space="0"/>
            </w:tcBorders>
            <w:vAlign w:val="center"/>
          </w:tcPr>
          <w:p>
            <w:pPr>
              <w:jc w:val="center"/>
              <w:rPr>
                <w:rFonts w:ascii="宋体" w:hAnsi="宋体" w:eastAsia="宋体"/>
                <w:kern w:val="0"/>
                <w:sz w:val="21"/>
                <w:szCs w:val="21"/>
              </w:rPr>
            </w:pPr>
          </w:p>
        </w:tc>
        <w:tc>
          <w:tcPr>
            <w:tcW w:w="2120" w:type="dxa"/>
            <w:gridSpan w:val="2"/>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安置房办证率</w:t>
            </w:r>
          </w:p>
        </w:tc>
        <w:tc>
          <w:tcPr>
            <w:tcW w:w="1583" w:type="dxa"/>
            <w:tcBorders>
              <w:top w:val="nil"/>
              <w:left w:val="nil"/>
              <w:bottom w:val="single" w:color="auto" w:sz="4" w:space="0"/>
              <w:right w:val="single" w:color="auto" w:sz="4" w:space="0"/>
            </w:tcBorders>
            <w:vAlign w:val="center"/>
          </w:tcPr>
          <w:p>
            <w:pPr>
              <w:widowControl/>
              <w:ind w:firstLine="105" w:firstLineChars="50"/>
              <w:jc w:val="center"/>
              <w:rPr>
                <w:rFonts w:ascii="宋体" w:hAnsi="宋体" w:eastAsia="宋体" w:cs="宋体"/>
                <w:kern w:val="0"/>
                <w:sz w:val="21"/>
                <w:szCs w:val="21"/>
              </w:rPr>
            </w:pPr>
            <w:r>
              <w:rPr>
                <w:rFonts w:hint="eastAsia" w:ascii="宋体" w:hAnsi="宋体" w:eastAsia="宋体" w:cs="宋体"/>
                <w:kern w:val="0"/>
                <w:sz w:val="21"/>
                <w:szCs w:val="21"/>
              </w:rPr>
              <w:t>≥</w:t>
            </w:r>
            <w:r>
              <w:rPr>
                <w:rFonts w:ascii="宋体" w:hAnsi="宋体" w:eastAsia="宋体" w:cs="宋体"/>
                <w:kern w:val="0"/>
                <w:sz w:val="21"/>
                <w:szCs w:val="21"/>
              </w:rPr>
              <w:t>90%</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w:t>
            </w:r>
            <w:r>
              <w:rPr>
                <w:rFonts w:ascii="宋体" w:hAnsi="宋体" w:eastAsia="宋体" w:cs="宋体"/>
                <w:kern w:val="0"/>
                <w:sz w:val="21"/>
                <w:szCs w:val="21"/>
              </w:rPr>
              <w:t>94%</w:t>
            </w:r>
          </w:p>
        </w:tc>
        <w:tc>
          <w:tcPr>
            <w:tcW w:w="67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  </w:t>
            </w:r>
            <w:r>
              <w:rPr>
                <w:rFonts w:ascii="宋体" w:hAnsi="宋体" w:eastAsia="宋体" w:cs="宋体"/>
                <w:kern w:val="0"/>
                <w:sz w:val="21"/>
                <w:szCs w:val="21"/>
              </w:rPr>
              <w:t>6</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6</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755" w:hRule="atLeast"/>
          <w:jc w:val="center"/>
        </w:trPr>
        <w:tc>
          <w:tcPr>
            <w:tcW w:w="975" w:type="dxa"/>
            <w:vMerge w:val="continue"/>
            <w:tcBorders>
              <w:left w:val="single" w:color="auto" w:sz="4" w:space="0"/>
              <w:right w:val="single" w:color="auto" w:sz="4" w:space="0"/>
            </w:tcBorders>
            <w:vAlign w:val="center"/>
          </w:tcPr>
          <w:p>
            <w:pPr>
              <w:jc w:val="left"/>
              <w:rPr>
                <w:rFonts w:ascii="宋体" w:hAnsi="宋体" w:eastAsia="宋体"/>
                <w:kern w:val="0"/>
                <w:sz w:val="21"/>
                <w:szCs w:val="21"/>
              </w:rPr>
            </w:pPr>
          </w:p>
        </w:tc>
        <w:tc>
          <w:tcPr>
            <w:tcW w:w="980" w:type="dxa"/>
            <w:vMerge w:val="continue"/>
            <w:tcBorders>
              <w:left w:val="nil"/>
              <w:right w:val="single" w:color="auto" w:sz="4" w:space="0"/>
            </w:tcBorders>
            <w:vAlign w:val="center"/>
          </w:tcPr>
          <w:p>
            <w:pPr>
              <w:jc w:val="left"/>
              <w:rPr>
                <w:rFonts w:ascii="宋体" w:hAnsi="宋体" w:eastAsia="宋体"/>
                <w:kern w:val="0"/>
                <w:sz w:val="21"/>
                <w:szCs w:val="21"/>
              </w:rPr>
            </w:pPr>
          </w:p>
        </w:tc>
        <w:tc>
          <w:tcPr>
            <w:tcW w:w="1134" w:type="dxa"/>
            <w:vMerge w:val="continue"/>
            <w:tcBorders>
              <w:left w:val="nil"/>
              <w:bottom w:val="single" w:color="auto" w:sz="4" w:space="0"/>
              <w:right w:val="single" w:color="auto" w:sz="4" w:space="0"/>
            </w:tcBorders>
            <w:vAlign w:val="center"/>
          </w:tcPr>
          <w:p>
            <w:pPr>
              <w:widowControl/>
              <w:jc w:val="center"/>
              <w:rPr>
                <w:rFonts w:ascii="宋体" w:hAnsi="宋体" w:eastAsia="宋体"/>
                <w:kern w:val="0"/>
                <w:sz w:val="21"/>
                <w:szCs w:val="21"/>
              </w:rPr>
            </w:pPr>
          </w:p>
        </w:tc>
        <w:tc>
          <w:tcPr>
            <w:tcW w:w="2120" w:type="dxa"/>
            <w:gridSpan w:val="2"/>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项目扫尾完成率</w:t>
            </w:r>
          </w:p>
        </w:tc>
        <w:tc>
          <w:tcPr>
            <w:tcW w:w="1583"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≥8</w:t>
            </w:r>
            <w:r>
              <w:rPr>
                <w:rFonts w:ascii="宋体" w:hAnsi="宋体" w:eastAsia="宋体" w:cs="宋体"/>
                <w:kern w:val="0"/>
                <w:sz w:val="21"/>
                <w:szCs w:val="21"/>
              </w:rPr>
              <w:t>0%</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≥75</w:t>
            </w:r>
            <w:r>
              <w:rPr>
                <w:rFonts w:ascii="宋体" w:hAnsi="宋体" w:eastAsia="宋体" w:cs="宋体"/>
                <w:kern w:val="0"/>
                <w:sz w:val="21"/>
                <w:szCs w:val="21"/>
              </w:rPr>
              <w:t>%</w:t>
            </w:r>
          </w:p>
        </w:tc>
        <w:tc>
          <w:tcPr>
            <w:tcW w:w="678" w:type="dxa"/>
            <w:tcBorders>
              <w:top w:val="nil"/>
              <w:left w:val="nil"/>
              <w:bottom w:val="single" w:color="auto" w:sz="4" w:space="0"/>
              <w:right w:val="single" w:color="auto" w:sz="4" w:space="0"/>
            </w:tcBorders>
            <w:vAlign w:val="center"/>
          </w:tcPr>
          <w:p>
            <w:pPr>
              <w:widowControl/>
              <w:ind w:firstLine="105" w:firstLineChars="50"/>
              <w:jc w:val="center"/>
              <w:rPr>
                <w:rFonts w:ascii="宋体" w:hAnsi="宋体" w:eastAsia="宋体" w:cs="宋体"/>
                <w:kern w:val="0"/>
                <w:sz w:val="21"/>
                <w:szCs w:val="21"/>
              </w:rPr>
            </w:pPr>
            <w:r>
              <w:rPr>
                <w:rFonts w:hint="eastAsia" w:ascii="宋体" w:hAnsi="宋体" w:eastAsia="宋体" w:cs="宋体"/>
                <w:kern w:val="0"/>
                <w:sz w:val="21"/>
                <w:szCs w:val="21"/>
              </w:rPr>
              <w:t xml:space="preserve"> </w:t>
            </w:r>
            <w:r>
              <w:rPr>
                <w:rFonts w:ascii="宋体" w:hAnsi="宋体" w:eastAsia="宋体" w:cs="宋体"/>
                <w:kern w:val="0"/>
                <w:sz w:val="21"/>
                <w:szCs w:val="21"/>
              </w:rPr>
              <w:t>6</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5</w:t>
            </w:r>
          </w:p>
        </w:tc>
        <w:tc>
          <w:tcPr>
            <w:tcW w:w="1285" w:type="dxa"/>
            <w:tcBorders>
              <w:top w:val="nil"/>
              <w:left w:val="nil"/>
              <w:bottom w:val="single" w:color="auto" w:sz="4" w:space="0"/>
              <w:right w:val="single" w:color="auto" w:sz="4" w:space="0"/>
            </w:tcBorders>
            <w:vAlign w:val="center"/>
          </w:tcPr>
          <w:p>
            <w:r>
              <w:rPr>
                <w:rFonts w:hint="eastAsia" w:ascii="宋体" w:hAnsi="宋体" w:eastAsia="宋体" w:cs="宋体"/>
                <w:kern w:val="0"/>
                <w:sz w:val="21"/>
                <w:szCs w:val="21"/>
              </w:rPr>
              <w:t>个别被征拆户房屋征拆难度大</w:t>
            </w:r>
          </w:p>
        </w:tc>
      </w:tr>
      <w:tr>
        <w:tblPrEx>
          <w:tblCellMar>
            <w:top w:w="0" w:type="dxa"/>
            <w:left w:w="108" w:type="dxa"/>
            <w:bottom w:w="0" w:type="dxa"/>
            <w:right w:w="108" w:type="dxa"/>
          </w:tblCellMar>
        </w:tblPrEx>
        <w:trPr>
          <w:trHeight w:val="385" w:hRule="atLeast"/>
          <w:jc w:val="center"/>
        </w:trPr>
        <w:tc>
          <w:tcPr>
            <w:tcW w:w="975" w:type="dxa"/>
            <w:vMerge w:val="continue"/>
            <w:tcBorders>
              <w:left w:val="single" w:color="auto" w:sz="4" w:space="0"/>
              <w:right w:val="single" w:color="auto" w:sz="4" w:space="0"/>
            </w:tcBorders>
            <w:vAlign w:val="center"/>
          </w:tcPr>
          <w:p>
            <w:pPr>
              <w:jc w:val="left"/>
              <w:rPr>
                <w:rFonts w:ascii="宋体" w:hAnsi="宋体" w:eastAsia="宋体"/>
                <w:kern w:val="0"/>
                <w:sz w:val="21"/>
                <w:szCs w:val="21"/>
              </w:rPr>
            </w:pPr>
          </w:p>
        </w:tc>
        <w:tc>
          <w:tcPr>
            <w:tcW w:w="980" w:type="dxa"/>
            <w:vMerge w:val="continue"/>
            <w:tcBorders>
              <w:left w:val="nil"/>
              <w:right w:val="single" w:color="auto" w:sz="4" w:space="0"/>
            </w:tcBorders>
            <w:vAlign w:val="center"/>
          </w:tcPr>
          <w:p>
            <w:pPr>
              <w:jc w:val="left"/>
              <w:rPr>
                <w:rFonts w:ascii="宋体" w:hAnsi="宋体" w:eastAsia="宋体"/>
                <w:kern w:val="0"/>
                <w:sz w:val="21"/>
                <w:szCs w:val="21"/>
              </w:rPr>
            </w:pPr>
          </w:p>
        </w:tc>
        <w:tc>
          <w:tcPr>
            <w:tcW w:w="1134" w:type="dxa"/>
            <w:vMerge w:val="restart"/>
            <w:tcBorders>
              <w:top w:val="nil"/>
              <w:left w:val="nil"/>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质量指标</w:t>
            </w:r>
          </w:p>
        </w:tc>
        <w:tc>
          <w:tcPr>
            <w:tcW w:w="2120" w:type="dxa"/>
            <w:gridSpan w:val="2"/>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管理制度健全率</w:t>
            </w:r>
          </w:p>
        </w:tc>
        <w:tc>
          <w:tcPr>
            <w:tcW w:w="158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100%</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100%</w:t>
            </w:r>
          </w:p>
        </w:tc>
        <w:tc>
          <w:tcPr>
            <w:tcW w:w="678" w:type="dxa"/>
            <w:tcBorders>
              <w:top w:val="nil"/>
              <w:left w:val="nil"/>
              <w:bottom w:val="single" w:color="auto" w:sz="4" w:space="0"/>
              <w:right w:val="single" w:color="auto" w:sz="4" w:space="0"/>
            </w:tcBorders>
            <w:vAlign w:val="center"/>
          </w:tcPr>
          <w:p>
            <w:pPr>
              <w:widowControl/>
              <w:ind w:firstLine="105" w:firstLineChars="50"/>
              <w:jc w:val="center"/>
              <w:rPr>
                <w:rFonts w:ascii="宋体" w:hAnsi="宋体" w:eastAsia="宋体" w:cs="宋体"/>
                <w:kern w:val="0"/>
                <w:sz w:val="21"/>
                <w:szCs w:val="21"/>
              </w:rPr>
            </w:pPr>
            <w:r>
              <w:rPr>
                <w:rFonts w:hint="eastAsia" w:ascii="宋体" w:hAnsi="宋体" w:eastAsia="宋体" w:cs="宋体"/>
                <w:kern w:val="0"/>
                <w:sz w:val="21"/>
                <w:szCs w:val="21"/>
              </w:rPr>
              <w:t xml:space="preserve"> </w:t>
            </w:r>
            <w:r>
              <w:rPr>
                <w:rFonts w:ascii="宋体" w:hAnsi="宋体" w:eastAsia="宋体" w:cs="宋体"/>
                <w:kern w:val="0"/>
                <w:sz w:val="21"/>
                <w:szCs w:val="21"/>
              </w:rPr>
              <w:t>6</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6</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263" w:hRule="atLeast"/>
          <w:jc w:val="center"/>
        </w:trPr>
        <w:tc>
          <w:tcPr>
            <w:tcW w:w="975" w:type="dxa"/>
            <w:vMerge w:val="continue"/>
            <w:tcBorders>
              <w:left w:val="single" w:color="auto" w:sz="4" w:space="0"/>
              <w:right w:val="single" w:color="auto" w:sz="4" w:space="0"/>
            </w:tcBorders>
            <w:vAlign w:val="center"/>
          </w:tcPr>
          <w:p>
            <w:pPr>
              <w:jc w:val="left"/>
              <w:rPr>
                <w:rFonts w:ascii="宋体" w:hAnsi="宋体" w:eastAsia="宋体"/>
                <w:kern w:val="0"/>
                <w:sz w:val="21"/>
                <w:szCs w:val="21"/>
              </w:rPr>
            </w:pPr>
          </w:p>
        </w:tc>
        <w:tc>
          <w:tcPr>
            <w:tcW w:w="980" w:type="dxa"/>
            <w:vMerge w:val="continue"/>
            <w:tcBorders>
              <w:left w:val="nil"/>
              <w:right w:val="single" w:color="auto" w:sz="4" w:space="0"/>
            </w:tcBorders>
            <w:vAlign w:val="center"/>
          </w:tcPr>
          <w:p>
            <w:pPr>
              <w:jc w:val="left"/>
              <w:rPr>
                <w:rFonts w:ascii="宋体" w:hAnsi="宋体" w:eastAsia="宋体"/>
                <w:kern w:val="0"/>
                <w:sz w:val="21"/>
                <w:szCs w:val="21"/>
              </w:rPr>
            </w:pPr>
          </w:p>
        </w:tc>
        <w:tc>
          <w:tcPr>
            <w:tcW w:w="1134" w:type="dxa"/>
            <w:vMerge w:val="continue"/>
            <w:tcBorders>
              <w:left w:val="nil"/>
              <w:bottom w:val="single" w:color="auto" w:sz="4" w:space="0"/>
              <w:right w:val="single" w:color="auto" w:sz="4" w:space="0"/>
            </w:tcBorders>
            <w:vAlign w:val="center"/>
          </w:tcPr>
          <w:p>
            <w:pPr>
              <w:widowControl/>
              <w:jc w:val="center"/>
              <w:rPr>
                <w:rFonts w:ascii="宋体" w:hAnsi="宋体" w:eastAsia="宋体"/>
                <w:kern w:val="0"/>
                <w:sz w:val="21"/>
                <w:szCs w:val="21"/>
              </w:rPr>
            </w:pPr>
          </w:p>
        </w:tc>
        <w:tc>
          <w:tcPr>
            <w:tcW w:w="2120" w:type="dxa"/>
            <w:gridSpan w:val="2"/>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预算完成率</w:t>
            </w:r>
          </w:p>
        </w:tc>
        <w:tc>
          <w:tcPr>
            <w:tcW w:w="158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100%</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100%</w:t>
            </w:r>
          </w:p>
        </w:tc>
        <w:tc>
          <w:tcPr>
            <w:tcW w:w="67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  </w:t>
            </w:r>
            <w:r>
              <w:rPr>
                <w:rFonts w:ascii="宋体" w:hAnsi="宋体" w:eastAsia="宋体" w:cs="宋体"/>
                <w:kern w:val="0"/>
                <w:sz w:val="21"/>
                <w:szCs w:val="21"/>
              </w:rPr>
              <w:t>5</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5</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509" w:hRule="atLeast"/>
          <w:jc w:val="center"/>
        </w:trPr>
        <w:tc>
          <w:tcPr>
            <w:tcW w:w="975" w:type="dxa"/>
            <w:vMerge w:val="continue"/>
            <w:tcBorders>
              <w:left w:val="single" w:color="auto" w:sz="4" w:space="0"/>
              <w:right w:val="single" w:color="auto" w:sz="4" w:space="0"/>
            </w:tcBorders>
            <w:vAlign w:val="center"/>
          </w:tcPr>
          <w:p>
            <w:pPr>
              <w:jc w:val="left"/>
              <w:rPr>
                <w:rFonts w:ascii="宋体" w:hAnsi="宋体" w:eastAsia="宋体"/>
                <w:kern w:val="0"/>
                <w:sz w:val="21"/>
                <w:szCs w:val="21"/>
              </w:rPr>
            </w:pPr>
          </w:p>
        </w:tc>
        <w:tc>
          <w:tcPr>
            <w:tcW w:w="980" w:type="dxa"/>
            <w:vMerge w:val="continue"/>
            <w:tcBorders>
              <w:left w:val="nil"/>
              <w:right w:val="single" w:color="auto" w:sz="4" w:space="0"/>
            </w:tcBorders>
            <w:vAlign w:val="center"/>
          </w:tcPr>
          <w:p>
            <w:pPr>
              <w:jc w:val="left"/>
              <w:rPr>
                <w:rFonts w:ascii="宋体" w:hAnsi="宋体" w:eastAsia="宋体"/>
                <w:kern w:val="0"/>
                <w:sz w:val="21"/>
                <w:szCs w:val="21"/>
              </w:rPr>
            </w:pPr>
          </w:p>
        </w:tc>
        <w:tc>
          <w:tcPr>
            <w:tcW w:w="1134" w:type="dxa"/>
            <w:vMerge w:val="continue"/>
            <w:tcBorders>
              <w:left w:val="nil"/>
              <w:bottom w:val="single" w:color="auto" w:sz="4" w:space="0"/>
              <w:right w:val="single" w:color="auto" w:sz="4" w:space="0"/>
            </w:tcBorders>
            <w:vAlign w:val="center"/>
          </w:tcPr>
          <w:p>
            <w:pPr>
              <w:widowControl/>
              <w:jc w:val="center"/>
              <w:rPr>
                <w:rFonts w:ascii="宋体" w:hAnsi="宋体" w:eastAsia="宋体"/>
                <w:kern w:val="0"/>
                <w:sz w:val="21"/>
                <w:szCs w:val="21"/>
              </w:rPr>
            </w:pPr>
          </w:p>
        </w:tc>
        <w:tc>
          <w:tcPr>
            <w:tcW w:w="2120" w:type="dxa"/>
            <w:gridSpan w:val="2"/>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资金使用合规率</w:t>
            </w:r>
          </w:p>
        </w:tc>
        <w:tc>
          <w:tcPr>
            <w:tcW w:w="158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100%</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99%</w:t>
            </w:r>
          </w:p>
        </w:tc>
        <w:tc>
          <w:tcPr>
            <w:tcW w:w="67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  </w:t>
            </w:r>
            <w:r>
              <w:rPr>
                <w:rFonts w:ascii="宋体" w:hAnsi="宋体" w:eastAsia="宋体" w:cs="宋体"/>
                <w:kern w:val="0"/>
                <w:sz w:val="21"/>
                <w:szCs w:val="21"/>
              </w:rPr>
              <w:t>6</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5</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存在有指标</w:t>
            </w:r>
          </w:p>
          <w:p>
            <w:pPr>
              <w:widowControl/>
              <w:jc w:val="center"/>
              <w:rPr>
                <w:rFonts w:ascii="宋体" w:hAnsi="宋体" w:eastAsia="宋体"/>
                <w:kern w:val="0"/>
                <w:sz w:val="21"/>
                <w:szCs w:val="21"/>
              </w:rPr>
            </w:pPr>
            <w:r>
              <w:rPr>
                <w:rFonts w:hint="eastAsia" w:ascii="宋体" w:hAnsi="宋体" w:eastAsia="宋体" w:cs="宋体"/>
                <w:kern w:val="0"/>
                <w:sz w:val="21"/>
                <w:szCs w:val="21"/>
              </w:rPr>
              <w:t>串用现象</w:t>
            </w:r>
          </w:p>
        </w:tc>
      </w:tr>
      <w:tr>
        <w:tblPrEx>
          <w:tblCellMar>
            <w:top w:w="0" w:type="dxa"/>
            <w:left w:w="108" w:type="dxa"/>
            <w:bottom w:w="0" w:type="dxa"/>
            <w:right w:w="108" w:type="dxa"/>
          </w:tblCellMar>
        </w:tblPrEx>
        <w:trPr>
          <w:trHeight w:val="425" w:hRule="atLeast"/>
          <w:jc w:val="center"/>
        </w:trPr>
        <w:tc>
          <w:tcPr>
            <w:tcW w:w="975" w:type="dxa"/>
            <w:vMerge w:val="continue"/>
            <w:tcBorders>
              <w:left w:val="single" w:color="auto" w:sz="4" w:space="0"/>
              <w:right w:val="single" w:color="auto" w:sz="4" w:space="0"/>
            </w:tcBorders>
            <w:vAlign w:val="center"/>
          </w:tcPr>
          <w:p>
            <w:pPr>
              <w:jc w:val="left"/>
              <w:rPr>
                <w:rFonts w:ascii="宋体" w:hAnsi="宋体" w:eastAsia="宋体"/>
                <w:kern w:val="0"/>
                <w:sz w:val="21"/>
                <w:szCs w:val="21"/>
              </w:rPr>
            </w:pPr>
          </w:p>
        </w:tc>
        <w:tc>
          <w:tcPr>
            <w:tcW w:w="980" w:type="dxa"/>
            <w:vMerge w:val="continue"/>
            <w:tcBorders>
              <w:left w:val="nil"/>
              <w:right w:val="single" w:color="auto" w:sz="4" w:space="0"/>
            </w:tcBorders>
            <w:vAlign w:val="center"/>
          </w:tcPr>
          <w:p>
            <w:pPr>
              <w:jc w:val="left"/>
              <w:rPr>
                <w:rFonts w:ascii="宋体" w:hAnsi="宋体" w:eastAsia="宋体"/>
                <w:kern w:val="0"/>
                <w:sz w:val="21"/>
                <w:szCs w:val="21"/>
              </w:rPr>
            </w:pPr>
          </w:p>
        </w:tc>
        <w:tc>
          <w:tcPr>
            <w:tcW w:w="1134" w:type="dxa"/>
            <w:tcBorders>
              <w:top w:val="nil"/>
              <w:left w:val="nil"/>
              <w:right w:val="single" w:color="auto" w:sz="4" w:space="0"/>
            </w:tcBorders>
            <w:vAlign w:val="center"/>
          </w:tcPr>
          <w:p>
            <w:pPr>
              <w:widowControl/>
              <w:jc w:val="center"/>
              <w:rPr>
                <w:rFonts w:ascii="宋体" w:hAnsi="宋体" w:eastAsia="宋体"/>
                <w:kern w:val="0"/>
                <w:sz w:val="21"/>
                <w:szCs w:val="21"/>
              </w:rPr>
            </w:pPr>
          </w:p>
        </w:tc>
        <w:tc>
          <w:tcPr>
            <w:tcW w:w="2120" w:type="dxa"/>
            <w:gridSpan w:val="2"/>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拆迁补偿款按时发放</w:t>
            </w:r>
          </w:p>
        </w:tc>
        <w:tc>
          <w:tcPr>
            <w:tcW w:w="1583" w:type="dxa"/>
            <w:tcBorders>
              <w:top w:val="nil"/>
              <w:left w:val="nil"/>
              <w:bottom w:val="single" w:color="auto" w:sz="4" w:space="0"/>
              <w:right w:val="single" w:color="auto" w:sz="4" w:space="0"/>
            </w:tcBorders>
            <w:vAlign w:val="center"/>
          </w:tcPr>
          <w:p>
            <w:pPr>
              <w:widowControl/>
              <w:ind w:firstLine="210" w:firstLineChars="100"/>
              <w:jc w:val="center"/>
              <w:rPr>
                <w:rFonts w:ascii="宋体" w:hAnsi="宋体" w:eastAsia="宋体"/>
                <w:kern w:val="0"/>
                <w:sz w:val="21"/>
                <w:szCs w:val="21"/>
              </w:rPr>
            </w:pPr>
            <w:r>
              <w:rPr>
                <w:rFonts w:hint="eastAsia" w:ascii="宋体" w:hAnsi="宋体" w:eastAsia="宋体" w:cs="宋体"/>
                <w:kern w:val="0"/>
                <w:sz w:val="21"/>
                <w:szCs w:val="21"/>
              </w:rPr>
              <w:t>及时</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及时</w:t>
            </w:r>
          </w:p>
        </w:tc>
        <w:tc>
          <w:tcPr>
            <w:tcW w:w="678" w:type="dxa"/>
            <w:tcBorders>
              <w:top w:val="nil"/>
              <w:left w:val="nil"/>
              <w:bottom w:val="single" w:color="auto" w:sz="4" w:space="0"/>
              <w:right w:val="single" w:color="auto" w:sz="4" w:space="0"/>
            </w:tcBorders>
            <w:vAlign w:val="center"/>
          </w:tcPr>
          <w:p>
            <w:pPr>
              <w:widowControl/>
              <w:ind w:firstLine="210" w:firstLineChars="100"/>
              <w:jc w:val="center"/>
              <w:rPr>
                <w:rFonts w:ascii="宋体" w:hAnsi="宋体" w:eastAsia="宋体" w:cs="宋体"/>
                <w:kern w:val="0"/>
                <w:sz w:val="21"/>
                <w:szCs w:val="21"/>
              </w:rPr>
            </w:pPr>
            <w:r>
              <w:rPr>
                <w:rFonts w:ascii="宋体" w:hAnsi="宋体" w:eastAsia="宋体" w:cs="宋体"/>
                <w:kern w:val="0"/>
                <w:sz w:val="21"/>
                <w:szCs w:val="21"/>
              </w:rPr>
              <w:t>6</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6</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581" w:hRule="atLeast"/>
          <w:jc w:val="center"/>
        </w:trPr>
        <w:tc>
          <w:tcPr>
            <w:tcW w:w="975" w:type="dxa"/>
            <w:vMerge w:val="continue"/>
            <w:tcBorders>
              <w:left w:val="single" w:color="auto" w:sz="4" w:space="0"/>
              <w:right w:val="single" w:color="auto" w:sz="4" w:space="0"/>
            </w:tcBorders>
            <w:vAlign w:val="center"/>
          </w:tcPr>
          <w:p>
            <w:pPr>
              <w:jc w:val="left"/>
              <w:rPr>
                <w:rFonts w:ascii="宋体" w:hAnsi="宋体" w:eastAsia="宋体"/>
                <w:kern w:val="0"/>
                <w:sz w:val="21"/>
                <w:szCs w:val="21"/>
              </w:rPr>
            </w:pPr>
          </w:p>
        </w:tc>
        <w:tc>
          <w:tcPr>
            <w:tcW w:w="980" w:type="dxa"/>
            <w:vMerge w:val="continue"/>
            <w:tcBorders>
              <w:left w:val="nil"/>
              <w:right w:val="single" w:color="auto" w:sz="4" w:space="0"/>
            </w:tcBorders>
            <w:vAlign w:val="center"/>
          </w:tcPr>
          <w:p>
            <w:pPr>
              <w:jc w:val="left"/>
              <w:rPr>
                <w:rFonts w:ascii="宋体" w:hAnsi="宋体" w:eastAsia="宋体"/>
                <w:kern w:val="0"/>
                <w:sz w:val="21"/>
                <w:szCs w:val="21"/>
              </w:rPr>
            </w:pPr>
          </w:p>
        </w:tc>
        <w:tc>
          <w:tcPr>
            <w:tcW w:w="1134" w:type="dxa"/>
            <w:vMerge w:val="restart"/>
            <w:tcBorders>
              <w:top w:val="nil"/>
              <w:left w:val="nil"/>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时效指标</w:t>
            </w:r>
          </w:p>
        </w:tc>
        <w:tc>
          <w:tcPr>
            <w:tcW w:w="2120" w:type="dxa"/>
            <w:gridSpan w:val="2"/>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拆迁补偿项目诉讼结案率</w:t>
            </w:r>
          </w:p>
        </w:tc>
        <w:tc>
          <w:tcPr>
            <w:tcW w:w="1583"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及时</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及时</w:t>
            </w:r>
          </w:p>
        </w:tc>
        <w:tc>
          <w:tcPr>
            <w:tcW w:w="67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  </w:t>
            </w:r>
            <w:r>
              <w:rPr>
                <w:rFonts w:ascii="宋体" w:hAnsi="宋体" w:eastAsia="宋体" w:cs="宋体"/>
                <w:kern w:val="0"/>
                <w:sz w:val="21"/>
                <w:szCs w:val="21"/>
              </w:rPr>
              <w:t>6</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6</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505" w:hRule="atLeast"/>
          <w:jc w:val="center"/>
        </w:trPr>
        <w:tc>
          <w:tcPr>
            <w:tcW w:w="975" w:type="dxa"/>
            <w:vMerge w:val="continue"/>
            <w:tcBorders>
              <w:left w:val="single" w:color="auto" w:sz="4" w:space="0"/>
              <w:right w:val="single" w:color="auto" w:sz="4" w:space="0"/>
            </w:tcBorders>
            <w:vAlign w:val="center"/>
          </w:tcPr>
          <w:p>
            <w:pPr>
              <w:jc w:val="left"/>
              <w:rPr>
                <w:rFonts w:ascii="宋体" w:hAnsi="宋体" w:eastAsia="宋体"/>
                <w:kern w:val="0"/>
                <w:sz w:val="21"/>
                <w:szCs w:val="21"/>
              </w:rPr>
            </w:pPr>
          </w:p>
        </w:tc>
        <w:tc>
          <w:tcPr>
            <w:tcW w:w="980" w:type="dxa"/>
            <w:vMerge w:val="continue"/>
            <w:tcBorders>
              <w:left w:val="nil"/>
              <w:right w:val="single" w:color="auto" w:sz="4" w:space="0"/>
            </w:tcBorders>
            <w:vAlign w:val="center"/>
          </w:tcPr>
          <w:p>
            <w:pPr>
              <w:widowControl/>
              <w:jc w:val="left"/>
              <w:rPr>
                <w:rFonts w:ascii="宋体" w:hAnsi="宋体" w:eastAsia="宋体"/>
                <w:kern w:val="0"/>
                <w:sz w:val="21"/>
                <w:szCs w:val="21"/>
              </w:rPr>
            </w:pPr>
          </w:p>
        </w:tc>
        <w:tc>
          <w:tcPr>
            <w:tcW w:w="1134" w:type="dxa"/>
            <w:vMerge w:val="continue"/>
            <w:tcBorders>
              <w:left w:val="nil"/>
              <w:bottom w:val="single" w:color="auto" w:sz="4" w:space="0"/>
              <w:right w:val="single" w:color="auto" w:sz="4" w:space="0"/>
            </w:tcBorders>
            <w:vAlign w:val="center"/>
          </w:tcPr>
          <w:p>
            <w:pPr>
              <w:widowControl/>
              <w:jc w:val="left"/>
              <w:rPr>
                <w:rFonts w:ascii="宋体" w:hAnsi="宋体" w:eastAsia="宋体"/>
                <w:kern w:val="0"/>
                <w:sz w:val="21"/>
                <w:szCs w:val="21"/>
              </w:rPr>
            </w:pPr>
          </w:p>
        </w:tc>
        <w:tc>
          <w:tcPr>
            <w:tcW w:w="2120" w:type="dxa"/>
            <w:gridSpan w:val="2"/>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人员工资津贴、社保缴费及时发放</w:t>
            </w:r>
          </w:p>
        </w:tc>
        <w:tc>
          <w:tcPr>
            <w:tcW w:w="1583" w:type="dxa"/>
            <w:tcBorders>
              <w:top w:val="nil"/>
              <w:left w:val="nil"/>
              <w:bottom w:val="single" w:color="auto" w:sz="4" w:space="0"/>
              <w:right w:val="single" w:color="auto" w:sz="4" w:space="0"/>
            </w:tcBorders>
            <w:vAlign w:val="center"/>
          </w:tcPr>
          <w:p>
            <w:pPr>
              <w:widowControl/>
              <w:ind w:firstLine="105" w:firstLineChars="50"/>
              <w:jc w:val="center"/>
              <w:rPr>
                <w:rFonts w:ascii="宋体" w:hAnsi="宋体" w:eastAsia="宋体"/>
                <w:kern w:val="0"/>
                <w:sz w:val="21"/>
                <w:szCs w:val="21"/>
              </w:rPr>
            </w:pPr>
            <w:r>
              <w:rPr>
                <w:rFonts w:hint="eastAsia" w:ascii="宋体" w:hAnsi="宋体" w:eastAsia="宋体" w:cs="宋体"/>
                <w:kern w:val="0"/>
                <w:sz w:val="21"/>
                <w:szCs w:val="21"/>
              </w:rPr>
              <w:t>及时</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及时</w:t>
            </w:r>
          </w:p>
        </w:tc>
        <w:tc>
          <w:tcPr>
            <w:tcW w:w="67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  </w:t>
            </w:r>
            <w:r>
              <w:rPr>
                <w:rFonts w:ascii="宋体" w:hAnsi="宋体" w:eastAsia="宋体" w:cs="宋体"/>
                <w:kern w:val="0"/>
                <w:sz w:val="21"/>
                <w:szCs w:val="21"/>
              </w:rPr>
              <w:t>5</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5</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425" w:hRule="atLeast"/>
          <w:jc w:val="center"/>
        </w:trPr>
        <w:tc>
          <w:tcPr>
            <w:tcW w:w="975" w:type="dxa"/>
            <w:vMerge w:val="continue"/>
            <w:tcBorders>
              <w:left w:val="single" w:color="auto" w:sz="4" w:space="0"/>
              <w:right w:val="single" w:color="auto" w:sz="4" w:space="0"/>
            </w:tcBorders>
            <w:vAlign w:val="center"/>
          </w:tcPr>
          <w:p>
            <w:pPr>
              <w:jc w:val="left"/>
              <w:rPr>
                <w:rFonts w:ascii="宋体" w:hAnsi="宋体" w:eastAsia="宋体"/>
                <w:kern w:val="0"/>
                <w:sz w:val="21"/>
                <w:szCs w:val="21"/>
              </w:rPr>
            </w:pPr>
          </w:p>
        </w:tc>
        <w:tc>
          <w:tcPr>
            <w:tcW w:w="980" w:type="dxa"/>
            <w:vMerge w:val="continue"/>
            <w:tcBorders>
              <w:left w:val="nil"/>
              <w:right w:val="single" w:color="auto" w:sz="4" w:space="0"/>
            </w:tcBorders>
            <w:vAlign w:val="center"/>
          </w:tcPr>
          <w:p>
            <w:pPr>
              <w:widowControl/>
              <w:jc w:val="left"/>
              <w:rPr>
                <w:rFonts w:ascii="宋体" w:hAnsi="宋体" w:eastAsia="宋体"/>
                <w:kern w:val="0"/>
                <w:sz w:val="21"/>
                <w:szCs w:val="21"/>
              </w:rPr>
            </w:pPr>
          </w:p>
        </w:tc>
        <w:tc>
          <w:tcPr>
            <w:tcW w:w="1134" w:type="dxa"/>
            <w:vMerge w:val="restart"/>
            <w:tcBorders>
              <w:left w:val="nil"/>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成本指标</w:t>
            </w:r>
          </w:p>
        </w:tc>
        <w:tc>
          <w:tcPr>
            <w:tcW w:w="2120" w:type="dxa"/>
            <w:gridSpan w:val="2"/>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公用经费控制率</w:t>
            </w:r>
          </w:p>
        </w:tc>
        <w:tc>
          <w:tcPr>
            <w:tcW w:w="158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w:t>
            </w:r>
            <w:r>
              <w:rPr>
                <w:rFonts w:ascii="宋体" w:hAnsi="宋体" w:eastAsia="宋体" w:cs="宋体"/>
                <w:kern w:val="0"/>
                <w:sz w:val="21"/>
                <w:szCs w:val="21"/>
              </w:rPr>
              <w:t>100%</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w:t>
            </w:r>
            <w:r>
              <w:rPr>
                <w:rFonts w:ascii="宋体" w:hAnsi="宋体" w:eastAsia="宋体" w:cs="宋体"/>
                <w:kern w:val="0"/>
                <w:sz w:val="21"/>
                <w:szCs w:val="21"/>
              </w:rPr>
              <w:t>100</w:t>
            </w:r>
          </w:p>
        </w:tc>
        <w:tc>
          <w:tcPr>
            <w:tcW w:w="678" w:type="dxa"/>
            <w:tcBorders>
              <w:top w:val="nil"/>
              <w:left w:val="nil"/>
              <w:bottom w:val="single" w:color="auto" w:sz="4" w:space="0"/>
              <w:right w:val="single" w:color="auto" w:sz="4" w:space="0"/>
            </w:tcBorders>
            <w:vAlign w:val="center"/>
          </w:tcPr>
          <w:p>
            <w:pPr>
              <w:widowControl/>
              <w:ind w:firstLine="105" w:firstLineChars="50"/>
              <w:jc w:val="center"/>
              <w:rPr>
                <w:rFonts w:ascii="宋体" w:hAnsi="宋体" w:eastAsia="宋体" w:cs="宋体"/>
                <w:kern w:val="0"/>
                <w:sz w:val="21"/>
                <w:szCs w:val="21"/>
              </w:rPr>
            </w:pPr>
            <w:r>
              <w:rPr>
                <w:rFonts w:hint="eastAsia" w:ascii="宋体" w:hAnsi="宋体" w:eastAsia="宋体" w:cs="宋体"/>
                <w:kern w:val="0"/>
                <w:sz w:val="21"/>
                <w:szCs w:val="21"/>
              </w:rPr>
              <w:t xml:space="preserve"> </w:t>
            </w:r>
            <w:r>
              <w:rPr>
                <w:rFonts w:ascii="宋体" w:hAnsi="宋体" w:eastAsia="宋体" w:cs="宋体"/>
                <w:kern w:val="0"/>
                <w:sz w:val="21"/>
                <w:szCs w:val="21"/>
              </w:rPr>
              <w:t>5</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5</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425" w:hRule="atLeast"/>
          <w:jc w:val="center"/>
        </w:trPr>
        <w:tc>
          <w:tcPr>
            <w:tcW w:w="975" w:type="dxa"/>
            <w:vMerge w:val="continue"/>
            <w:tcBorders>
              <w:left w:val="single" w:color="auto" w:sz="4" w:space="0"/>
              <w:right w:val="single" w:color="auto" w:sz="4" w:space="0"/>
            </w:tcBorders>
            <w:vAlign w:val="center"/>
          </w:tcPr>
          <w:p>
            <w:pPr>
              <w:jc w:val="left"/>
              <w:rPr>
                <w:rFonts w:ascii="宋体" w:hAnsi="宋体" w:eastAsia="宋体"/>
                <w:kern w:val="0"/>
                <w:sz w:val="21"/>
                <w:szCs w:val="21"/>
              </w:rPr>
            </w:pPr>
          </w:p>
        </w:tc>
        <w:tc>
          <w:tcPr>
            <w:tcW w:w="980" w:type="dxa"/>
            <w:vMerge w:val="continue"/>
            <w:tcBorders>
              <w:left w:val="nil"/>
              <w:bottom w:val="single" w:color="auto" w:sz="4" w:space="0"/>
              <w:right w:val="single" w:color="auto" w:sz="4" w:space="0"/>
            </w:tcBorders>
            <w:vAlign w:val="center"/>
          </w:tcPr>
          <w:p>
            <w:pPr>
              <w:widowControl/>
              <w:jc w:val="left"/>
              <w:rPr>
                <w:rFonts w:ascii="宋体" w:hAnsi="宋体" w:eastAsia="宋体"/>
                <w:kern w:val="0"/>
                <w:sz w:val="21"/>
                <w:szCs w:val="21"/>
              </w:rPr>
            </w:pPr>
          </w:p>
        </w:tc>
        <w:tc>
          <w:tcPr>
            <w:tcW w:w="1134" w:type="dxa"/>
            <w:vMerge w:val="continue"/>
            <w:tcBorders>
              <w:left w:val="nil"/>
              <w:bottom w:val="single" w:color="auto" w:sz="4" w:space="0"/>
              <w:right w:val="single" w:color="auto" w:sz="4" w:space="0"/>
            </w:tcBorders>
            <w:vAlign w:val="center"/>
          </w:tcPr>
          <w:p>
            <w:pPr>
              <w:widowControl/>
              <w:jc w:val="left"/>
              <w:rPr>
                <w:rFonts w:ascii="宋体" w:hAnsi="宋体" w:eastAsia="宋体"/>
                <w:kern w:val="0"/>
                <w:sz w:val="21"/>
                <w:szCs w:val="21"/>
              </w:rPr>
            </w:pPr>
          </w:p>
        </w:tc>
        <w:tc>
          <w:tcPr>
            <w:tcW w:w="2120" w:type="dxa"/>
            <w:gridSpan w:val="2"/>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三公经费控制率</w:t>
            </w:r>
          </w:p>
        </w:tc>
        <w:tc>
          <w:tcPr>
            <w:tcW w:w="158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w:t>
            </w:r>
            <w:r>
              <w:rPr>
                <w:rFonts w:ascii="宋体" w:hAnsi="宋体" w:eastAsia="宋体" w:cs="宋体"/>
                <w:kern w:val="0"/>
                <w:sz w:val="21"/>
                <w:szCs w:val="21"/>
              </w:rPr>
              <w:t>100%</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w:t>
            </w:r>
            <w:r>
              <w:rPr>
                <w:rFonts w:ascii="宋体" w:hAnsi="宋体" w:eastAsia="宋体" w:cs="宋体"/>
                <w:kern w:val="0"/>
                <w:sz w:val="21"/>
                <w:szCs w:val="21"/>
              </w:rPr>
              <w:t>100%</w:t>
            </w:r>
          </w:p>
        </w:tc>
        <w:tc>
          <w:tcPr>
            <w:tcW w:w="67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  </w:t>
            </w:r>
            <w:r>
              <w:rPr>
                <w:rFonts w:ascii="宋体" w:hAnsi="宋体" w:eastAsia="宋体" w:cs="宋体"/>
                <w:kern w:val="0"/>
                <w:sz w:val="21"/>
                <w:szCs w:val="21"/>
              </w:rPr>
              <w:t>5</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5</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425" w:hRule="atLeast"/>
          <w:jc w:val="center"/>
        </w:trPr>
        <w:tc>
          <w:tcPr>
            <w:tcW w:w="975" w:type="dxa"/>
            <w:vMerge w:val="continue"/>
            <w:tcBorders>
              <w:left w:val="single" w:color="auto" w:sz="4" w:space="0"/>
              <w:right w:val="single" w:color="auto" w:sz="4" w:space="0"/>
            </w:tcBorders>
            <w:vAlign w:val="center"/>
          </w:tcPr>
          <w:p>
            <w:pPr>
              <w:jc w:val="left"/>
              <w:rPr>
                <w:rFonts w:ascii="宋体" w:hAnsi="宋体" w:eastAsia="宋体"/>
                <w:kern w:val="0"/>
                <w:sz w:val="21"/>
                <w:szCs w:val="21"/>
              </w:rPr>
            </w:pPr>
          </w:p>
        </w:tc>
        <w:tc>
          <w:tcPr>
            <w:tcW w:w="980" w:type="dxa"/>
            <w:vMerge w:val="restart"/>
            <w:tcBorders>
              <w:top w:val="nil"/>
              <w:left w:val="nil"/>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效益</w:t>
            </w:r>
          </w:p>
          <w:p>
            <w:pPr>
              <w:widowControl/>
              <w:jc w:val="center"/>
              <w:rPr>
                <w:rFonts w:ascii="宋体" w:hAnsi="宋体" w:eastAsia="宋体"/>
                <w:kern w:val="0"/>
                <w:sz w:val="21"/>
                <w:szCs w:val="21"/>
              </w:rPr>
            </w:pPr>
            <w:r>
              <w:rPr>
                <w:rFonts w:hint="eastAsia" w:ascii="宋体" w:hAnsi="宋体" w:eastAsia="宋体" w:cs="宋体"/>
                <w:kern w:val="0"/>
                <w:sz w:val="21"/>
                <w:szCs w:val="21"/>
              </w:rPr>
              <w:t>指标</w:t>
            </w:r>
          </w:p>
          <w:p>
            <w:pPr>
              <w:widowControl/>
              <w:jc w:val="center"/>
              <w:rPr>
                <w:rFonts w:ascii="宋体" w:hAnsi="宋体" w:eastAsia="宋体"/>
                <w:kern w:val="0"/>
                <w:sz w:val="21"/>
                <w:szCs w:val="21"/>
              </w:rPr>
            </w:pPr>
            <w:r>
              <w:rPr>
                <w:rFonts w:hint="eastAsia" w:ascii="宋体" w:hAnsi="宋体" w:eastAsia="宋体" w:cs="宋体"/>
                <w:kern w:val="0"/>
                <w:sz w:val="21"/>
                <w:szCs w:val="21"/>
              </w:rPr>
              <w:t>（</w:t>
            </w:r>
            <w:r>
              <w:rPr>
                <w:rFonts w:ascii="宋体" w:hAnsi="宋体" w:eastAsia="宋体" w:cs="宋体"/>
                <w:kern w:val="0"/>
                <w:sz w:val="21"/>
                <w:szCs w:val="21"/>
              </w:rPr>
              <w:t>40</w:t>
            </w:r>
            <w:r>
              <w:rPr>
                <w:rFonts w:hint="eastAsia" w:ascii="宋体" w:hAnsi="宋体" w:eastAsia="宋体" w:cs="宋体"/>
                <w:kern w:val="0"/>
                <w:sz w:val="21"/>
                <w:szCs w:val="21"/>
              </w:rPr>
              <w:t>分）</w:t>
            </w:r>
          </w:p>
        </w:tc>
        <w:tc>
          <w:tcPr>
            <w:tcW w:w="1134" w:type="dxa"/>
            <w:tcBorders>
              <w:top w:val="nil"/>
              <w:left w:val="nil"/>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经济效</w:t>
            </w:r>
          </w:p>
          <w:p>
            <w:pPr>
              <w:widowControl/>
              <w:jc w:val="center"/>
              <w:rPr>
                <w:rFonts w:ascii="宋体" w:hAnsi="宋体" w:eastAsia="宋体"/>
                <w:kern w:val="0"/>
                <w:sz w:val="21"/>
                <w:szCs w:val="21"/>
              </w:rPr>
            </w:pPr>
            <w:r>
              <w:rPr>
                <w:rFonts w:hint="eastAsia" w:ascii="宋体" w:hAnsi="宋体" w:eastAsia="宋体" w:cs="宋体"/>
                <w:kern w:val="0"/>
                <w:sz w:val="21"/>
                <w:szCs w:val="21"/>
              </w:rPr>
              <w:t>益指标</w:t>
            </w:r>
          </w:p>
        </w:tc>
        <w:tc>
          <w:tcPr>
            <w:tcW w:w="2120" w:type="dxa"/>
            <w:gridSpan w:val="2"/>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实现征拆工作高效推进，促进我区经济进一步发展。</w:t>
            </w:r>
          </w:p>
        </w:tc>
        <w:tc>
          <w:tcPr>
            <w:tcW w:w="1583"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完善征拆程序，协助各单位完成征拆任务。</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已按要求落实完成</w:t>
            </w:r>
          </w:p>
        </w:tc>
        <w:tc>
          <w:tcPr>
            <w:tcW w:w="678" w:type="dxa"/>
            <w:tcBorders>
              <w:top w:val="nil"/>
              <w:left w:val="nil"/>
              <w:bottom w:val="single" w:color="auto" w:sz="4" w:space="0"/>
              <w:right w:val="single" w:color="auto" w:sz="4" w:space="0"/>
            </w:tcBorders>
            <w:vAlign w:val="center"/>
          </w:tcPr>
          <w:p>
            <w:pPr>
              <w:widowControl/>
              <w:ind w:firstLine="210" w:firstLineChars="100"/>
              <w:rPr>
                <w:rFonts w:ascii="宋体" w:hAnsi="宋体" w:eastAsia="宋体" w:cs="宋体"/>
                <w:kern w:val="0"/>
                <w:sz w:val="21"/>
                <w:szCs w:val="21"/>
              </w:rPr>
            </w:pPr>
            <w:r>
              <w:rPr>
                <w:rFonts w:ascii="宋体" w:hAnsi="宋体" w:eastAsia="宋体" w:cs="宋体"/>
                <w:kern w:val="0"/>
                <w:sz w:val="21"/>
                <w:szCs w:val="21"/>
              </w:rPr>
              <w:t>6</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6</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425" w:hRule="atLeast"/>
          <w:jc w:val="center"/>
        </w:trPr>
        <w:tc>
          <w:tcPr>
            <w:tcW w:w="975" w:type="dxa"/>
            <w:vMerge w:val="continue"/>
            <w:tcBorders>
              <w:left w:val="single" w:color="auto" w:sz="4" w:space="0"/>
              <w:right w:val="single" w:color="auto" w:sz="4" w:space="0"/>
            </w:tcBorders>
            <w:vAlign w:val="center"/>
          </w:tcPr>
          <w:p>
            <w:pPr>
              <w:jc w:val="left"/>
              <w:rPr>
                <w:rFonts w:ascii="宋体" w:hAnsi="宋体" w:eastAsia="宋体"/>
                <w:kern w:val="0"/>
                <w:sz w:val="21"/>
                <w:szCs w:val="21"/>
              </w:rPr>
            </w:pPr>
          </w:p>
        </w:tc>
        <w:tc>
          <w:tcPr>
            <w:tcW w:w="980" w:type="dxa"/>
            <w:vMerge w:val="continue"/>
            <w:tcBorders>
              <w:left w:val="nil"/>
              <w:right w:val="single" w:color="auto" w:sz="4" w:space="0"/>
            </w:tcBorders>
            <w:vAlign w:val="center"/>
          </w:tcPr>
          <w:p>
            <w:pPr>
              <w:jc w:val="left"/>
              <w:rPr>
                <w:rFonts w:ascii="宋体" w:hAnsi="宋体" w:eastAsia="宋体"/>
                <w:kern w:val="0"/>
                <w:sz w:val="21"/>
                <w:szCs w:val="21"/>
              </w:rPr>
            </w:pPr>
          </w:p>
        </w:tc>
        <w:tc>
          <w:tcPr>
            <w:tcW w:w="1134" w:type="dxa"/>
            <w:vMerge w:val="restart"/>
            <w:tcBorders>
              <w:top w:val="nil"/>
              <w:left w:val="nil"/>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社会效</w:t>
            </w:r>
          </w:p>
          <w:p>
            <w:pPr>
              <w:widowControl/>
              <w:jc w:val="center"/>
              <w:rPr>
                <w:rFonts w:ascii="宋体" w:hAnsi="宋体" w:eastAsia="宋体"/>
                <w:kern w:val="0"/>
                <w:sz w:val="21"/>
                <w:szCs w:val="21"/>
              </w:rPr>
            </w:pPr>
            <w:r>
              <w:rPr>
                <w:rFonts w:hint="eastAsia" w:ascii="宋体" w:hAnsi="宋体" w:eastAsia="宋体" w:cs="宋体"/>
                <w:kern w:val="0"/>
                <w:sz w:val="21"/>
                <w:szCs w:val="21"/>
              </w:rPr>
              <w:t>益指标</w:t>
            </w:r>
          </w:p>
        </w:tc>
        <w:tc>
          <w:tcPr>
            <w:tcW w:w="2120" w:type="dxa"/>
            <w:gridSpan w:val="2"/>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通过征拆工作，提高城乡土地资源配置效率。</w:t>
            </w:r>
          </w:p>
        </w:tc>
        <w:tc>
          <w:tcPr>
            <w:tcW w:w="1583"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积极配合相关单位做好土地收储工作。</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已完成</w:t>
            </w:r>
          </w:p>
        </w:tc>
        <w:tc>
          <w:tcPr>
            <w:tcW w:w="678" w:type="dxa"/>
            <w:tcBorders>
              <w:top w:val="nil"/>
              <w:left w:val="nil"/>
              <w:bottom w:val="single" w:color="auto" w:sz="4" w:space="0"/>
              <w:right w:val="single" w:color="auto" w:sz="4" w:space="0"/>
            </w:tcBorders>
            <w:vAlign w:val="center"/>
          </w:tcPr>
          <w:p>
            <w:pPr>
              <w:widowControl/>
              <w:ind w:firstLine="105" w:firstLineChars="50"/>
              <w:jc w:val="center"/>
              <w:rPr>
                <w:rFonts w:ascii="宋体" w:hAnsi="宋体" w:eastAsia="宋体" w:cs="宋体"/>
                <w:kern w:val="0"/>
                <w:sz w:val="21"/>
                <w:szCs w:val="21"/>
              </w:rPr>
            </w:pPr>
            <w:r>
              <w:rPr>
                <w:rFonts w:ascii="宋体" w:hAnsi="宋体" w:eastAsia="宋体" w:cs="宋体"/>
                <w:kern w:val="0"/>
                <w:sz w:val="21"/>
                <w:szCs w:val="21"/>
              </w:rPr>
              <w:t>6</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6</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425" w:hRule="atLeast"/>
          <w:jc w:val="center"/>
        </w:trPr>
        <w:tc>
          <w:tcPr>
            <w:tcW w:w="975" w:type="dxa"/>
            <w:vMerge w:val="continue"/>
            <w:tcBorders>
              <w:left w:val="single" w:color="auto" w:sz="4" w:space="0"/>
              <w:right w:val="single" w:color="auto" w:sz="4" w:space="0"/>
            </w:tcBorders>
            <w:vAlign w:val="center"/>
          </w:tcPr>
          <w:p>
            <w:pPr>
              <w:jc w:val="left"/>
              <w:rPr>
                <w:rFonts w:ascii="宋体" w:hAnsi="宋体" w:eastAsia="宋体"/>
                <w:kern w:val="0"/>
                <w:sz w:val="21"/>
                <w:szCs w:val="21"/>
              </w:rPr>
            </w:pPr>
          </w:p>
        </w:tc>
        <w:tc>
          <w:tcPr>
            <w:tcW w:w="980" w:type="dxa"/>
            <w:vMerge w:val="continue"/>
            <w:tcBorders>
              <w:left w:val="nil"/>
              <w:right w:val="single" w:color="auto" w:sz="4" w:space="0"/>
            </w:tcBorders>
            <w:vAlign w:val="center"/>
          </w:tcPr>
          <w:p>
            <w:pPr>
              <w:jc w:val="left"/>
              <w:rPr>
                <w:rFonts w:ascii="宋体" w:hAnsi="宋体" w:eastAsia="宋体"/>
                <w:kern w:val="0"/>
                <w:sz w:val="21"/>
                <w:szCs w:val="21"/>
              </w:rPr>
            </w:pPr>
          </w:p>
        </w:tc>
        <w:tc>
          <w:tcPr>
            <w:tcW w:w="1134" w:type="dxa"/>
            <w:vMerge w:val="continue"/>
            <w:tcBorders>
              <w:left w:val="nil"/>
              <w:bottom w:val="single" w:color="auto" w:sz="4" w:space="0"/>
              <w:right w:val="single" w:color="auto" w:sz="4" w:space="0"/>
            </w:tcBorders>
            <w:vAlign w:val="center"/>
          </w:tcPr>
          <w:p>
            <w:pPr>
              <w:widowControl/>
              <w:jc w:val="center"/>
              <w:rPr>
                <w:rFonts w:ascii="宋体" w:hAnsi="宋体" w:eastAsia="宋体"/>
                <w:kern w:val="0"/>
                <w:sz w:val="21"/>
                <w:szCs w:val="21"/>
              </w:rPr>
            </w:pPr>
          </w:p>
        </w:tc>
        <w:tc>
          <w:tcPr>
            <w:tcW w:w="2120" w:type="dxa"/>
            <w:gridSpan w:val="2"/>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安置小区维护</w:t>
            </w:r>
          </w:p>
        </w:tc>
        <w:tc>
          <w:tcPr>
            <w:tcW w:w="1583"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管理有效</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得到强化</w:t>
            </w:r>
          </w:p>
        </w:tc>
        <w:tc>
          <w:tcPr>
            <w:tcW w:w="678" w:type="dxa"/>
            <w:tcBorders>
              <w:top w:val="nil"/>
              <w:left w:val="nil"/>
              <w:bottom w:val="single" w:color="auto" w:sz="4" w:space="0"/>
              <w:right w:val="single" w:color="auto" w:sz="4" w:space="0"/>
            </w:tcBorders>
            <w:vAlign w:val="center"/>
          </w:tcPr>
          <w:p>
            <w:pPr>
              <w:widowControl/>
              <w:ind w:firstLine="105" w:firstLineChars="50"/>
              <w:jc w:val="center"/>
              <w:rPr>
                <w:rFonts w:ascii="宋体" w:hAnsi="宋体" w:eastAsia="宋体" w:cs="宋体"/>
                <w:kern w:val="0"/>
                <w:sz w:val="21"/>
                <w:szCs w:val="21"/>
              </w:rPr>
            </w:pPr>
            <w:r>
              <w:rPr>
                <w:rFonts w:ascii="宋体" w:hAnsi="宋体" w:eastAsia="宋体" w:cs="宋体"/>
                <w:kern w:val="0"/>
                <w:sz w:val="21"/>
                <w:szCs w:val="21"/>
              </w:rPr>
              <w:t>6</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6</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425" w:hRule="atLeast"/>
          <w:jc w:val="center"/>
        </w:trPr>
        <w:tc>
          <w:tcPr>
            <w:tcW w:w="975" w:type="dxa"/>
            <w:vMerge w:val="continue"/>
            <w:tcBorders>
              <w:left w:val="single" w:color="auto" w:sz="4" w:space="0"/>
              <w:right w:val="single" w:color="auto" w:sz="4" w:space="0"/>
            </w:tcBorders>
            <w:vAlign w:val="center"/>
          </w:tcPr>
          <w:p>
            <w:pPr>
              <w:jc w:val="left"/>
              <w:rPr>
                <w:rFonts w:ascii="宋体" w:hAnsi="宋体" w:eastAsia="宋体"/>
                <w:kern w:val="0"/>
                <w:sz w:val="21"/>
                <w:szCs w:val="21"/>
              </w:rPr>
            </w:pPr>
          </w:p>
        </w:tc>
        <w:tc>
          <w:tcPr>
            <w:tcW w:w="980" w:type="dxa"/>
            <w:vMerge w:val="continue"/>
            <w:tcBorders>
              <w:left w:val="nil"/>
              <w:right w:val="single" w:color="auto" w:sz="4" w:space="0"/>
            </w:tcBorders>
            <w:vAlign w:val="center"/>
          </w:tcPr>
          <w:p>
            <w:pPr>
              <w:jc w:val="left"/>
              <w:rPr>
                <w:rFonts w:ascii="宋体" w:hAnsi="宋体" w:eastAsia="宋体"/>
                <w:kern w:val="0"/>
                <w:sz w:val="21"/>
                <w:szCs w:val="21"/>
              </w:rPr>
            </w:pPr>
          </w:p>
        </w:tc>
        <w:tc>
          <w:tcPr>
            <w:tcW w:w="1134" w:type="dxa"/>
            <w:tcBorders>
              <w:top w:val="nil"/>
              <w:left w:val="nil"/>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生态效</w:t>
            </w:r>
          </w:p>
          <w:p>
            <w:pPr>
              <w:widowControl/>
              <w:jc w:val="center"/>
              <w:rPr>
                <w:rFonts w:ascii="宋体" w:hAnsi="宋体" w:eastAsia="宋体"/>
                <w:kern w:val="0"/>
                <w:sz w:val="21"/>
                <w:szCs w:val="21"/>
              </w:rPr>
            </w:pPr>
            <w:r>
              <w:rPr>
                <w:rFonts w:hint="eastAsia" w:ascii="宋体" w:hAnsi="宋体" w:eastAsia="宋体" w:cs="宋体"/>
                <w:kern w:val="0"/>
                <w:sz w:val="21"/>
                <w:szCs w:val="21"/>
              </w:rPr>
              <w:t>益指标</w:t>
            </w:r>
          </w:p>
        </w:tc>
        <w:tc>
          <w:tcPr>
            <w:tcW w:w="2120" w:type="dxa"/>
            <w:gridSpan w:val="2"/>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提高城乡人居环境质量。</w:t>
            </w:r>
          </w:p>
        </w:tc>
        <w:tc>
          <w:tcPr>
            <w:tcW w:w="1583"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达标</w:t>
            </w:r>
          </w:p>
        </w:tc>
        <w:tc>
          <w:tcPr>
            <w:tcW w:w="1134" w:type="dxa"/>
            <w:tcBorders>
              <w:top w:val="nil"/>
              <w:left w:val="nil"/>
              <w:bottom w:val="single" w:color="auto" w:sz="4" w:space="0"/>
              <w:right w:val="single" w:color="auto" w:sz="4" w:space="0"/>
            </w:tcBorders>
            <w:vAlign w:val="center"/>
          </w:tcPr>
          <w:p>
            <w:pPr>
              <w:widowControl/>
              <w:ind w:firstLine="210" w:firstLineChars="100"/>
              <w:jc w:val="center"/>
              <w:rPr>
                <w:rFonts w:ascii="宋体" w:hAnsi="宋体" w:eastAsia="宋体"/>
                <w:kern w:val="0"/>
                <w:sz w:val="21"/>
                <w:szCs w:val="21"/>
              </w:rPr>
            </w:pPr>
            <w:r>
              <w:rPr>
                <w:rFonts w:hint="eastAsia" w:ascii="宋体" w:hAnsi="宋体" w:eastAsia="宋体" w:cs="宋体"/>
                <w:kern w:val="0"/>
                <w:sz w:val="21"/>
                <w:szCs w:val="21"/>
              </w:rPr>
              <w:t>达标</w:t>
            </w:r>
          </w:p>
        </w:tc>
        <w:tc>
          <w:tcPr>
            <w:tcW w:w="67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 </w:t>
            </w:r>
            <w:r>
              <w:rPr>
                <w:rFonts w:ascii="宋体" w:hAnsi="宋体" w:eastAsia="宋体" w:cs="宋体"/>
                <w:kern w:val="0"/>
                <w:sz w:val="21"/>
                <w:szCs w:val="21"/>
              </w:rPr>
              <w:t>5</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5</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425" w:hRule="atLeast"/>
          <w:jc w:val="center"/>
        </w:trPr>
        <w:tc>
          <w:tcPr>
            <w:tcW w:w="975" w:type="dxa"/>
            <w:vMerge w:val="continue"/>
            <w:tcBorders>
              <w:left w:val="single" w:color="auto" w:sz="4" w:space="0"/>
              <w:right w:val="single" w:color="auto" w:sz="4" w:space="0"/>
            </w:tcBorders>
            <w:vAlign w:val="center"/>
          </w:tcPr>
          <w:p>
            <w:pPr>
              <w:widowControl/>
              <w:jc w:val="center"/>
              <w:rPr>
                <w:rFonts w:ascii="宋体" w:hAnsi="宋体" w:eastAsia="宋体"/>
                <w:kern w:val="0"/>
                <w:sz w:val="21"/>
                <w:szCs w:val="21"/>
              </w:rPr>
            </w:pPr>
          </w:p>
        </w:tc>
        <w:tc>
          <w:tcPr>
            <w:tcW w:w="980" w:type="dxa"/>
            <w:vMerge w:val="continue"/>
            <w:tcBorders>
              <w:left w:val="nil"/>
              <w:right w:val="single" w:color="auto" w:sz="4" w:space="0"/>
            </w:tcBorders>
            <w:vAlign w:val="center"/>
          </w:tcPr>
          <w:p>
            <w:pPr>
              <w:widowControl/>
              <w:jc w:val="left"/>
              <w:rPr>
                <w:rFonts w:ascii="宋体" w:hAnsi="宋体" w:eastAsia="宋体"/>
                <w:kern w:val="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可持续</w:t>
            </w:r>
          </w:p>
          <w:p>
            <w:pPr>
              <w:widowControl/>
              <w:jc w:val="center"/>
              <w:rPr>
                <w:rFonts w:ascii="宋体" w:hAnsi="宋体" w:eastAsia="宋体"/>
                <w:kern w:val="0"/>
                <w:sz w:val="21"/>
                <w:szCs w:val="21"/>
              </w:rPr>
            </w:pPr>
            <w:r>
              <w:rPr>
                <w:rFonts w:hint="eastAsia" w:ascii="宋体" w:hAnsi="宋体" w:eastAsia="宋体" w:cs="宋体"/>
                <w:kern w:val="0"/>
                <w:sz w:val="21"/>
                <w:szCs w:val="21"/>
              </w:rPr>
              <w:t>影响指标</w:t>
            </w:r>
          </w:p>
        </w:tc>
        <w:tc>
          <w:tcPr>
            <w:tcW w:w="21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持续提升征拆工作水平</w:t>
            </w:r>
          </w:p>
        </w:tc>
        <w:tc>
          <w:tcPr>
            <w:tcW w:w="15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确保不因征拆工作影响项目建设。</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达标</w:t>
            </w:r>
          </w:p>
        </w:tc>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 </w:t>
            </w:r>
            <w:r>
              <w:rPr>
                <w:rFonts w:ascii="宋体" w:hAnsi="宋体" w:eastAsia="宋体" w:cs="宋体"/>
                <w:kern w:val="0"/>
                <w:sz w:val="21"/>
                <w:szCs w:val="21"/>
              </w:rPr>
              <w:t>5</w:t>
            </w:r>
          </w:p>
        </w:tc>
        <w:tc>
          <w:tcPr>
            <w:tcW w:w="6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5</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425" w:hRule="atLeast"/>
          <w:jc w:val="center"/>
        </w:trPr>
        <w:tc>
          <w:tcPr>
            <w:tcW w:w="975" w:type="dxa"/>
            <w:vMerge w:val="continue"/>
            <w:tcBorders>
              <w:left w:val="single" w:color="auto" w:sz="4" w:space="0"/>
              <w:right w:val="single" w:color="auto" w:sz="4" w:space="0"/>
            </w:tcBorders>
            <w:vAlign w:val="center"/>
          </w:tcPr>
          <w:p>
            <w:pPr>
              <w:jc w:val="left"/>
              <w:rPr>
                <w:rFonts w:ascii="宋体" w:hAnsi="宋体" w:eastAsia="宋体"/>
                <w:kern w:val="0"/>
                <w:sz w:val="21"/>
                <w:szCs w:val="21"/>
              </w:rPr>
            </w:pPr>
          </w:p>
        </w:tc>
        <w:tc>
          <w:tcPr>
            <w:tcW w:w="980" w:type="dxa"/>
            <w:vMerge w:val="continue"/>
            <w:tcBorders>
              <w:left w:val="nil"/>
              <w:right w:val="single" w:color="auto" w:sz="4" w:space="0"/>
            </w:tcBorders>
            <w:vAlign w:val="center"/>
          </w:tcPr>
          <w:p>
            <w:pPr>
              <w:widowControl/>
              <w:jc w:val="center"/>
              <w:rPr>
                <w:rFonts w:ascii="宋体" w:hAnsi="宋体" w:eastAsia="宋体"/>
                <w:kern w:val="0"/>
                <w:sz w:val="21"/>
                <w:szCs w:val="21"/>
              </w:rPr>
            </w:pPr>
          </w:p>
        </w:tc>
        <w:tc>
          <w:tcPr>
            <w:tcW w:w="1134" w:type="dxa"/>
            <w:vMerge w:val="restart"/>
            <w:tcBorders>
              <w:top w:val="single" w:color="auto" w:sz="4" w:space="0"/>
              <w:left w:val="nil"/>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服务对象满意度</w:t>
            </w:r>
          </w:p>
          <w:p>
            <w:pPr>
              <w:widowControl/>
              <w:jc w:val="center"/>
              <w:rPr>
                <w:rFonts w:ascii="宋体" w:hAnsi="宋体" w:eastAsia="宋体"/>
                <w:kern w:val="0"/>
                <w:sz w:val="21"/>
                <w:szCs w:val="21"/>
              </w:rPr>
            </w:pPr>
            <w:r>
              <w:rPr>
                <w:rFonts w:hint="eastAsia" w:ascii="宋体" w:hAnsi="宋体" w:eastAsia="宋体" w:cs="宋体"/>
                <w:kern w:val="0"/>
                <w:sz w:val="21"/>
                <w:szCs w:val="21"/>
              </w:rPr>
              <w:t>指标</w:t>
            </w:r>
          </w:p>
        </w:tc>
        <w:tc>
          <w:tcPr>
            <w:tcW w:w="2120" w:type="dxa"/>
            <w:gridSpan w:val="2"/>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安置小区群众、征拆户满意度</w:t>
            </w:r>
          </w:p>
        </w:tc>
        <w:tc>
          <w:tcPr>
            <w:tcW w:w="158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w:t>
            </w:r>
            <w:r>
              <w:rPr>
                <w:rFonts w:ascii="宋体" w:hAnsi="宋体" w:eastAsia="宋体" w:cs="宋体"/>
                <w:kern w:val="0"/>
                <w:sz w:val="21"/>
                <w:szCs w:val="21"/>
              </w:rPr>
              <w:t>85%</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w:t>
            </w:r>
            <w:r>
              <w:rPr>
                <w:rFonts w:ascii="宋体" w:hAnsi="宋体" w:eastAsia="宋体" w:cs="宋体"/>
                <w:kern w:val="0"/>
                <w:sz w:val="21"/>
                <w:szCs w:val="21"/>
              </w:rPr>
              <w:t>85%</w:t>
            </w:r>
          </w:p>
        </w:tc>
        <w:tc>
          <w:tcPr>
            <w:tcW w:w="67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 </w:t>
            </w:r>
            <w:r>
              <w:rPr>
                <w:rFonts w:ascii="宋体" w:hAnsi="宋体" w:eastAsia="宋体" w:cs="宋体"/>
                <w:kern w:val="0"/>
                <w:sz w:val="21"/>
                <w:szCs w:val="21"/>
              </w:rPr>
              <w:t>5</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5</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425" w:hRule="atLeast"/>
          <w:jc w:val="center"/>
        </w:trPr>
        <w:tc>
          <w:tcPr>
            <w:tcW w:w="975" w:type="dxa"/>
            <w:vMerge w:val="continue"/>
            <w:tcBorders>
              <w:left w:val="single" w:color="auto" w:sz="4" w:space="0"/>
              <w:right w:val="single" w:color="auto" w:sz="4" w:space="0"/>
            </w:tcBorders>
            <w:vAlign w:val="center"/>
          </w:tcPr>
          <w:p>
            <w:pPr>
              <w:jc w:val="left"/>
              <w:rPr>
                <w:rFonts w:ascii="宋体" w:hAnsi="宋体" w:eastAsia="宋体"/>
                <w:kern w:val="0"/>
                <w:sz w:val="21"/>
                <w:szCs w:val="21"/>
              </w:rPr>
            </w:pPr>
          </w:p>
        </w:tc>
        <w:tc>
          <w:tcPr>
            <w:tcW w:w="980" w:type="dxa"/>
            <w:vMerge w:val="continue"/>
            <w:tcBorders>
              <w:left w:val="nil"/>
              <w:right w:val="single" w:color="auto" w:sz="4" w:space="0"/>
            </w:tcBorders>
            <w:vAlign w:val="center"/>
          </w:tcPr>
          <w:p>
            <w:pPr>
              <w:jc w:val="left"/>
              <w:rPr>
                <w:rFonts w:ascii="宋体" w:hAnsi="宋体" w:eastAsia="宋体"/>
                <w:kern w:val="0"/>
                <w:sz w:val="21"/>
                <w:szCs w:val="21"/>
              </w:rPr>
            </w:pPr>
          </w:p>
        </w:tc>
        <w:tc>
          <w:tcPr>
            <w:tcW w:w="1134" w:type="dxa"/>
            <w:vMerge w:val="continue"/>
            <w:tcBorders>
              <w:left w:val="nil"/>
              <w:right w:val="single" w:color="auto" w:sz="4" w:space="0"/>
            </w:tcBorders>
            <w:vAlign w:val="center"/>
          </w:tcPr>
          <w:p>
            <w:pPr>
              <w:jc w:val="left"/>
              <w:rPr>
                <w:rFonts w:ascii="宋体" w:hAnsi="宋体" w:eastAsia="宋体"/>
                <w:kern w:val="0"/>
                <w:sz w:val="21"/>
                <w:szCs w:val="21"/>
              </w:rPr>
            </w:pPr>
          </w:p>
        </w:tc>
        <w:tc>
          <w:tcPr>
            <w:tcW w:w="2120" w:type="dxa"/>
            <w:gridSpan w:val="2"/>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干部群众满意度</w:t>
            </w:r>
          </w:p>
        </w:tc>
        <w:tc>
          <w:tcPr>
            <w:tcW w:w="158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w:t>
            </w:r>
            <w:r>
              <w:rPr>
                <w:rFonts w:ascii="宋体" w:hAnsi="宋体" w:eastAsia="宋体" w:cs="宋体"/>
                <w:kern w:val="0"/>
                <w:sz w:val="21"/>
                <w:szCs w:val="21"/>
              </w:rPr>
              <w:t>90%</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w:t>
            </w:r>
            <w:r>
              <w:rPr>
                <w:rFonts w:ascii="宋体" w:hAnsi="宋体" w:eastAsia="宋体" w:cs="宋体"/>
                <w:kern w:val="0"/>
                <w:sz w:val="21"/>
                <w:szCs w:val="21"/>
              </w:rPr>
              <w:t>90%</w:t>
            </w:r>
          </w:p>
        </w:tc>
        <w:tc>
          <w:tcPr>
            <w:tcW w:w="678" w:type="dxa"/>
            <w:tcBorders>
              <w:top w:val="nil"/>
              <w:left w:val="nil"/>
              <w:bottom w:val="single" w:color="auto" w:sz="4" w:space="0"/>
              <w:right w:val="single" w:color="auto" w:sz="4" w:space="0"/>
            </w:tcBorders>
            <w:vAlign w:val="center"/>
          </w:tcPr>
          <w:p>
            <w:pPr>
              <w:widowControl/>
              <w:ind w:firstLine="210" w:firstLineChars="100"/>
              <w:rPr>
                <w:rFonts w:ascii="宋体" w:hAnsi="宋体" w:eastAsia="宋体" w:cs="宋体"/>
                <w:kern w:val="0"/>
                <w:sz w:val="21"/>
                <w:szCs w:val="21"/>
              </w:rPr>
            </w:pPr>
            <w:r>
              <w:rPr>
                <w:rFonts w:ascii="宋体" w:hAnsi="宋体" w:eastAsia="宋体" w:cs="宋体"/>
                <w:kern w:val="0"/>
                <w:sz w:val="21"/>
                <w:szCs w:val="21"/>
              </w:rPr>
              <w:t>5</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5</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425" w:hRule="atLeast"/>
          <w:jc w:val="center"/>
        </w:trPr>
        <w:tc>
          <w:tcPr>
            <w:tcW w:w="792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总分</w:t>
            </w:r>
          </w:p>
        </w:tc>
        <w:tc>
          <w:tcPr>
            <w:tcW w:w="67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100</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9</w:t>
            </w:r>
            <w:r>
              <w:rPr>
                <w:rFonts w:hint="eastAsia" w:ascii="宋体" w:hAnsi="宋体" w:eastAsia="宋体" w:cs="宋体"/>
                <w:kern w:val="0"/>
                <w:sz w:val="21"/>
                <w:szCs w:val="21"/>
              </w:rPr>
              <w:t>8</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p>
        </w:tc>
      </w:tr>
    </w:tbl>
    <w:p>
      <w:pPr>
        <w:spacing w:beforeLines="50"/>
        <w:rPr>
          <w:rFonts w:ascii="宋体" w:hAnsi="宋体" w:eastAsia="宋体"/>
          <w:sz w:val="21"/>
          <w:szCs w:val="21"/>
        </w:rPr>
      </w:pPr>
      <w:r>
        <w:rPr>
          <w:rFonts w:hint="eastAsia" w:ascii="宋体" w:hAnsi="宋体" w:eastAsia="宋体" w:cs="宋体"/>
          <w:kern w:val="0"/>
          <w:sz w:val="21"/>
          <w:szCs w:val="21"/>
        </w:rPr>
        <w:t>填表人：钟艳红</w:t>
      </w:r>
      <w:r>
        <w:rPr>
          <w:rFonts w:ascii="宋体" w:hAnsi="宋体" w:eastAsia="宋体" w:cs="宋体"/>
          <w:kern w:val="0"/>
          <w:sz w:val="21"/>
          <w:szCs w:val="21"/>
        </w:rPr>
        <w:t xml:space="preserve">  </w:t>
      </w:r>
      <w:r>
        <w:rPr>
          <w:rFonts w:hint="eastAsia" w:ascii="宋体" w:hAnsi="宋体" w:eastAsia="宋体" w:cs="宋体"/>
          <w:kern w:val="0"/>
          <w:sz w:val="21"/>
          <w:szCs w:val="21"/>
        </w:rPr>
        <w:t>填报日期：</w:t>
      </w:r>
      <w:r>
        <w:rPr>
          <w:rFonts w:ascii="宋体" w:hAnsi="宋体" w:eastAsia="宋体" w:cs="宋体"/>
          <w:kern w:val="0"/>
          <w:sz w:val="21"/>
          <w:szCs w:val="21"/>
        </w:rPr>
        <w:t xml:space="preserve">2023.4.15  </w:t>
      </w:r>
      <w:r>
        <w:rPr>
          <w:rFonts w:hint="eastAsia" w:ascii="宋体" w:hAnsi="宋体" w:eastAsia="宋体" w:cs="宋体"/>
          <w:kern w:val="0"/>
          <w:sz w:val="21"/>
          <w:szCs w:val="21"/>
        </w:rPr>
        <w:t>联系电话：</w:t>
      </w:r>
      <w:r>
        <w:rPr>
          <w:rFonts w:ascii="宋体" w:hAnsi="宋体" w:eastAsia="宋体" w:cs="宋体"/>
          <w:kern w:val="0"/>
          <w:sz w:val="21"/>
          <w:szCs w:val="21"/>
        </w:rPr>
        <w:t xml:space="preserve">15869770696 </w:t>
      </w:r>
      <w:r>
        <w:rPr>
          <w:rFonts w:hint="eastAsia" w:ascii="宋体" w:hAnsi="宋体" w:eastAsia="宋体" w:cs="宋体"/>
          <w:kern w:val="0"/>
          <w:sz w:val="21"/>
          <w:szCs w:val="21"/>
        </w:rPr>
        <w:t>单位负责人签字：张凯波</w:t>
      </w:r>
    </w:p>
    <w:sectPr>
      <w:footerReference r:id="rId3" w:type="default"/>
      <w:pgSz w:w="11906" w:h="16838"/>
      <w:pgMar w:top="1701" w:right="1588" w:bottom="1701" w:left="1588" w:header="851" w:footer="124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- 8 -</w:t>
    </w:r>
    <w:r>
      <w:rPr>
        <w:rStyle w:val="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YTliNGU4NDFmNDUzOTU3ZTQ4MmI3MTA5MTA5YjcifQ=="/>
  </w:docVars>
  <w:rsids>
    <w:rsidRoot w:val="000A1C23"/>
    <w:rsid w:val="000120D6"/>
    <w:rsid w:val="00023BC3"/>
    <w:rsid w:val="00045FCE"/>
    <w:rsid w:val="00055FF7"/>
    <w:rsid w:val="000975C0"/>
    <w:rsid w:val="000A1C23"/>
    <w:rsid w:val="00156C68"/>
    <w:rsid w:val="001657FE"/>
    <w:rsid w:val="001B41AB"/>
    <w:rsid w:val="001D22E9"/>
    <w:rsid w:val="001E0445"/>
    <w:rsid w:val="001E311D"/>
    <w:rsid w:val="001E64BC"/>
    <w:rsid w:val="00213E69"/>
    <w:rsid w:val="002154F3"/>
    <w:rsid w:val="00215AB5"/>
    <w:rsid w:val="002225F7"/>
    <w:rsid w:val="00223431"/>
    <w:rsid w:val="00223A4D"/>
    <w:rsid w:val="00263E07"/>
    <w:rsid w:val="002879DE"/>
    <w:rsid w:val="002A0D71"/>
    <w:rsid w:val="002A6FA1"/>
    <w:rsid w:val="00322EC7"/>
    <w:rsid w:val="003269A2"/>
    <w:rsid w:val="003328DB"/>
    <w:rsid w:val="00392C0E"/>
    <w:rsid w:val="00395C8B"/>
    <w:rsid w:val="003E40F2"/>
    <w:rsid w:val="003F0EEC"/>
    <w:rsid w:val="003F40C9"/>
    <w:rsid w:val="004133AD"/>
    <w:rsid w:val="00423858"/>
    <w:rsid w:val="004263B1"/>
    <w:rsid w:val="00432454"/>
    <w:rsid w:val="004470A7"/>
    <w:rsid w:val="004526B6"/>
    <w:rsid w:val="004534A5"/>
    <w:rsid w:val="00482FF6"/>
    <w:rsid w:val="004A0C77"/>
    <w:rsid w:val="004A4C01"/>
    <w:rsid w:val="004C12CC"/>
    <w:rsid w:val="004C24C3"/>
    <w:rsid w:val="004C5E1C"/>
    <w:rsid w:val="004E5908"/>
    <w:rsid w:val="00510482"/>
    <w:rsid w:val="00511202"/>
    <w:rsid w:val="0052004A"/>
    <w:rsid w:val="00525A40"/>
    <w:rsid w:val="00555B85"/>
    <w:rsid w:val="005B438A"/>
    <w:rsid w:val="005B7C41"/>
    <w:rsid w:val="005C4F98"/>
    <w:rsid w:val="005D1839"/>
    <w:rsid w:val="005D1F17"/>
    <w:rsid w:val="00617E44"/>
    <w:rsid w:val="0062649C"/>
    <w:rsid w:val="0063487B"/>
    <w:rsid w:val="00644605"/>
    <w:rsid w:val="006605A2"/>
    <w:rsid w:val="006844C4"/>
    <w:rsid w:val="00690E19"/>
    <w:rsid w:val="006A1EBB"/>
    <w:rsid w:val="006A3957"/>
    <w:rsid w:val="006F52BA"/>
    <w:rsid w:val="00703F30"/>
    <w:rsid w:val="00722ED1"/>
    <w:rsid w:val="00737A67"/>
    <w:rsid w:val="00766670"/>
    <w:rsid w:val="0078293D"/>
    <w:rsid w:val="007836E5"/>
    <w:rsid w:val="007A51CA"/>
    <w:rsid w:val="007C457A"/>
    <w:rsid w:val="007E3B7F"/>
    <w:rsid w:val="007E42EC"/>
    <w:rsid w:val="007F0BA5"/>
    <w:rsid w:val="00806A7F"/>
    <w:rsid w:val="008071A7"/>
    <w:rsid w:val="00815454"/>
    <w:rsid w:val="0082143F"/>
    <w:rsid w:val="00827C04"/>
    <w:rsid w:val="008631C8"/>
    <w:rsid w:val="00872F25"/>
    <w:rsid w:val="00874A93"/>
    <w:rsid w:val="008760AA"/>
    <w:rsid w:val="00893586"/>
    <w:rsid w:val="008B4247"/>
    <w:rsid w:val="008C1B8D"/>
    <w:rsid w:val="008D6067"/>
    <w:rsid w:val="008F4469"/>
    <w:rsid w:val="00907EF1"/>
    <w:rsid w:val="00943F26"/>
    <w:rsid w:val="0095327D"/>
    <w:rsid w:val="00957F6D"/>
    <w:rsid w:val="00966BC0"/>
    <w:rsid w:val="009A0662"/>
    <w:rsid w:val="009A0C5F"/>
    <w:rsid w:val="009A567B"/>
    <w:rsid w:val="009B0C05"/>
    <w:rsid w:val="009C67AA"/>
    <w:rsid w:val="009E339F"/>
    <w:rsid w:val="00A2462D"/>
    <w:rsid w:val="00A45395"/>
    <w:rsid w:val="00A45541"/>
    <w:rsid w:val="00A92D26"/>
    <w:rsid w:val="00AA0CA8"/>
    <w:rsid w:val="00AA3AC0"/>
    <w:rsid w:val="00AA511D"/>
    <w:rsid w:val="00AB1D3A"/>
    <w:rsid w:val="00AB57CB"/>
    <w:rsid w:val="00AD49E9"/>
    <w:rsid w:val="00B21B19"/>
    <w:rsid w:val="00B2203D"/>
    <w:rsid w:val="00B5405D"/>
    <w:rsid w:val="00B56370"/>
    <w:rsid w:val="00B606A5"/>
    <w:rsid w:val="00B60D64"/>
    <w:rsid w:val="00B75FA5"/>
    <w:rsid w:val="00B81F8C"/>
    <w:rsid w:val="00B96706"/>
    <w:rsid w:val="00B96D59"/>
    <w:rsid w:val="00BA2607"/>
    <w:rsid w:val="00C07CC8"/>
    <w:rsid w:val="00C508C5"/>
    <w:rsid w:val="00C55364"/>
    <w:rsid w:val="00C66036"/>
    <w:rsid w:val="00CA7A80"/>
    <w:rsid w:val="00CB6313"/>
    <w:rsid w:val="00CE444F"/>
    <w:rsid w:val="00CF0F5E"/>
    <w:rsid w:val="00D14804"/>
    <w:rsid w:val="00D14913"/>
    <w:rsid w:val="00D2325E"/>
    <w:rsid w:val="00D47536"/>
    <w:rsid w:val="00D52934"/>
    <w:rsid w:val="00D75742"/>
    <w:rsid w:val="00D7686B"/>
    <w:rsid w:val="00D80C61"/>
    <w:rsid w:val="00DA009D"/>
    <w:rsid w:val="00E039D9"/>
    <w:rsid w:val="00E13093"/>
    <w:rsid w:val="00E175E1"/>
    <w:rsid w:val="00E32B54"/>
    <w:rsid w:val="00E455E6"/>
    <w:rsid w:val="00E5018A"/>
    <w:rsid w:val="00E63864"/>
    <w:rsid w:val="00E87411"/>
    <w:rsid w:val="00E91F67"/>
    <w:rsid w:val="00EB3CB4"/>
    <w:rsid w:val="00EB71BD"/>
    <w:rsid w:val="00EC0EB7"/>
    <w:rsid w:val="00EC6177"/>
    <w:rsid w:val="00EF2956"/>
    <w:rsid w:val="00F124A6"/>
    <w:rsid w:val="00F1272D"/>
    <w:rsid w:val="00F167C4"/>
    <w:rsid w:val="00F27AFA"/>
    <w:rsid w:val="00F3025B"/>
    <w:rsid w:val="00F54510"/>
    <w:rsid w:val="00F75EEC"/>
    <w:rsid w:val="00FA142E"/>
    <w:rsid w:val="00FB2D72"/>
    <w:rsid w:val="00FC0B0A"/>
    <w:rsid w:val="00FF08F3"/>
    <w:rsid w:val="00FF3445"/>
    <w:rsid w:val="00FF7DD8"/>
    <w:rsid w:val="1E0B157E"/>
    <w:rsid w:val="1EC33B44"/>
    <w:rsid w:val="334B7010"/>
    <w:rsid w:val="5E42192F"/>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iPriority w:val="99"/>
    <w:pPr>
      <w:tabs>
        <w:tab w:val="center" w:pos="4153"/>
        <w:tab w:val="right" w:pos="8306"/>
      </w:tabs>
      <w:snapToGrid w:val="0"/>
      <w:jc w:val="left"/>
    </w:pPr>
    <w:rPr>
      <w:sz w:val="18"/>
      <w:szCs w:val="18"/>
    </w:rPr>
  </w:style>
  <w:style w:type="paragraph" w:styleId="3">
    <w:name w:val="header"/>
    <w:basedOn w:val="1"/>
    <w:link w:val="10"/>
    <w:semiHidden/>
    <w:uiPriority w:val="99"/>
    <w:pPr>
      <w:pBdr>
        <w:bottom w:val="single" w:color="auto" w:sz="6" w:space="1"/>
      </w:pBdr>
      <w:tabs>
        <w:tab w:val="center" w:pos="4153"/>
        <w:tab w:val="right" w:pos="8306"/>
      </w:tabs>
      <w:snapToGrid w:val="0"/>
      <w:jc w:val="center"/>
    </w:pPr>
    <w:rPr>
      <w:sz w:val="18"/>
      <w:szCs w:val="18"/>
    </w:rPr>
  </w:style>
  <w:style w:type="paragraph" w:styleId="4">
    <w:name w:val="Body Text 2"/>
    <w:basedOn w:val="1"/>
    <w:link w:val="11"/>
    <w:uiPriority w:val="99"/>
    <w:pPr>
      <w:spacing w:before="100" w:beforeAutospacing="1" w:after="120" w:line="480" w:lineRule="auto"/>
    </w:pPr>
    <w:rPr>
      <w:sz w:val="30"/>
      <w:szCs w:val="30"/>
    </w:rPr>
  </w:style>
  <w:style w:type="paragraph" w:styleId="5">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uiPriority w:val="99"/>
  </w:style>
  <w:style w:type="character" w:customStyle="1" w:styleId="9">
    <w:name w:val="页脚 Char"/>
    <w:basedOn w:val="7"/>
    <w:link w:val="2"/>
    <w:semiHidden/>
    <w:locked/>
    <w:uiPriority w:val="99"/>
    <w:rPr>
      <w:rFonts w:ascii="Calibri" w:hAnsi="Calibri" w:eastAsia="仿宋_GB2312" w:cs="Calibri"/>
      <w:sz w:val="18"/>
      <w:szCs w:val="18"/>
    </w:rPr>
  </w:style>
  <w:style w:type="character" w:customStyle="1" w:styleId="10">
    <w:name w:val="页眉 Char"/>
    <w:basedOn w:val="7"/>
    <w:link w:val="3"/>
    <w:semiHidden/>
    <w:locked/>
    <w:uiPriority w:val="99"/>
    <w:rPr>
      <w:rFonts w:ascii="Calibri" w:hAnsi="Calibri" w:eastAsia="仿宋_GB2312" w:cs="Calibri"/>
      <w:sz w:val="18"/>
      <w:szCs w:val="18"/>
    </w:rPr>
  </w:style>
  <w:style w:type="character" w:customStyle="1" w:styleId="11">
    <w:name w:val="正文文本 2 Char"/>
    <w:basedOn w:val="7"/>
    <w:link w:val="4"/>
    <w:qFormat/>
    <w:locked/>
    <w:uiPriority w:val="99"/>
    <w:rPr>
      <w:rFonts w:ascii="Calibri" w:hAnsi="Calibri" w:eastAsia="仿宋_GB2312" w:cs="Calibri"/>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4C8F3-B6F5-4599-8BAF-7B552D76CB2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5063</Words>
  <Characters>5435</Characters>
  <Lines>42</Lines>
  <Paragraphs>11</Paragraphs>
  <TotalTime>715</TotalTime>
  <ScaleCrop>false</ScaleCrop>
  <LinksUpToDate>false</LinksUpToDate>
  <CharactersWithSpaces>5556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2023-04-03T02:40:00Z</dcterms:created>
  <dc:creator>kingdee</dc:creator>
  <cp:lastModifiedBy>浪浪剑心</cp:lastModifiedBy>
  <cp:lastPrinted>2023-04-20T09:05:00Z</cp:lastPrinted>
  <dcterms:modified xsi:type="dcterms:W3CDTF">2023-10-25T06:33:57Z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E0B85859F6674D798A872D96970347CC</vt:lpwstr>
  </property>
</Properties>
</file>