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仿宋" w:hAnsi="仿宋" w:eastAsia="仿宋" w:cs="仿宋"/>
          <w:b/>
          <w:w w:val="88"/>
          <w:sz w:val="44"/>
          <w:lang w:val="en-US" w:eastAsia="zh-CN"/>
        </w:rPr>
      </w:pPr>
      <w:r>
        <w:rPr>
          <w:rFonts w:hint="eastAsia" w:ascii="仿宋" w:hAnsi="仿宋" w:eastAsia="仿宋" w:cs="仿宋"/>
          <w:b/>
          <w:w w:val="88"/>
          <w:sz w:val="44"/>
          <w:lang w:val="en-US" w:eastAsia="zh-CN"/>
        </w:rPr>
        <w:t>2022年度二等乙残军人医疗补助费自评报告</w:t>
      </w:r>
    </w:p>
    <w:p>
      <w:pPr>
        <w:numPr>
          <w:ilvl w:val="0"/>
          <w:numId w:val="0"/>
        </w:numPr>
        <w:ind w:firstLine="480" w:firstLineChars="200"/>
        <w:jc w:val="center"/>
        <w:rPr>
          <w:rFonts w:hint="eastAsia" w:ascii="仿宋" w:hAnsi="仿宋" w:eastAsia="仿宋" w:cs="仿宋"/>
          <w:sz w:val="24"/>
          <w:szCs w:val="24"/>
          <w:lang w:val="en-US" w:eastAsia="zh-CN"/>
        </w:rPr>
      </w:pPr>
    </w:p>
    <w:p>
      <w:pPr>
        <w:numPr>
          <w:ilvl w:val="0"/>
          <w:numId w:val="1"/>
        </w:numPr>
        <w:ind w:firstLine="482" w:firstLineChars="20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项目概况</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rPr>
        <w:t>（一）</w:t>
      </w:r>
      <w:r>
        <w:rPr>
          <w:rFonts w:hint="eastAsia" w:ascii="仿宋" w:hAnsi="仿宋" w:eastAsia="仿宋" w:cs="仿宋"/>
          <w:sz w:val="24"/>
          <w:szCs w:val="24"/>
          <w:lang w:val="en-US" w:eastAsia="zh-CN"/>
        </w:rPr>
        <w:t>基本情况</w:t>
      </w:r>
    </w:p>
    <w:p>
      <w:pPr>
        <w:numPr>
          <w:ilvl w:val="0"/>
          <w:numId w:val="0"/>
        </w:numPr>
        <w:ind w:firstLine="480" w:firstLineChars="200"/>
        <w:rPr>
          <w:rFonts w:hint="eastAsia" w:ascii="仿宋" w:hAnsi="仿宋" w:eastAsia="宋体" w:cs="仿宋"/>
          <w:sz w:val="24"/>
          <w:szCs w:val="24"/>
          <w:lang w:val="en-US" w:eastAsia="zh-CN"/>
        </w:rPr>
      </w:pPr>
      <w:r>
        <w:rPr>
          <w:rFonts w:hint="eastAsia" w:ascii="仿宋" w:hAnsi="仿宋" w:eastAsia="仿宋" w:cs="仿宋"/>
          <w:sz w:val="24"/>
          <w:szCs w:val="24"/>
          <w:lang w:val="en-US" w:eastAsia="zh-CN"/>
        </w:rPr>
        <w:t>1-6级伤残</w:t>
      </w:r>
      <w:r>
        <w:rPr>
          <w:rFonts w:hint="eastAsia" w:ascii="仿宋" w:hAnsi="仿宋" w:eastAsia="仿宋" w:cs="仿宋"/>
          <w:sz w:val="24"/>
          <w:szCs w:val="24"/>
          <w:lang w:eastAsia="zh-CN"/>
        </w:rPr>
        <w:t>医疗补助</w:t>
      </w:r>
      <w:r>
        <w:rPr>
          <w:rFonts w:hint="eastAsia" w:ascii="仿宋" w:hAnsi="仿宋" w:eastAsia="仿宋" w:cs="仿宋"/>
          <w:sz w:val="24"/>
          <w:szCs w:val="24"/>
        </w:rPr>
        <w:t>资金是根据《</w:t>
      </w:r>
      <w:r>
        <w:rPr>
          <w:rFonts w:hint="eastAsia" w:ascii="仿宋" w:hAnsi="仿宋" w:eastAsia="仿宋" w:cs="仿宋"/>
          <w:sz w:val="24"/>
          <w:szCs w:val="24"/>
          <w:lang w:eastAsia="zh-CN"/>
        </w:rPr>
        <w:t>残疾退役军人医疗保障办法</w:t>
      </w:r>
      <w:r>
        <w:rPr>
          <w:rFonts w:hint="eastAsia" w:ascii="仿宋" w:hAnsi="仿宋" w:eastAsia="仿宋" w:cs="仿宋"/>
          <w:sz w:val="24"/>
          <w:szCs w:val="24"/>
        </w:rPr>
        <w:t>》（</w:t>
      </w:r>
      <w:r>
        <w:rPr>
          <w:rFonts w:hint="eastAsia" w:ascii="仿宋" w:hAnsi="仿宋" w:eastAsia="仿宋" w:cs="仿宋"/>
          <w:sz w:val="24"/>
          <w:szCs w:val="24"/>
          <w:lang w:eastAsia="zh-CN"/>
        </w:rPr>
        <w:t>退役军人部</w:t>
      </w:r>
      <w:r>
        <w:rPr>
          <w:rFonts w:hint="eastAsia" w:ascii="仿宋" w:hAnsi="仿宋" w:eastAsia="仿宋" w:cs="仿宋"/>
          <w:sz w:val="24"/>
          <w:szCs w:val="24"/>
        </w:rPr>
        <w:t>发〔20</w:t>
      </w:r>
      <w:r>
        <w:rPr>
          <w:rFonts w:hint="eastAsia" w:ascii="仿宋" w:hAnsi="仿宋" w:eastAsia="仿宋" w:cs="仿宋"/>
          <w:sz w:val="24"/>
          <w:szCs w:val="24"/>
          <w:lang w:val="en-US" w:eastAsia="zh-CN"/>
        </w:rPr>
        <w:t>22</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号）立项。项目由</w:t>
      </w:r>
      <w:r>
        <w:rPr>
          <w:rFonts w:hint="eastAsia" w:ascii="仿宋" w:hAnsi="仿宋" w:eastAsia="仿宋" w:cs="仿宋"/>
          <w:sz w:val="24"/>
          <w:szCs w:val="24"/>
          <w:lang w:eastAsia="zh-CN"/>
        </w:rPr>
        <w:t>资阳区</w:t>
      </w:r>
      <w:r>
        <w:rPr>
          <w:rFonts w:hint="eastAsia" w:ascii="仿宋" w:hAnsi="仿宋" w:eastAsia="仿宋" w:cs="仿宋"/>
          <w:sz w:val="24"/>
          <w:szCs w:val="24"/>
        </w:rPr>
        <w:t>退役军人事务事务局负责组织实施。</w:t>
      </w:r>
      <w:r>
        <w:rPr>
          <w:rFonts w:hint="eastAsia" w:ascii="仿宋" w:hAnsi="仿宋" w:eastAsia="仿宋" w:cs="仿宋"/>
          <w:sz w:val="24"/>
          <w:szCs w:val="24"/>
          <w:lang w:val="en-US" w:eastAsia="zh-CN"/>
        </w:rPr>
        <w:t>2022</w:t>
      </w:r>
      <w:r>
        <w:rPr>
          <w:rFonts w:hint="eastAsia" w:ascii="仿宋" w:hAnsi="仿宋" w:eastAsia="仿宋" w:cs="仿宋"/>
          <w:sz w:val="24"/>
          <w:szCs w:val="24"/>
        </w:rPr>
        <w:t>年，预算安排专项资金</w:t>
      </w:r>
      <w:r>
        <w:rPr>
          <w:rFonts w:hint="eastAsia" w:ascii="仿宋" w:hAnsi="仿宋" w:eastAsia="仿宋" w:cs="仿宋"/>
          <w:sz w:val="24"/>
          <w:szCs w:val="24"/>
          <w:lang w:val="en-US" w:eastAsia="zh-CN"/>
        </w:rPr>
        <w:t>93</w:t>
      </w:r>
      <w:r>
        <w:rPr>
          <w:rFonts w:hint="eastAsia" w:ascii="仿宋" w:hAnsi="仿宋" w:eastAsia="仿宋" w:cs="仿宋"/>
          <w:sz w:val="24"/>
          <w:szCs w:val="24"/>
        </w:rPr>
        <w:t>万元，</w:t>
      </w:r>
      <w:r>
        <w:rPr>
          <w:rFonts w:hint="eastAsia" w:ascii="仿宋" w:hAnsi="仿宋" w:eastAsia="仿宋" w:cs="仿宋"/>
          <w:sz w:val="24"/>
          <w:szCs w:val="24"/>
          <w:lang w:eastAsia="zh-CN"/>
        </w:rPr>
        <w:t>落实对无工作单位</w:t>
      </w:r>
      <w:r>
        <w:rPr>
          <w:rFonts w:hint="eastAsia" w:ascii="仿宋" w:hAnsi="仿宋" w:eastAsia="仿宋" w:cs="仿宋"/>
          <w:sz w:val="24"/>
          <w:szCs w:val="24"/>
          <w:lang w:val="en-US" w:eastAsia="zh-CN"/>
        </w:rPr>
        <w:t>1-6级伤残军人群体医疗待遇政策，</w:t>
      </w:r>
      <w:r>
        <w:rPr>
          <w:rFonts w:hint="eastAsia" w:ascii="仿宋" w:hAnsi="仿宋" w:eastAsia="仿宋" w:cs="仿宋"/>
          <w:sz w:val="24"/>
          <w:szCs w:val="24"/>
        </w:rPr>
        <w:t>维护社会的安定和谐稳定</w:t>
      </w:r>
      <w:r>
        <w:rPr>
          <w:rFonts w:hint="eastAsia" w:ascii="仿宋" w:hAnsi="仿宋" w:eastAsia="仿宋" w:cs="仿宋"/>
          <w:sz w:val="24"/>
          <w:szCs w:val="24"/>
          <w:lang w:eastAsia="zh-CN"/>
        </w:rPr>
        <w:t>。</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二</w:t>
      </w:r>
      <w:r>
        <w:rPr>
          <w:rFonts w:hint="eastAsia" w:ascii="仿宋" w:hAnsi="仿宋" w:eastAsia="仿宋" w:cs="仿宋"/>
          <w:sz w:val="24"/>
          <w:szCs w:val="24"/>
        </w:rPr>
        <w:t>）项目实施情况</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区</w:t>
      </w:r>
      <w:r>
        <w:rPr>
          <w:rFonts w:hint="eastAsia" w:ascii="仿宋" w:hAnsi="仿宋" w:eastAsia="仿宋" w:cs="仿宋"/>
          <w:sz w:val="24"/>
          <w:szCs w:val="24"/>
        </w:rPr>
        <w:t>退役军人事务局</w:t>
      </w:r>
      <w:r>
        <w:rPr>
          <w:rFonts w:hint="eastAsia" w:ascii="仿宋" w:hAnsi="仿宋" w:eastAsia="仿宋" w:cs="仿宋"/>
          <w:sz w:val="24"/>
          <w:szCs w:val="24"/>
          <w:lang w:eastAsia="zh-CN"/>
        </w:rPr>
        <w:t>为无工作单位</w:t>
      </w:r>
      <w:r>
        <w:rPr>
          <w:rFonts w:hint="eastAsia" w:ascii="仿宋" w:hAnsi="仿宋" w:eastAsia="仿宋" w:cs="仿宋"/>
          <w:sz w:val="24"/>
          <w:szCs w:val="24"/>
          <w:lang w:val="en-US" w:eastAsia="zh-CN"/>
        </w:rPr>
        <w:t>1-6级伤残军人缴纳医疗保险，并与益阳市中医医院、益阳市人民医院签订资阳区1-6级伤残军人定点医疗协议，按月进行结算。对于区外就医的1-6级伤残军人，携带医保报销凭证到区退役军人服务中心进行医疗费用个人部分报销。</w:t>
      </w:r>
    </w:p>
    <w:p>
      <w:pPr>
        <w:numPr>
          <w:ilvl w:val="0"/>
          <w:numId w:val="0"/>
        </w:num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val="en-US" w:eastAsia="zh-CN"/>
        </w:rPr>
        <w:t>二、绩效自评工作开展情况</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（一）绩效评价目的、对象、范围</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1.评价目的：了解</w:t>
      </w:r>
      <w:r>
        <w:rPr>
          <w:rFonts w:hint="eastAsia" w:ascii="仿宋" w:hAnsi="仿宋" w:eastAsia="仿宋" w:cs="仿宋"/>
          <w:sz w:val="24"/>
          <w:szCs w:val="24"/>
          <w:lang w:val="en-US" w:eastAsia="zh-CN"/>
        </w:rPr>
        <w:t>二等乙残军人医疗补助</w:t>
      </w:r>
      <w:r>
        <w:rPr>
          <w:rFonts w:hint="eastAsia" w:ascii="仿宋" w:hAnsi="仿宋" w:eastAsia="仿宋" w:cs="仿宋"/>
          <w:sz w:val="24"/>
          <w:szCs w:val="24"/>
        </w:rPr>
        <w:t>专项资金的收入和支出情况，进一步提高专项资金使用管理效益。</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2.评价对象：</w:t>
      </w:r>
      <w:r>
        <w:rPr>
          <w:rFonts w:hint="eastAsia" w:ascii="仿宋" w:hAnsi="仿宋" w:eastAsia="仿宋" w:cs="仿宋"/>
          <w:sz w:val="24"/>
          <w:szCs w:val="24"/>
          <w:lang w:val="en-US" w:eastAsia="zh-CN"/>
        </w:rPr>
        <w:t>二等乙残军人医疗补助</w:t>
      </w:r>
      <w:r>
        <w:rPr>
          <w:rFonts w:hint="eastAsia" w:ascii="仿宋" w:hAnsi="仿宋" w:eastAsia="仿宋" w:cs="仿宋"/>
          <w:sz w:val="24"/>
          <w:szCs w:val="24"/>
        </w:rPr>
        <w:t>专项资金</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3.评价范围: 项目立项、目标，资金投入使用和管理，项目组织实施过程，制度建设及执行，项目产出和效益。</w:t>
      </w:r>
    </w:p>
    <w:p>
      <w:pPr>
        <w:numPr>
          <w:ilvl w:val="0"/>
          <w:numId w:val="0"/>
        </w:numPr>
        <w:rPr>
          <w:rFonts w:hint="eastAsia" w:ascii="仿宋" w:hAnsi="仿宋" w:eastAsia="仿宋" w:cs="仿宋"/>
          <w:sz w:val="24"/>
          <w:szCs w:val="24"/>
        </w:rPr>
      </w:pPr>
      <w:r>
        <w:rPr>
          <w:rFonts w:hint="eastAsia" w:ascii="仿宋" w:hAnsi="仿宋" w:eastAsia="仿宋" w:cs="仿宋"/>
          <w:sz w:val="24"/>
          <w:szCs w:val="24"/>
        </w:rPr>
        <w:t>（二）绩效评价原则、方法、标准、体系</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1.评价原则：遵循科学公正、统筹兼顾、激励约束、</w:t>
      </w:r>
      <w:bookmarkStart w:id="0" w:name="_GoBack"/>
      <w:bookmarkEnd w:id="0"/>
      <w:r>
        <w:rPr>
          <w:rFonts w:hint="eastAsia" w:ascii="仿宋" w:hAnsi="仿宋" w:eastAsia="仿宋" w:cs="仿宋"/>
          <w:sz w:val="24"/>
          <w:szCs w:val="24"/>
        </w:rPr>
        <w:t>公开透明的原则。</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2.评价方法：对立项依据、项目资金收入支出、发放对象资料等进行了解、比较、核算进行评价。</w:t>
      </w:r>
    </w:p>
    <w:p>
      <w:pPr>
        <w:numPr>
          <w:ilvl w:val="0"/>
          <w:numId w:val="0"/>
        </w:num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3.评价标准：本次评价主要采用了计划标准。计划标准主要包括补助对象、补助金额标准、质量标准和效益标准。</w:t>
      </w:r>
    </w:p>
    <w:p>
      <w:pPr>
        <w:numPr>
          <w:ilvl w:val="0"/>
          <w:numId w:val="0"/>
        </w:num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三、综合评价情况及评价结论（附评分表）</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经自评，</w:t>
      </w:r>
      <w:r>
        <w:rPr>
          <w:rFonts w:hint="eastAsia" w:ascii="仿宋" w:hAnsi="仿宋" w:eastAsia="仿宋" w:cs="仿宋"/>
          <w:sz w:val="24"/>
          <w:szCs w:val="24"/>
          <w:lang w:eastAsia="zh-CN"/>
        </w:rPr>
        <w:t>项目</w:t>
      </w:r>
      <w:r>
        <w:rPr>
          <w:rFonts w:hint="eastAsia" w:ascii="仿宋" w:hAnsi="仿宋" w:eastAsia="仿宋" w:cs="仿宋"/>
          <w:sz w:val="24"/>
          <w:szCs w:val="24"/>
        </w:rPr>
        <w:t>支出绩效评价得分</w:t>
      </w:r>
      <w:r>
        <w:rPr>
          <w:rFonts w:hint="eastAsia" w:ascii="仿宋" w:hAnsi="仿宋" w:eastAsia="仿宋" w:cs="仿宋"/>
          <w:sz w:val="24"/>
          <w:szCs w:val="24"/>
          <w:lang w:val="en-US" w:eastAsia="zh-CN"/>
        </w:rPr>
        <w:t>99</w:t>
      </w:r>
      <w:r>
        <w:rPr>
          <w:rFonts w:hint="eastAsia" w:ascii="仿宋" w:hAnsi="仿宋" w:eastAsia="仿宋" w:cs="仿宋"/>
          <w:sz w:val="24"/>
          <w:szCs w:val="24"/>
        </w:rPr>
        <w:t>分（详见附件）</w:t>
      </w:r>
      <w:r>
        <w:rPr>
          <w:rFonts w:hint="eastAsia" w:ascii="仿宋" w:hAnsi="仿宋" w:eastAsia="仿宋" w:cs="仿宋"/>
          <w:sz w:val="24"/>
          <w:szCs w:val="24"/>
          <w:lang w:eastAsia="zh-CN"/>
        </w:rPr>
        <w:t>，</w:t>
      </w:r>
      <w:r>
        <w:rPr>
          <w:rFonts w:hint="eastAsia" w:ascii="仿宋" w:hAnsi="仿宋" w:eastAsia="仿宋" w:cs="仿宋"/>
          <w:sz w:val="24"/>
          <w:szCs w:val="24"/>
        </w:rPr>
        <w:t>评价等级为“优”。</w:t>
      </w:r>
    </w:p>
    <w:p>
      <w:pPr>
        <w:numPr>
          <w:ilvl w:val="0"/>
          <w:numId w:val="0"/>
        </w:numPr>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四、绩效目标评价分析</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（一）资金管理情况</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（1）资金到位率</w:t>
      </w:r>
    </w:p>
    <w:p>
      <w:pPr>
        <w:numPr>
          <w:ilvl w:val="0"/>
          <w:numId w:val="0"/>
        </w:numPr>
        <w:ind w:left="479" w:leftChars="228" w:firstLine="0" w:firstLineChars="0"/>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sz w:val="24"/>
          <w:szCs w:val="24"/>
          <w:lang w:val="en-US" w:eastAsia="zh-CN"/>
        </w:rPr>
        <w:t>2022</w:t>
      </w:r>
      <w:r>
        <w:rPr>
          <w:rFonts w:hint="eastAsia" w:ascii="仿宋" w:hAnsi="仿宋" w:eastAsia="仿宋" w:cs="仿宋"/>
          <w:sz w:val="24"/>
          <w:szCs w:val="24"/>
        </w:rPr>
        <w:t>年，</w:t>
      </w:r>
      <w:r>
        <w:rPr>
          <w:rFonts w:hint="eastAsia" w:ascii="仿宋" w:hAnsi="仿宋" w:eastAsia="仿宋" w:cs="仿宋"/>
          <w:sz w:val="24"/>
          <w:szCs w:val="24"/>
          <w:lang w:eastAsia="zh-CN"/>
        </w:rPr>
        <w:t>区</w:t>
      </w:r>
      <w:r>
        <w:rPr>
          <w:rFonts w:hint="eastAsia" w:ascii="仿宋" w:hAnsi="仿宋" w:eastAsia="仿宋" w:cs="仿宋"/>
          <w:sz w:val="24"/>
          <w:szCs w:val="24"/>
        </w:rPr>
        <w:t>级年初预算安排专项资金</w:t>
      </w:r>
      <w:r>
        <w:rPr>
          <w:rFonts w:hint="eastAsia" w:ascii="仿宋" w:hAnsi="仿宋" w:eastAsia="仿宋" w:cs="仿宋"/>
          <w:sz w:val="24"/>
          <w:szCs w:val="24"/>
          <w:lang w:val="en-US" w:eastAsia="zh-CN"/>
        </w:rPr>
        <w:t>93</w:t>
      </w:r>
      <w:r>
        <w:rPr>
          <w:rFonts w:hint="eastAsia" w:ascii="仿宋" w:hAnsi="仿宋" w:eastAsia="仿宋" w:cs="仿宋"/>
          <w:sz w:val="24"/>
          <w:szCs w:val="24"/>
        </w:rPr>
        <w:t>万元，资金到位率</w:t>
      </w:r>
      <w:r>
        <w:rPr>
          <w:rFonts w:hint="eastAsia" w:ascii="仿宋" w:hAnsi="仿宋" w:eastAsia="仿宋" w:cs="仿宋"/>
          <w:sz w:val="24"/>
          <w:szCs w:val="24"/>
          <w:lang w:val="en-US" w:eastAsia="zh-CN"/>
        </w:rPr>
        <w:t>100</w:t>
      </w:r>
      <w:r>
        <w:rPr>
          <w:rFonts w:hint="eastAsia" w:ascii="仿宋" w:hAnsi="仿宋" w:eastAsia="仿宋" w:cs="仿宋"/>
          <w:sz w:val="24"/>
          <w:szCs w:val="24"/>
        </w:rPr>
        <w:t>%。</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（2）预算执行率</w:t>
      </w:r>
    </w:p>
    <w:p>
      <w:pPr>
        <w:numPr>
          <w:ilvl w:val="0"/>
          <w:numId w:val="0"/>
        </w:numPr>
        <w:ind w:firstLine="480" w:firstLineChars="200"/>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2022</w:t>
      </w:r>
      <w:r>
        <w:rPr>
          <w:rFonts w:hint="eastAsia" w:ascii="仿宋" w:hAnsi="仿宋" w:eastAsia="仿宋" w:cs="仿宋"/>
          <w:sz w:val="24"/>
          <w:szCs w:val="24"/>
          <w:u w:val="none"/>
        </w:rPr>
        <w:t>年</w:t>
      </w:r>
      <w:r>
        <w:rPr>
          <w:rFonts w:hint="eastAsia" w:ascii="仿宋" w:hAnsi="仿宋" w:eastAsia="仿宋" w:cs="仿宋"/>
          <w:sz w:val="24"/>
          <w:szCs w:val="24"/>
          <w:u w:val="none"/>
          <w:lang w:val="en-US" w:eastAsia="zh-CN"/>
        </w:rPr>
        <w:t>无工作单位1-6级伤残军人64</w:t>
      </w:r>
      <w:r>
        <w:rPr>
          <w:rFonts w:hint="eastAsia" w:ascii="仿宋" w:hAnsi="仿宋" w:eastAsia="仿宋" w:cs="仿宋"/>
          <w:sz w:val="24"/>
          <w:szCs w:val="24"/>
          <w:u w:val="none"/>
        </w:rPr>
        <w:t>人</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每月及时通过税务缴纳医保税金</w:t>
      </w:r>
      <w:r>
        <w:rPr>
          <w:rFonts w:hint="eastAsia" w:ascii="仿宋" w:hAnsi="仿宋" w:eastAsia="仿宋" w:cs="仿宋"/>
          <w:sz w:val="24"/>
          <w:szCs w:val="24"/>
          <w:u w:val="none"/>
        </w:rPr>
        <w:t>，未影响</w:t>
      </w:r>
      <w:r>
        <w:rPr>
          <w:rFonts w:hint="eastAsia" w:ascii="仿宋" w:hAnsi="仿宋" w:eastAsia="仿宋" w:cs="仿宋"/>
          <w:sz w:val="24"/>
          <w:szCs w:val="24"/>
          <w:u w:val="none"/>
          <w:lang w:eastAsia="zh-CN"/>
        </w:rPr>
        <w:t>伤残军人医疗报销</w:t>
      </w:r>
      <w:r>
        <w:rPr>
          <w:rFonts w:hint="eastAsia" w:ascii="仿宋" w:hAnsi="仿宋" w:eastAsia="仿宋" w:cs="仿宋"/>
          <w:sz w:val="24"/>
          <w:szCs w:val="24"/>
          <w:u w:val="none"/>
        </w:rPr>
        <w:t>进度。资金执行率</w:t>
      </w:r>
      <w:r>
        <w:rPr>
          <w:rFonts w:hint="eastAsia" w:ascii="仿宋" w:hAnsi="仿宋" w:eastAsia="仿宋" w:cs="仿宋"/>
          <w:sz w:val="24"/>
          <w:szCs w:val="24"/>
          <w:u w:val="none"/>
          <w:lang w:val="en-US" w:eastAsia="zh-CN"/>
        </w:rPr>
        <w:t xml:space="preserve">100 </w:t>
      </w:r>
      <w:r>
        <w:rPr>
          <w:rFonts w:hint="eastAsia" w:ascii="仿宋" w:hAnsi="仿宋" w:eastAsia="仿宋" w:cs="仿宋"/>
          <w:sz w:val="24"/>
          <w:szCs w:val="24"/>
          <w:u w:val="none"/>
        </w:rPr>
        <w:t>%。</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（3）资金使用合规性</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单位对</w:t>
      </w:r>
      <w:r>
        <w:rPr>
          <w:rFonts w:hint="eastAsia" w:ascii="仿宋" w:hAnsi="仿宋" w:eastAsia="仿宋" w:cs="仿宋"/>
          <w:sz w:val="24"/>
          <w:szCs w:val="24"/>
          <w:lang w:eastAsia="zh-CN"/>
        </w:rPr>
        <w:t>医疗补助</w:t>
      </w:r>
      <w:r>
        <w:rPr>
          <w:rFonts w:hint="eastAsia" w:ascii="仿宋" w:hAnsi="仿宋" w:eastAsia="仿宋" w:cs="仿宋"/>
          <w:sz w:val="24"/>
          <w:szCs w:val="24"/>
        </w:rPr>
        <w:t>专款专用，采用</w:t>
      </w:r>
      <w:r>
        <w:rPr>
          <w:rFonts w:hint="eastAsia" w:ascii="仿宋" w:hAnsi="仿宋" w:eastAsia="仿宋" w:cs="仿宋"/>
          <w:sz w:val="24"/>
          <w:szCs w:val="24"/>
          <w:lang w:eastAsia="zh-CN"/>
        </w:rPr>
        <w:t>税金缴纳、医院结算及个人打卡报销</w:t>
      </w:r>
      <w:r>
        <w:rPr>
          <w:rFonts w:hint="eastAsia" w:ascii="仿宋" w:hAnsi="仿宋" w:eastAsia="仿宋" w:cs="仿宋"/>
          <w:sz w:val="24"/>
          <w:szCs w:val="24"/>
        </w:rPr>
        <w:t>发放到个人，项目资金无截留、和挪用情况，保障了</w:t>
      </w:r>
      <w:r>
        <w:rPr>
          <w:rFonts w:hint="eastAsia" w:ascii="仿宋" w:hAnsi="仿宋" w:eastAsia="仿宋" w:cs="仿宋"/>
          <w:sz w:val="24"/>
          <w:szCs w:val="24"/>
          <w:lang w:eastAsia="zh-CN"/>
        </w:rPr>
        <w:t>无工作单位</w:t>
      </w:r>
      <w:r>
        <w:rPr>
          <w:rFonts w:hint="eastAsia" w:ascii="仿宋" w:hAnsi="仿宋" w:eastAsia="仿宋" w:cs="仿宋"/>
          <w:sz w:val="24"/>
          <w:szCs w:val="24"/>
          <w:lang w:val="en-US" w:eastAsia="zh-CN"/>
        </w:rPr>
        <w:t>1-6级</w:t>
      </w:r>
      <w:r>
        <w:rPr>
          <w:rFonts w:hint="eastAsia" w:ascii="仿宋" w:hAnsi="仿宋" w:eastAsia="仿宋" w:cs="仿宋"/>
          <w:sz w:val="24"/>
          <w:szCs w:val="24"/>
          <w:lang w:eastAsia="zh-CN"/>
        </w:rPr>
        <w:t>伤残军人</w:t>
      </w:r>
      <w:r>
        <w:rPr>
          <w:rFonts w:hint="eastAsia" w:ascii="仿宋" w:hAnsi="仿宋" w:eastAsia="仿宋" w:cs="仿宋"/>
          <w:sz w:val="24"/>
          <w:szCs w:val="24"/>
        </w:rPr>
        <w:t>的使用安全，确保了</w:t>
      </w:r>
      <w:r>
        <w:rPr>
          <w:rFonts w:hint="eastAsia" w:ascii="仿宋" w:hAnsi="仿宋" w:eastAsia="仿宋" w:cs="仿宋"/>
          <w:sz w:val="24"/>
          <w:szCs w:val="24"/>
          <w:lang w:eastAsia="zh-CN"/>
        </w:rPr>
        <w:t>伤残军人</w:t>
      </w:r>
      <w:r>
        <w:rPr>
          <w:rFonts w:hint="eastAsia" w:ascii="仿宋" w:hAnsi="仿宋" w:eastAsia="仿宋" w:cs="仿宋"/>
          <w:sz w:val="24"/>
          <w:szCs w:val="24"/>
        </w:rPr>
        <w:t>的合法权益。</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二</w:t>
      </w:r>
      <w:r>
        <w:rPr>
          <w:rFonts w:hint="eastAsia" w:ascii="仿宋" w:hAnsi="仿宋" w:eastAsia="仿宋" w:cs="仿宋"/>
          <w:sz w:val="24"/>
          <w:szCs w:val="24"/>
        </w:rPr>
        <w:t>）项目组织实施情况</w:t>
      </w:r>
    </w:p>
    <w:p>
      <w:pPr>
        <w:numPr>
          <w:ilvl w:val="0"/>
          <w:numId w:val="0"/>
        </w:numPr>
        <w:ind w:firstLine="480" w:firstLineChars="200"/>
        <w:rPr>
          <w:rFonts w:hint="default" w:ascii="仿宋" w:hAnsi="仿宋" w:eastAsia="仿宋" w:cs="仿宋"/>
          <w:sz w:val="24"/>
          <w:szCs w:val="24"/>
          <w:u w:val="single"/>
          <w:lang w:val="en-US"/>
        </w:rPr>
      </w:pPr>
      <w:r>
        <w:rPr>
          <w:rFonts w:hint="eastAsia" w:ascii="仿宋" w:hAnsi="仿宋" w:eastAsia="仿宋" w:cs="仿宋"/>
          <w:sz w:val="24"/>
          <w:szCs w:val="24"/>
        </w:rPr>
        <w:t>对于</w:t>
      </w:r>
      <w:r>
        <w:rPr>
          <w:rFonts w:hint="eastAsia" w:ascii="仿宋" w:hAnsi="仿宋" w:eastAsia="仿宋" w:cs="仿宋"/>
          <w:sz w:val="24"/>
          <w:szCs w:val="24"/>
          <w:lang w:val="en-US" w:eastAsia="zh-CN"/>
        </w:rPr>
        <w:t>2022年</w:t>
      </w:r>
      <w:r>
        <w:rPr>
          <w:rFonts w:hint="eastAsia" w:ascii="仿宋" w:hAnsi="仿宋" w:eastAsia="仿宋" w:cs="仿宋"/>
          <w:sz w:val="24"/>
          <w:szCs w:val="24"/>
          <w:lang w:eastAsia="zh-CN"/>
        </w:rPr>
        <w:t>无工作单位</w:t>
      </w:r>
      <w:r>
        <w:rPr>
          <w:rFonts w:hint="eastAsia" w:ascii="仿宋" w:hAnsi="仿宋" w:eastAsia="仿宋" w:cs="仿宋"/>
          <w:sz w:val="24"/>
          <w:szCs w:val="24"/>
          <w:lang w:val="en-US" w:eastAsia="zh-CN"/>
        </w:rPr>
        <w:t>1-6级</w:t>
      </w:r>
      <w:r>
        <w:rPr>
          <w:rFonts w:hint="eastAsia" w:ascii="仿宋" w:hAnsi="仿宋" w:eastAsia="仿宋" w:cs="仿宋"/>
          <w:sz w:val="24"/>
          <w:szCs w:val="24"/>
          <w:lang w:eastAsia="zh-CN"/>
        </w:rPr>
        <w:t>伤残军人每月及时缴纳基本医疗保险，对区外就医伤残军人及时报销个人部分。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三</w:t>
      </w:r>
      <w:r>
        <w:rPr>
          <w:rFonts w:hint="eastAsia" w:ascii="仿宋" w:hAnsi="仿宋" w:eastAsia="仿宋" w:cs="仿宋"/>
          <w:sz w:val="24"/>
          <w:szCs w:val="24"/>
        </w:rPr>
        <w:t>）项目效益情况</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）社会效益。通过调查确定相关人员对政策的知晓率为100%。落实国家对此类群体人员的医疗待遇政策，有利于维护国家和社会的稳定，促进县域的发展。</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）可持续性影响。100%落实了上级文件精神，维护社会的安定和谐稳定，</w:t>
      </w:r>
    </w:p>
    <w:p>
      <w:pPr>
        <w:numPr>
          <w:ilvl w:val="0"/>
          <w:numId w:val="0"/>
        </w:numPr>
        <w:ind w:firstLine="482" w:firstLineChars="200"/>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五、存在的问题和改进措施</w:t>
      </w:r>
    </w:p>
    <w:p>
      <w:pPr>
        <w:numPr>
          <w:ilvl w:val="0"/>
          <w:numId w:val="0"/>
        </w:num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对于未在定点医院就医的优抚对象住院，</w:t>
      </w:r>
      <w:r>
        <w:rPr>
          <w:rFonts w:hint="default" w:ascii="仿宋" w:hAnsi="仿宋" w:eastAsia="仿宋" w:cs="仿宋"/>
          <w:kern w:val="2"/>
          <w:sz w:val="24"/>
          <w:szCs w:val="24"/>
          <w:lang w:val="en-US" w:eastAsia="zh-CN" w:bidi="ar-SA"/>
        </w:rPr>
        <w:t>需先行垫付医疗费用，对部分生活困难的优抚对象来说负担较重。拟在退役军人事务部门医疗机构和优抚对象间建立起规范、便捷的三方结算流程，并将其结算数据与优抚对象实际报销相结合，合理编制报销，不断提高绩效管理水平。</w:t>
      </w:r>
    </w:p>
    <w:p>
      <w:pPr>
        <w:numPr>
          <w:ilvl w:val="0"/>
          <w:numId w:val="0"/>
        </w:numPr>
        <w:ind w:firstLine="480" w:firstLineChars="200"/>
        <w:rPr>
          <w:rFonts w:hint="eastAsia" w:ascii="仿宋" w:hAnsi="仿宋" w:eastAsia="仿宋" w:cs="仿宋"/>
          <w:sz w:val="24"/>
          <w:szCs w:val="24"/>
          <w:lang w:eastAsia="zh-CN"/>
        </w:rPr>
      </w:pPr>
    </w:p>
    <w:tbl>
      <w:tblPr>
        <w:tblStyle w:val="4"/>
        <w:tblpPr w:leftFromText="180" w:rightFromText="180" w:vertAnchor="text" w:horzAnchor="page" w:tblpX="1303" w:tblpY="324"/>
        <w:tblOverlap w:val="never"/>
        <w:tblW w:w="10410" w:type="dxa"/>
        <w:tblInd w:w="0" w:type="dxa"/>
        <w:shd w:val="clear" w:color="auto" w:fill="auto"/>
        <w:tblLayout w:type="autofit"/>
        <w:tblCellMar>
          <w:top w:w="0" w:type="dxa"/>
          <w:left w:w="108" w:type="dxa"/>
          <w:bottom w:w="0" w:type="dxa"/>
          <w:right w:w="108" w:type="dxa"/>
        </w:tblCellMar>
      </w:tblPr>
      <w:tblGrid>
        <w:gridCol w:w="1830"/>
        <w:gridCol w:w="1605"/>
        <w:gridCol w:w="1800"/>
        <w:gridCol w:w="1500"/>
        <w:gridCol w:w="1380"/>
        <w:gridCol w:w="1380"/>
        <w:gridCol w:w="915"/>
      </w:tblGrid>
      <w:tr>
        <w:tblPrEx>
          <w:shd w:val="clear" w:color="auto" w:fill="auto"/>
          <w:tblCellMar>
            <w:top w:w="0" w:type="dxa"/>
            <w:left w:w="108" w:type="dxa"/>
            <w:bottom w:w="0" w:type="dxa"/>
            <w:right w:w="108" w:type="dxa"/>
          </w:tblCellMar>
        </w:tblPrEx>
        <w:trPr>
          <w:trHeight w:val="450" w:hRule="atLeast"/>
        </w:trPr>
        <w:tc>
          <w:tcPr>
            <w:tcW w:w="1041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6"/>
                <w:szCs w:val="36"/>
                <w:u w:val="none"/>
              </w:rPr>
            </w:pPr>
            <w:r>
              <w:rPr>
                <w:rFonts w:hint="default" w:ascii="Times New Roman" w:hAnsi="Times New Roman" w:eastAsia="宋体" w:cs="Times New Roman"/>
                <w:b/>
                <w:bCs/>
                <w:i w:val="0"/>
                <w:iCs w:val="0"/>
                <w:color w:val="000000"/>
                <w:kern w:val="0"/>
                <w:sz w:val="36"/>
                <w:szCs w:val="36"/>
                <w:u w:val="none"/>
                <w:lang w:val="en-US" w:eastAsia="zh-CN" w:bidi="ar"/>
              </w:rPr>
              <w:t>2022</w:t>
            </w:r>
            <w:r>
              <w:rPr>
                <w:rStyle w:val="6"/>
                <w:lang w:val="en-US" w:eastAsia="zh-CN" w:bidi="ar"/>
              </w:rPr>
              <w:t>年项目支出绩效自评表</w:t>
            </w:r>
          </w:p>
        </w:tc>
      </w:tr>
      <w:tr>
        <w:tblPrEx>
          <w:tblCellMar>
            <w:top w:w="0" w:type="dxa"/>
            <w:left w:w="108" w:type="dxa"/>
            <w:bottom w:w="0" w:type="dxa"/>
            <w:right w:w="108" w:type="dxa"/>
          </w:tblCellMar>
        </w:tblPrEx>
        <w:trPr>
          <w:trHeight w:val="44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单位：万元</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60" w:hRule="atLeast"/>
        </w:trPr>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支出方向</w:t>
            </w:r>
          </w:p>
        </w:tc>
        <w:tc>
          <w:tcPr>
            <w:tcW w:w="340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伤残军人医疗补助</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所属专项</w:t>
            </w:r>
          </w:p>
        </w:tc>
        <w:tc>
          <w:tcPr>
            <w:tcW w:w="3675"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二等乙残军人医疗补助费</w:t>
            </w:r>
          </w:p>
        </w:tc>
      </w:tr>
      <w:tr>
        <w:tblPrEx>
          <w:tblCellMar>
            <w:top w:w="0" w:type="dxa"/>
            <w:left w:w="108" w:type="dxa"/>
            <w:bottom w:w="0" w:type="dxa"/>
            <w:right w:w="108" w:type="dxa"/>
          </w:tblCellMar>
        </w:tblPrEx>
        <w:trPr>
          <w:trHeight w:val="570" w:hRule="atLeast"/>
        </w:trPr>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Style w:val="7"/>
                <w:rFonts w:hAnsi="宋体"/>
                <w:lang w:val="en-US" w:eastAsia="zh-CN" w:bidi="ar"/>
              </w:rPr>
              <w:t>区级主管部门</w:t>
            </w:r>
          </w:p>
        </w:tc>
        <w:tc>
          <w:tcPr>
            <w:tcW w:w="3405" w:type="dxa"/>
            <w:gridSpan w:val="2"/>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退役军人事务局</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专项资金实施期</w:t>
            </w:r>
          </w:p>
        </w:tc>
        <w:tc>
          <w:tcPr>
            <w:tcW w:w="3675" w:type="dxa"/>
            <w:gridSpan w:val="3"/>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2022.1-2022.12</w:t>
            </w:r>
          </w:p>
        </w:tc>
      </w:tr>
      <w:tr>
        <w:tblPrEx>
          <w:tblCellMar>
            <w:top w:w="0" w:type="dxa"/>
            <w:left w:w="108" w:type="dxa"/>
            <w:bottom w:w="0" w:type="dxa"/>
            <w:right w:w="108" w:type="dxa"/>
          </w:tblCellMar>
        </w:tblPrEx>
        <w:trPr>
          <w:trHeight w:val="285" w:hRule="atLeast"/>
        </w:trPr>
        <w:tc>
          <w:tcPr>
            <w:tcW w:w="1830" w:type="dxa"/>
            <w:vMerge w:val="restart"/>
            <w:tcBorders>
              <w:top w:val="single" w:color="000000" w:sz="8" w:space="0"/>
              <w:left w:val="single" w:color="000000" w:sz="8"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预算执行情况（30分）</w:t>
            </w: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预算数</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执行数</w:t>
            </w:r>
          </w:p>
        </w:tc>
        <w:tc>
          <w:tcPr>
            <w:tcW w:w="2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执行率</w:t>
            </w:r>
          </w:p>
        </w:tc>
        <w:tc>
          <w:tcPr>
            <w:tcW w:w="229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得分</w:t>
            </w:r>
          </w:p>
        </w:tc>
      </w:tr>
      <w:tr>
        <w:tblPrEx>
          <w:tblCellMar>
            <w:top w:w="0" w:type="dxa"/>
            <w:left w:w="108" w:type="dxa"/>
            <w:bottom w:w="0" w:type="dxa"/>
            <w:right w:w="108" w:type="dxa"/>
          </w:tblCellMar>
        </w:tblPrEx>
        <w:trPr>
          <w:trHeight w:val="420" w:hRule="atLeast"/>
        </w:trPr>
        <w:tc>
          <w:tcPr>
            <w:tcW w:w="1830" w:type="dxa"/>
            <w:vMerge w:val="continue"/>
            <w:tcBorders>
              <w:top w:val="single" w:color="000000" w:sz="8" w:space="0"/>
              <w:left w:val="single" w:color="000000" w:sz="8" w:space="0"/>
              <w:bottom w:val="single" w:color="000000" w:sz="4"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93万元</w:t>
            </w: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93万元</w:t>
            </w:r>
          </w:p>
        </w:tc>
        <w:tc>
          <w:tcPr>
            <w:tcW w:w="288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100%</w:t>
            </w:r>
          </w:p>
        </w:tc>
        <w:tc>
          <w:tcPr>
            <w:tcW w:w="229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30</w:t>
            </w:r>
          </w:p>
        </w:tc>
      </w:tr>
      <w:tr>
        <w:tblPrEx>
          <w:tblCellMar>
            <w:top w:w="0" w:type="dxa"/>
            <w:left w:w="108" w:type="dxa"/>
            <w:bottom w:w="0" w:type="dxa"/>
            <w:right w:w="108" w:type="dxa"/>
          </w:tblCellMar>
        </w:tblPrEx>
        <w:trPr>
          <w:trHeight w:val="570" w:hRule="atLeast"/>
        </w:trPr>
        <w:tc>
          <w:tcPr>
            <w:tcW w:w="18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本年度绩效指标</w:t>
            </w:r>
          </w:p>
        </w:tc>
        <w:tc>
          <w:tcPr>
            <w:tcW w:w="160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一级指标</w:t>
            </w:r>
          </w:p>
        </w:tc>
        <w:tc>
          <w:tcPr>
            <w:tcW w:w="18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二级指标</w:t>
            </w:r>
          </w:p>
        </w:tc>
        <w:tc>
          <w:tcPr>
            <w:tcW w:w="15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三级指标</w:t>
            </w:r>
          </w:p>
        </w:tc>
        <w:tc>
          <w:tcPr>
            <w:tcW w:w="13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年度目标值</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完成值</w:t>
            </w:r>
          </w:p>
        </w:tc>
        <w:tc>
          <w:tcPr>
            <w:tcW w:w="0" w:type="auto"/>
            <w:tcBorders>
              <w:top w:val="nil"/>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得分</w:t>
            </w:r>
          </w:p>
        </w:tc>
      </w:tr>
      <w:tr>
        <w:tblPrEx>
          <w:tblCellMar>
            <w:top w:w="0" w:type="dxa"/>
            <w:left w:w="108" w:type="dxa"/>
            <w:bottom w:w="0" w:type="dxa"/>
            <w:right w:w="108" w:type="dxa"/>
          </w:tblCellMar>
        </w:tblPrEx>
        <w:trPr>
          <w:trHeight w:val="100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产出指标</w:t>
            </w: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数量指标（10分）</w:t>
            </w:r>
          </w:p>
        </w:tc>
        <w:tc>
          <w:tcPr>
            <w:tcW w:w="1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二等乙级伤残人员</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无工作二等乙级伤残人员64人</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64</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70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285"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质量指标（10分）</w:t>
            </w:r>
          </w:p>
        </w:tc>
        <w:tc>
          <w:tcPr>
            <w:tcW w:w="1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优抚对象医疗补助标准按规定执行率</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100%</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100%</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315"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84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时效指标（10分）</w:t>
            </w:r>
          </w:p>
        </w:tc>
        <w:tc>
          <w:tcPr>
            <w:tcW w:w="15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伤残军人医疗保障资金发放</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医保按月缴纳，按季度报销其他医疗费用</w:t>
            </w:r>
          </w:p>
        </w:tc>
        <w:tc>
          <w:tcPr>
            <w:tcW w:w="13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医保按月缴纳，按季度报销其他医疗费用</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44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成本指标（10分）</w:t>
            </w:r>
          </w:p>
        </w:tc>
        <w:tc>
          <w:tcPr>
            <w:tcW w:w="1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伤残军人医保基数</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未退休：5054，已退休：4385</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未退休：5054，已退休：4385</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52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4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效益指标</w:t>
            </w: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社会效益指标（10分）</w:t>
            </w:r>
          </w:p>
        </w:tc>
        <w:tc>
          <w:tcPr>
            <w:tcW w:w="1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伤残军人医疗难问题改善情况</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有效改善</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有效改善</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54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4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可持续影响指标（10分）</w:t>
            </w:r>
          </w:p>
        </w:tc>
        <w:tc>
          <w:tcPr>
            <w:tcW w:w="1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保障伤残军人就医待遇</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长期</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长期</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trHeight w:val="54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4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社会公众或服务对象满意度指标（10分）</w:t>
            </w:r>
          </w:p>
        </w:tc>
        <w:tc>
          <w:tcPr>
            <w:tcW w:w="150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伤残军人满意率</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≥85%</w:t>
            </w:r>
          </w:p>
        </w:tc>
        <w:tc>
          <w:tcPr>
            <w:tcW w:w="13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≥85%</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9</w:t>
            </w:r>
          </w:p>
        </w:tc>
      </w:tr>
      <w:tr>
        <w:tblPrEx>
          <w:tblCellMar>
            <w:top w:w="0" w:type="dxa"/>
            <w:left w:w="108" w:type="dxa"/>
            <w:bottom w:w="0" w:type="dxa"/>
            <w:right w:w="108" w:type="dxa"/>
          </w:tblCellMar>
        </w:tblPrEx>
        <w:trPr>
          <w:trHeight w:val="540" w:hRule="atLeast"/>
        </w:trPr>
        <w:tc>
          <w:tcPr>
            <w:tcW w:w="18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160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8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50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13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80" w:hRule="atLeast"/>
        </w:trPr>
        <w:tc>
          <w:tcPr>
            <w:tcW w:w="183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总分</w:t>
            </w:r>
          </w:p>
        </w:tc>
        <w:tc>
          <w:tcPr>
            <w:tcW w:w="858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99</w:t>
            </w:r>
          </w:p>
        </w:tc>
      </w:tr>
      <w:tr>
        <w:tblPrEx>
          <w:tblCellMar>
            <w:top w:w="0" w:type="dxa"/>
            <w:left w:w="108" w:type="dxa"/>
            <w:bottom w:w="0" w:type="dxa"/>
            <w:right w:w="108" w:type="dxa"/>
          </w:tblCellMar>
        </w:tblPrEx>
        <w:trPr>
          <w:trHeight w:val="300" w:hRule="atLeast"/>
        </w:trPr>
        <w:tc>
          <w:tcPr>
            <w:tcW w:w="18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偏差大或</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目标未完成</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原因分析</w:t>
            </w:r>
          </w:p>
        </w:tc>
        <w:tc>
          <w:tcPr>
            <w:tcW w:w="8580" w:type="dxa"/>
            <w:gridSpan w:val="6"/>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无</w:t>
            </w:r>
          </w:p>
        </w:tc>
      </w:tr>
      <w:tr>
        <w:tblPrEx>
          <w:tblCellMar>
            <w:top w:w="0" w:type="dxa"/>
            <w:left w:w="108" w:type="dxa"/>
            <w:bottom w:w="0" w:type="dxa"/>
            <w:right w:w="108" w:type="dxa"/>
          </w:tblCellMar>
        </w:tblPrEx>
        <w:trPr>
          <w:trHeight w:val="300" w:hRule="atLeast"/>
        </w:trPr>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580"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40" w:hRule="atLeast"/>
        </w:trPr>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580"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p>
        </w:tc>
      </w:tr>
      <w:tr>
        <w:tblPrEx>
          <w:tblCellMar>
            <w:top w:w="0" w:type="dxa"/>
            <w:left w:w="108" w:type="dxa"/>
            <w:bottom w:w="0" w:type="dxa"/>
            <w:right w:w="108" w:type="dxa"/>
          </w:tblCellMar>
        </w:tblPrEx>
        <w:trPr>
          <w:trHeight w:val="540" w:hRule="atLeast"/>
        </w:trPr>
        <w:tc>
          <w:tcPr>
            <w:tcW w:w="18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2"/>
                <w:szCs w:val="22"/>
                <w:u w:val="none"/>
              </w:rPr>
            </w:pPr>
            <w:r>
              <w:rPr>
                <w:rFonts w:hint="default" w:ascii="仿宋_GB2312" w:hAnsi="宋体" w:eastAsia="仿宋_GB2312" w:cs="仿宋_GB2312"/>
                <w:i w:val="0"/>
                <w:iCs w:val="0"/>
                <w:color w:val="000000"/>
                <w:kern w:val="0"/>
                <w:sz w:val="22"/>
                <w:szCs w:val="22"/>
                <w:u w:val="none"/>
                <w:lang w:val="en-US" w:eastAsia="zh-CN" w:bidi="ar"/>
              </w:rPr>
              <w:t>改进措施及</w:t>
            </w:r>
            <w:r>
              <w:rPr>
                <w:rFonts w:hint="default" w:ascii="仿宋_GB2312" w:hAnsi="宋体" w:eastAsia="仿宋_GB2312" w:cs="仿宋_GB2312"/>
                <w:i w:val="0"/>
                <w:iCs w:val="0"/>
                <w:color w:val="000000"/>
                <w:kern w:val="0"/>
                <w:sz w:val="22"/>
                <w:szCs w:val="22"/>
                <w:u w:val="none"/>
                <w:lang w:val="en-US" w:eastAsia="zh-CN" w:bidi="ar"/>
              </w:rPr>
              <w:br w:type="textWrapping"/>
            </w:r>
            <w:r>
              <w:rPr>
                <w:rFonts w:hint="default" w:ascii="仿宋_GB2312" w:hAnsi="宋体" w:eastAsia="仿宋_GB2312" w:cs="仿宋_GB2312"/>
                <w:i w:val="0"/>
                <w:iCs w:val="0"/>
                <w:color w:val="000000"/>
                <w:kern w:val="0"/>
                <w:sz w:val="22"/>
                <w:szCs w:val="22"/>
                <w:u w:val="none"/>
                <w:lang w:val="en-US" w:eastAsia="zh-CN" w:bidi="ar"/>
              </w:rPr>
              <w:t>结果应用方案</w:t>
            </w:r>
          </w:p>
        </w:tc>
        <w:tc>
          <w:tcPr>
            <w:tcW w:w="8580" w:type="dxa"/>
            <w:gridSpan w:val="6"/>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无</w:t>
            </w:r>
          </w:p>
        </w:tc>
      </w:tr>
      <w:tr>
        <w:tblPrEx>
          <w:tblCellMar>
            <w:top w:w="0" w:type="dxa"/>
            <w:left w:w="108" w:type="dxa"/>
            <w:bottom w:w="0" w:type="dxa"/>
            <w:right w:w="108" w:type="dxa"/>
          </w:tblCellMar>
        </w:tblPrEx>
        <w:trPr>
          <w:trHeight w:val="300" w:hRule="atLeast"/>
        </w:trPr>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580"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300" w:hRule="atLeast"/>
        </w:trPr>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580"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r>
        <w:tblPrEx>
          <w:tblCellMar>
            <w:top w:w="0" w:type="dxa"/>
            <w:left w:w="108" w:type="dxa"/>
            <w:bottom w:w="0" w:type="dxa"/>
            <w:right w:w="108" w:type="dxa"/>
          </w:tblCellMar>
        </w:tblPrEx>
        <w:trPr>
          <w:trHeight w:val="480" w:hRule="atLeast"/>
        </w:trPr>
        <w:tc>
          <w:tcPr>
            <w:tcW w:w="18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c>
          <w:tcPr>
            <w:tcW w:w="8580" w:type="dxa"/>
            <w:gridSpan w:val="6"/>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2"/>
                <w:szCs w:val="22"/>
                <w:u w:val="none"/>
              </w:rPr>
            </w:pPr>
          </w:p>
        </w:tc>
      </w:tr>
    </w:tbl>
    <w:p>
      <w:pPr>
        <w:numPr>
          <w:ilvl w:val="0"/>
          <w:numId w:val="0"/>
        </w:numPr>
        <w:ind w:firstLine="480" w:firstLineChars="200"/>
        <w:rPr>
          <w:rFonts w:hint="eastAsia" w:ascii="仿宋" w:hAnsi="仿宋" w:eastAsia="仿宋" w:cs="仿宋"/>
          <w:sz w:val="24"/>
          <w:szCs w:val="24"/>
          <w:lang w:eastAsia="zh-CN"/>
        </w:rPr>
      </w:pPr>
    </w:p>
    <w:p>
      <w:pPr>
        <w:numPr>
          <w:ilvl w:val="0"/>
          <w:numId w:val="0"/>
        </w:numPr>
        <w:ind w:firstLine="480" w:firstLineChars="200"/>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1E574"/>
    <w:multiLevelType w:val="singleLevel"/>
    <w:tmpl w:val="EFF1E5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46BCF"/>
    <w:rsid w:val="31D47CE6"/>
    <w:rsid w:val="34161C42"/>
    <w:rsid w:val="46EA1853"/>
    <w:rsid w:val="58F10441"/>
    <w:rsid w:val="5E882155"/>
    <w:rsid w:val="67E129AF"/>
    <w:rsid w:val="75C8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31"/>
    <w:basedOn w:val="5"/>
    <w:qFormat/>
    <w:uiPriority w:val="0"/>
    <w:rPr>
      <w:rFonts w:hint="eastAsia" w:ascii="宋体" w:hAnsi="宋体" w:eastAsia="宋体" w:cs="宋体"/>
      <w:b/>
      <w:bCs/>
      <w:color w:val="000000"/>
      <w:sz w:val="36"/>
      <w:szCs w:val="36"/>
      <w:u w:val="none"/>
    </w:rPr>
  </w:style>
  <w:style w:type="character" w:customStyle="1" w:styleId="7">
    <w:name w:val="font21"/>
    <w:basedOn w:val="5"/>
    <w:qFormat/>
    <w:uiPriority w:val="0"/>
    <w:rPr>
      <w:rFonts w:hint="default"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2023-08-31T07:34:30Z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1783592CC5C14FB6B16E8C06F6894A06</vt:lpwstr>
  </property>
</Properties>
</file>