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2022年度大学生入伍奖励自评报告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（一）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贯彻落实习近平强军思想，适应“一年两次征兵两次退役”改革要求，依据国家和湖南省有关政策，2020年，湖南省政府、省军区联合出台《激励大学生参军入伍若干措施》文件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立项</w:t>
      </w:r>
      <w:r>
        <w:rPr>
          <w:rFonts w:hint="eastAsia" w:ascii="仿宋" w:hAnsi="仿宋" w:eastAsia="仿宋" w:cs="仿宋"/>
          <w:sz w:val="24"/>
          <w:szCs w:val="24"/>
        </w:rPr>
        <w:t>。在益阳市所属县市区批准入伍服义务兵役的男性大学生，除享受国家、军队、地方的优待政策外，再按照毕业生(含应届、往届)8000元/人、在校生6000元/人标准发放一次性入伍奖励金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年，预算安排专项资金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55</w:t>
      </w:r>
      <w:r>
        <w:rPr>
          <w:rFonts w:hint="eastAsia" w:ascii="仿宋" w:hAnsi="仿宋" w:eastAsia="仿宋" w:cs="仿宋"/>
          <w:sz w:val="24"/>
          <w:szCs w:val="24"/>
          <w:u w:val="none"/>
        </w:rPr>
        <w:t>万元，用于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  <w:u w:val="none"/>
        </w:rPr>
        <w:t>入伍且尚在部队服现役的义务兵家庭，落实到人到户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退役军人事务局的优抚股根据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资阳区</w:t>
      </w:r>
      <w:r>
        <w:rPr>
          <w:rFonts w:hint="eastAsia" w:ascii="仿宋" w:hAnsi="仿宋" w:eastAsia="仿宋" w:cs="仿宋"/>
          <w:sz w:val="24"/>
          <w:szCs w:val="24"/>
        </w:rPr>
        <w:t>人民政府征兵办公室提供的花名册，向单位局党组提交发放请示报告，经单位领导审批后，由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区支付中心审批</w:t>
      </w:r>
      <w:r>
        <w:rPr>
          <w:rFonts w:hint="eastAsia" w:ascii="仿宋" w:hAnsi="仿宋" w:eastAsia="仿宋" w:cs="仿宋"/>
          <w:sz w:val="24"/>
          <w:szCs w:val="24"/>
        </w:rPr>
        <w:t>实行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批量打卡</w:t>
      </w:r>
      <w:r>
        <w:rPr>
          <w:rFonts w:hint="eastAsia" w:ascii="仿宋" w:hAnsi="仿宋" w:eastAsia="仿宋" w:cs="仿宋"/>
          <w:sz w:val="24"/>
          <w:szCs w:val="24"/>
        </w:rPr>
        <w:t>发放到人。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二、绩效自评工作开展情况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（一）绩效评价目的、对象、范围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1.评价目的：了解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大学生入伍奖励</w:t>
      </w:r>
      <w:r>
        <w:rPr>
          <w:rFonts w:hint="eastAsia" w:ascii="仿宋" w:hAnsi="仿宋" w:eastAsia="仿宋" w:cs="仿宋"/>
          <w:sz w:val="24"/>
          <w:szCs w:val="24"/>
        </w:rPr>
        <w:t>专项资金的收入和支出情况，进一步提高专项资金使用管理效益。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2.评价对象：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大学生入伍奖励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3.评价范围: 项目立项、目标，资金投入使用和管理，项目组织实施过程，制度建设及执行，项目产出和效益。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（二）绩效评价原则、方法、标准、体系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1.评价原则：遵循科学公正、统筹兼顾、激励约束、公开透明的原则。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2.评价方法：对立项依据、项目资金收入支出、发放对象资料等进行了解、比较、核算进行评价。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3.评价标准：本次评价主要采用了计划标准。计划标准主要包括补助对象、补助金额标准、质量标准和效益标准。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三、综合评价情况及评价结论（附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自评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表）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经自评，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支出绩效评价得分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分（详见附件）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评价等级为“优”。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四、绩效目标评价分析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（一）资金管理情况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（1）资金到位率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级年初预算安排专项资金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55</w:t>
      </w:r>
      <w:r>
        <w:rPr>
          <w:rFonts w:hint="eastAsia" w:ascii="仿宋" w:hAnsi="仿宋" w:eastAsia="仿宋" w:cs="仿宋"/>
          <w:sz w:val="24"/>
          <w:szCs w:val="24"/>
        </w:rPr>
        <w:t>万元，资金到位率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（2）预算执行率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入伍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大学生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99</w:t>
      </w:r>
      <w:r>
        <w:rPr>
          <w:rFonts w:hint="eastAsia" w:ascii="仿宋" w:hAnsi="仿宋" w:eastAsia="仿宋" w:cs="仿宋"/>
          <w:sz w:val="24"/>
          <w:szCs w:val="24"/>
          <w:u w:val="none"/>
        </w:rPr>
        <w:t>人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，其中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34人为应届大学生、65人为往届大学生，发放奖励金合计72.4万元，</w:t>
      </w:r>
      <w:r>
        <w:rPr>
          <w:rFonts w:hint="eastAsia" w:ascii="仿宋" w:hAnsi="仿宋" w:eastAsia="仿宋" w:cs="仿宋"/>
          <w:sz w:val="24"/>
          <w:szCs w:val="24"/>
          <w:u w:val="none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全部</w:t>
      </w:r>
      <w:r>
        <w:rPr>
          <w:rFonts w:hint="eastAsia" w:ascii="仿宋" w:hAnsi="仿宋" w:eastAsia="仿宋" w:cs="仿宋"/>
          <w:sz w:val="24"/>
          <w:szCs w:val="24"/>
          <w:u w:val="none"/>
        </w:rPr>
        <w:t>打卡到位，未影响支付进度。资金执行率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131.6 </w:t>
      </w:r>
      <w:r>
        <w:rPr>
          <w:rFonts w:hint="eastAsia" w:ascii="仿宋" w:hAnsi="仿宋" w:eastAsia="仿宋" w:cs="仿宋"/>
          <w:sz w:val="24"/>
          <w:szCs w:val="24"/>
          <w:u w:val="none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（3）资金使用合规性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大学生入伍奖励</w:t>
      </w:r>
      <w:r>
        <w:rPr>
          <w:rFonts w:hint="eastAsia" w:ascii="仿宋" w:hAnsi="仿宋" w:eastAsia="仿宋" w:cs="仿宋"/>
          <w:sz w:val="24"/>
          <w:szCs w:val="24"/>
        </w:rPr>
        <w:t>专款专用，采用银行打卡方式按标准足额及时发放到个人，项目资金无截留、和挪用情况，保障了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大学生入伍奖励</w:t>
      </w:r>
      <w:r>
        <w:rPr>
          <w:rFonts w:hint="eastAsia" w:ascii="仿宋" w:hAnsi="仿宋" w:eastAsia="仿宋" w:cs="仿宋"/>
          <w:sz w:val="24"/>
          <w:szCs w:val="24"/>
        </w:rPr>
        <w:t>金的使用安全，确保了对象的合法权益。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）项目组织实施情况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对于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年入伍的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</w:t>
      </w:r>
      <w:r>
        <w:rPr>
          <w:rFonts w:hint="eastAsia" w:ascii="仿宋" w:hAnsi="仿宋" w:eastAsia="仿宋" w:cs="仿宋"/>
          <w:sz w:val="24"/>
          <w:szCs w:val="24"/>
        </w:rPr>
        <w:t>，由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资阳区</w:t>
      </w:r>
      <w:r>
        <w:rPr>
          <w:rFonts w:hint="eastAsia" w:ascii="仿宋" w:hAnsi="仿宋" w:eastAsia="仿宋" w:cs="仿宋"/>
          <w:sz w:val="24"/>
          <w:szCs w:val="24"/>
        </w:rPr>
        <w:t>人民政府征兵办公室提供花名册，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对象家属提供入伍通知书、家庭户口簿及本人长沙银行卡向区退役局优抚股进行申报，经审核后统一打卡发放。</w:t>
      </w:r>
      <w:r>
        <w:rPr>
          <w:rFonts w:hint="eastAsia" w:ascii="仿宋" w:hAnsi="仿宋" w:eastAsia="仿宋" w:cs="仿宋"/>
          <w:sz w:val="24"/>
          <w:szCs w:val="24"/>
          <w:u w:val="none"/>
        </w:rPr>
        <w:t>补助义务兵家庭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99</w:t>
      </w:r>
      <w:r>
        <w:rPr>
          <w:rFonts w:hint="eastAsia" w:ascii="仿宋" w:hAnsi="仿宋" w:eastAsia="仿宋" w:cs="仿宋"/>
          <w:sz w:val="24"/>
          <w:szCs w:val="24"/>
          <w:u w:val="none"/>
        </w:rPr>
        <w:t>人，补助标准统一为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0.6万-0.8万</w:t>
      </w:r>
      <w:r>
        <w:rPr>
          <w:rFonts w:hint="eastAsia" w:ascii="仿宋" w:hAnsi="仿宋" w:eastAsia="仿宋" w:cs="仿宋"/>
          <w:sz w:val="24"/>
          <w:szCs w:val="24"/>
          <w:u w:val="none"/>
        </w:rPr>
        <w:t>元/人。补助对象打卡到位率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100% </w:t>
      </w:r>
      <w:r>
        <w:rPr>
          <w:rFonts w:hint="eastAsia" w:ascii="仿宋" w:hAnsi="仿宋" w:eastAsia="仿宋" w:cs="仿宋"/>
          <w:sz w:val="24"/>
          <w:szCs w:val="24"/>
          <w:u w:val="none"/>
        </w:rPr>
        <w:t>，及时率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98%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）项目效益情况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）社会效益。项目资金的发放进一步鼓励和吸引优秀大学生参军入伍、投身军营建功立业，促</w:t>
      </w:r>
      <w:r>
        <w:rPr>
          <w:rFonts w:hint="eastAsia" w:ascii="仿宋" w:hAnsi="仿宋" w:eastAsia="仿宋" w:cs="仿宋"/>
          <w:sz w:val="24"/>
          <w:szCs w:val="24"/>
        </w:rPr>
        <w:t>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域的发展。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）可持续性影响。100%落实了上级文件精神，调动了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大学生</w:t>
      </w:r>
      <w:r>
        <w:rPr>
          <w:rFonts w:hint="eastAsia" w:ascii="仿宋" w:hAnsi="仿宋" w:eastAsia="仿宋" w:cs="仿宋"/>
          <w:sz w:val="24"/>
          <w:szCs w:val="24"/>
        </w:rPr>
        <w:t>入伍的积极性，维护了社会的稳定，促进了军民团结。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五、存在的问题和改进措施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大学生入伍奖励</w:t>
      </w:r>
      <w:r>
        <w:rPr>
          <w:rFonts w:hint="eastAsia" w:ascii="仿宋" w:hAnsi="仿宋" w:eastAsia="仿宋" w:cs="仿宋"/>
          <w:sz w:val="24"/>
          <w:szCs w:val="24"/>
        </w:rPr>
        <w:t>是由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人民政府征兵办提供义务兵花名册，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对象自行前往区退役局优抚股完成优待金申报程序，我局无法主动联系对象进行申报，造成部分未申报人员不能及时发放优待金。下一步我局将与征兵办沟通，由征兵办主动通知义务兵家庭，及时完成申报程序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1166" w:tblpY="270"/>
        <w:tblOverlap w:val="never"/>
        <w:tblW w:w="10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05"/>
        <w:gridCol w:w="1800"/>
        <w:gridCol w:w="1500"/>
        <w:gridCol w:w="1380"/>
        <w:gridCol w:w="13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2022</w:t>
            </w:r>
            <w:r>
              <w:rPr>
                <w:rStyle w:val="7"/>
                <w:lang w:val="en-US" w:eastAsia="zh-CN" w:bidi="ar"/>
              </w:rPr>
              <w:t>年项目支出绩效自评表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入伍奖励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大学生一次性入伍奖励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区级主管部门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专项资金实施期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预算执行情况（30分）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55万元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72.4万元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131%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本年度绩效指标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2021年入伍大学生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按政策规定标准执行率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服役一年后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服役一年后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18960元/年-30336元/年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18960元/年-30336元/年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引导优秀大学生入伍建功立业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激励大学生参军入伍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入伍大学生满意率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偏差大或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目标未完成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改进措施及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结果应用方案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E574"/>
    <w:multiLevelType w:val="singleLevel"/>
    <w:tmpl w:val="EFF1E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A1158"/>
    <w:rsid w:val="2C801861"/>
    <w:rsid w:val="399F1563"/>
    <w:rsid w:val="48B26D63"/>
    <w:rsid w:val="4EAE0553"/>
    <w:rsid w:val="75C86A58"/>
    <w:rsid w:val="7C90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2023-08-31T07:33:04Z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12A43EDA41EB4DBAB4ED045AFA7B80DD</vt:lpwstr>
  </property>
</Properties>
</file>