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2022年度残疾军人护理费自评报告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（一）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基本情况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残疾人护理费</w:t>
      </w:r>
      <w:r>
        <w:rPr>
          <w:rFonts w:hint="eastAsia" w:ascii="仿宋" w:hAnsi="仿宋" w:eastAsia="仿宋" w:cs="仿宋"/>
          <w:sz w:val="24"/>
          <w:szCs w:val="24"/>
        </w:rPr>
        <w:t>专项资金是根据《军人抚恤优待条例》规定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立项，对分散安置的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1级至4级残疾退役军人、5-6级因精神病致残的伤残军人发放护理费</w:t>
      </w:r>
      <w:r>
        <w:rPr>
          <w:rFonts w:hint="eastAsia" w:ascii="仿宋" w:hAnsi="仿宋" w:eastAsia="仿宋" w:cs="仿宋"/>
          <w:sz w:val="24"/>
          <w:szCs w:val="24"/>
        </w:rPr>
        <w:t>。项目由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资阳区</w:t>
      </w:r>
      <w:r>
        <w:rPr>
          <w:rFonts w:hint="eastAsia" w:ascii="仿宋" w:hAnsi="仿宋" w:eastAsia="仿宋" w:cs="仿宋"/>
          <w:sz w:val="24"/>
          <w:szCs w:val="24"/>
        </w:rPr>
        <w:t>退役军人事务事务局负责组织实施。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年，预算安排专项资金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38.3</w:t>
      </w:r>
      <w:r>
        <w:rPr>
          <w:rFonts w:hint="eastAsia" w:ascii="仿宋" w:hAnsi="仿宋" w:eastAsia="仿宋" w:cs="仿宋"/>
          <w:sz w:val="24"/>
          <w:szCs w:val="24"/>
        </w:rPr>
        <w:t>万元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落实到人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）项目实施情况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因战、因公一级和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"http://www.so.com/s?q=%E4%BA%8C%E7%BA%A7%E6%AE%8B%E7%96%BE&amp;ie=utf-8&amp;src=internal_wenda_recommend_textn" \t "https://wenda.so.com/q/_blank"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二级残疾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的，为当地职工月平均工资的50％；因战、因公三级和四级残疾的，为当地职工月平均工资的40％；因病一级至四级残疾的，为当地职工月平均工资的30％。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因精神病致残五</w:t>
      </w:r>
      <w:r>
        <w:rPr>
          <w:rFonts w:hint="eastAsia" w:ascii="仿宋" w:hAnsi="仿宋" w:eastAsia="仿宋" w:cs="仿宋"/>
          <w:sz w:val="24"/>
          <w:szCs w:val="24"/>
        </w:rPr>
        <w:t>级至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六</w:t>
      </w:r>
      <w:r>
        <w:rPr>
          <w:rFonts w:hint="eastAsia" w:ascii="仿宋" w:hAnsi="仿宋" w:eastAsia="仿宋" w:cs="仿宋"/>
          <w:sz w:val="24"/>
          <w:szCs w:val="24"/>
        </w:rPr>
        <w:t>级残疾的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，为当地职工月平均工资的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25%。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退役军人事务局的优抚股根据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区统计局公布的当地职工月平均工资</w:t>
      </w:r>
      <w:r>
        <w:rPr>
          <w:rFonts w:hint="eastAsia" w:ascii="仿宋" w:hAnsi="仿宋" w:eastAsia="仿宋" w:cs="仿宋"/>
          <w:sz w:val="24"/>
          <w:szCs w:val="24"/>
        </w:rPr>
        <w:t>，向单位局党组提交发放请示报告，经单位领导审批后，由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区支付中心审批</w:t>
      </w:r>
      <w:r>
        <w:rPr>
          <w:rFonts w:hint="eastAsia" w:ascii="仿宋" w:hAnsi="仿宋" w:eastAsia="仿宋" w:cs="仿宋"/>
          <w:sz w:val="24"/>
          <w:szCs w:val="24"/>
        </w:rPr>
        <w:t>实行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批量打卡</w:t>
      </w:r>
      <w:r>
        <w:rPr>
          <w:rFonts w:hint="eastAsia" w:ascii="仿宋" w:hAnsi="仿宋" w:eastAsia="仿宋" w:cs="仿宋"/>
          <w:sz w:val="24"/>
          <w:szCs w:val="24"/>
        </w:rPr>
        <w:t>发放到人。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二、绩效自评工作开展情况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（一）绩效评价目的、对象、范围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1.评价目的：了解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残疾军人护理费</w:t>
      </w:r>
      <w:r>
        <w:rPr>
          <w:rFonts w:hint="eastAsia" w:ascii="仿宋" w:hAnsi="仿宋" w:eastAsia="仿宋" w:cs="仿宋"/>
          <w:sz w:val="24"/>
          <w:szCs w:val="24"/>
        </w:rPr>
        <w:t>的收入和支出情况，进一步提高专项资金使用管理效益。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2.评价对象：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残疾军人护理费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3.评价范围: 项目立项、目标，资金投入使用和管理，项目组织实施过程，制度建设及执行，项目产出和效益。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（二）绩效评价原则、方法、标准、体系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1.评价原则：遵循科学公正、统筹兼顾、激励约束、公开透明的原则。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2.评价方法：对立项依据、项目资金收入支出、发放对象资料等进行了解、比较、核算进行评价。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3.评价标准：本次评价主要采用了计划标准。计划标准主要包括补助对象、补助金额标准、质量标准和效益标准。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三、综合评价情况及评价结论（附评分表）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经自评，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支出绩效评价得分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分（详见附件）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评价等级为“优”。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四、绩效目标评价分析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（一）资金管理情况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（1）资金到位率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年，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级年初预算安排专项资金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38.3</w:t>
      </w:r>
      <w:r>
        <w:rPr>
          <w:rFonts w:hint="eastAsia" w:ascii="仿宋" w:hAnsi="仿宋" w:eastAsia="仿宋" w:cs="仿宋"/>
          <w:sz w:val="24"/>
          <w:szCs w:val="24"/>
        </w:rPr>
        <w:t>万元，资金到位率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100 </w:t>
      </w:r>
      <w:r>
        <w:rPr>
          <w:rFonts w:hint="eastAsia" w:ascii="仿宋" w:hAnsi="仿宋" w:eastAsia="仿宋" w:cs="仿宋"/>
          <w:sz w:val="24"/>
          <w:szCs w:val="24"/>
        </w:rPr>
        <w:t>%。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（2）预算执行率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享受护理费待遇伤残军人共计19</w:t>
      </w:r>
      <w:r>
        <w:rPr>
          <w:rFonts w:hint="eastAsia" w:ascii="仿宋" w:hAnsi="仿宋" w:eastAsia="仿宋" w:cs="仿宋"/>
          <w:sz w:val="24"/>
          <w:szCs w:val="24"/>
          <w:u w:val="none"/>
        </w:rPr>
        <w:t>，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护理费合计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38.3万元，按季度打卡到位，</w:t>
      </w:r>
      <w:r>
        <w:rPr>
          <w:rFonts w:hint="eastAsia" w:ascii="仿宋" w:hAnsi="仿宋" w:eastAsia="仿宋" w:cs="仿宋"/>
          <w:sz w:val="24"/>
          <w:szCs w:val="24"/>
          <w:u w:val="none"/>
        </w:rPr>
        <w:t>资金执行率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  <w:u w:val="none"/>
        </w:rPr>
        <w:t>%。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（3）资金使用合规性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残疾人护理费</w:t>
      </w:r>
      <w:r>
        <w:rPr>
          <w:rFonts w:hint="eastAsia" w:ascii="仿宋" w:hAnsi="仿宋" w:eastAsia="仿宋" w:cs="仿宋"/>
          <w:sz w:val="24"/>
          <w:szCs w:val="24"/>
        </w:rPr>
        <w:t>专款专用，采用银行打卡方式按标准足额及时发放到个人，项目资金无截留、和挪用情况，保障了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残疾人护理费</w:t>
      </w:r>
      <w:r>
        <w:rPr>
          <w:rFonts w:hint="eastAsia" w:ascii="仿宋" w:hAnsi="仿宋" w:eastAsia="仿宋" w:cs="仿宋"/>
          <w:sz w:val="24"/>
          <w:szCs w:val="24"/>
        </w:rPr>
        <w:t>的使用安全，确保了优抚对象的合法权益。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）项目组织实施情况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优抚股</w:t>
      </w:r>
      <w:r>
        <w:rPr>
          <w:rFonts w:hint="eastAsia" w:ascii="仿宋" w:hAnsi="仿宋" w:eastAsia="仿宋" w:cs="仿宋"/>
          <w:sz w:val="24"/>
          <w:szCs w:val="24"/>
        </w:rPr>
        <w:t>根据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区统计局公布的当地职工月平均工资计算对应护理费，经审核后统一打卡发放。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u w:val="none"/>
        </w:rPr>
        <w:t>年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享受护理费待遇伤残军人共计19名 </w:t>
      </w:r>
      <w:r>
        <w:rPr>
          <w:rFonts w:hint="eastAsia" w:ascii="仿宋" w:hAnsi="仿宋" w:eastAsia="仿宋" w:cs="仿宋"/>
          <w:sz w:val="24"/>
          <w:szCs w:val="24"/>
          <w:u w:val="none"/>
        </w:rPr>
        <w:t>，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护理费合计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38.3万元。</w:t>
      </w:r>
      <w:r>
        <w:rPr>
          <w:rFonts w:hint="eastAsia" w:ascii="仿宋" w:hAnsi="仿宋" w:eastAsia="仿宋" w:cs="仿宋"/>
          <w:sz w:val="24"/>
          <w:szCs w:val="24"/>
          <w:u w:val="none"/>
        </w:rPr>
        <w:t>补助对象打卡到位率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100%</w:t>
      </w:r>
      <w:r>
        <w:rPr>
          <w:rFonts w:hint="eastAsia" w:ascii="仿宋" w:hAnsi="仿宋" w:eastAsia="仿宋" w:cs="仿宋"/>
          <w:sz w:val="24"/>
          <w:szCs w:val="24"/>
          <w:u w:val="none"/>
        </w:rPr>
        <w:t>，及时率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100%</w:t>
      </w:r>
      <w:r>
        <w:rPr>
          <w:rFonts w:hint="eastAsia" w:ascii="仿宋" w:hAnsi="仿宋" w:eastAsia="仿宋" w:cs="仿宋"/>
          <w:sz w:val="24"/>
          <w:szCs w:val="24"/>
          <w:u w:val="none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三</w:t>
      </w:r>
      <w:r>
        <w:rPr>
          <w:rFonts w:hint="eastAsia" w:ascii="仿宋" w:hAnsi="仿宋" w:eastAsia="仿宋" w:cs="仿宋"/>
          <w:sz w:val="24"/>
          <w:szCs w:val="24"/>
        </w:rPr>
        <w:t>）项目效益情况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）社会效益。通过调查确定相关人员对政策的知晓率为100%。项目资金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的发放</w:t>
      </w:r>
      <w:r>
        <w:rPr>
          <w:rFonts w:hint="eastAsia" w:ascii="仿宋" w:hAnsi="仿宋" w:eastAsia="仿宋" w:cs="仿宋"/>
          <w:sz w:val="24"/>
          <w:szCs w:val="24"/>
        </w:rPr>
        <w:t>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伤残</w:t>
      </w:r>
      <w:r>
        <w:rPr>
          <w:rFonts w:hint="eastAsia" w:ascii="仿宋" w:hAnsi="仿宋" w:eastAsia="仿宋" w:cs="仿宋"/>
          <w:sz w:val="24"/>
          <w:szCs w:val="24"/>
        </w:rPr>
        <w:t>军人有更多、更直接、更实在的获得感、幸福感、安全感，有利于维护国家和社会的稳定。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）可持续性影响。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保障伤残军人生活水准</w:t>
      </w:r>
      <w:r>
        <w:rPr>
          <w:rFonts w:hint="eastAsia" w:ascii="仿宋" w:hAnsi="仿宋" w:eastAsia="仿宋" w:cs="仿宋"/>
          <w:sz w:val="24"/>
          <w:szCs w:val="24"/>
        </w:rPr>
        <w:t>，维护了社会的稳定。</w:t>
      </w:r>
    </w:p>
    <w:tbl>
      <w:tblPr>
        <w:tblStyle w:val="4"/>
        <w:tblpPr w:leftFromText="180" w:rightFromText="180" w:vertAnchor="text" w:horzAnchor="page" w:tblpX="1371" w:tblpY="993"/>
        <w:tblOverlap w:val="never"/>
        <w:tblW w:w="1041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05"/>
        <w:gridCol w:w="1800"/>
        <w:gridCol w:w="1500"/>
        <w:gridCol w:w="1380"/>
        <w:gridCol w:w="1380"/>
        <w:gridCol w:w="9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2022</w:t>
            </w:r>
            <w:r>
              <w:rPr>
                <w:rStyle w:val="8"/>
                <w:lang w:val="en-US" w:eastAsia="zh-CN" w:bidi="ar"/>
              </w:rPr>
              <w:t>年项目支出绩效自评表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支出方向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抚恤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所属专项</w:t>
            </w:r>
          </w:p>
        </w:tc>
        <w:tc>
          <w:tcPr>
            <w:tcW w:w="36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一至六级伤残军人护理费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区级主管部门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专项资金实施期</w:t>
            </w:r>
          </w:p>
        </w:tc>
        <w:tc>
          <w:tcPr>
            <w:tcW w:w="36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预算执行情况（30分）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执行数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38.3万元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38.3万元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本年度绩效指标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享受护理费伤残军人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护理费按规定执行率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时效指标（10分）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发放时间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每季度首月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每季度首月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发放标准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18960元/年-30336元/年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18960元/年-30336元/年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提升伤残军人生活保障水平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促进社会和谐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社会公众或服务对象满意度指标（10分）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伤残军人满意率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85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偏差大或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目标未完成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原因分析</w:t>
            </w:r>
          </w:p>
        </w:tc>
        <w:tc>
          <w:tcPr>
            <w:tcW w:w="858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改进措施及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结果应用方案</w:t>
            </w:r>
          </w:p>
        </w:tc>
        <w:tc>
          <w:tcPr>
            <w:tcW w:w="858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1E574"/>
    <w:multiLevelType w:val="singleLevel"/>
    <w:tmpl w:val="EFF1E5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33044"/>
    <w:rsid w:val="2A9F00D1"/>
    <w:rsid w:val="2F5601EB"/>
    <w:rsid w:val="438804F1"/>
    <w:rsid w:val="4F7C22DE"/>
    <w:rsid w:val="5B44024F"/>
    <w:rsid w:val="5D407DA8"/>
    <w:rsid w:val="6F665F91"/>
    <w:rsid w:val="705C76AC"/>
    <w:rsid w:val="75C8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9">
    <w:name w:val="font2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2023-08-31T07:35:31Z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CC1EE5F0824D4EB4888661B806D5AECF</vt:lpwstr>
  </property>
</Properties>
</file>