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080" w:firstLineChars="300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2022年度</w:t>
      </w:r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正常离任村干部生活补贴提标扩面项目资金</w:t>
      </w:r>
      <w:r>
        <w:rPr>
          <w:rFonts w:ascii="Times New Roman" w:hAnsi="Times New Roman" w:eastAsia="方正小标宋_GBK" w:cs="Times New Roman"/>
          <w:sz w:val="36"/>
          <w:szCs w:val="36"/>
        </w:rPr>
        <w:t>绩效</w:t>
      </w:r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自评</w:t>
      </w:r>
      <w:r>
        <w:rPr>
          <w:rFonts w:ascii="Times New Roman" w:hAnsi="Times New Roman" w:eastAsia="方正小标宋_GBK" w:cs="Times New Roman"/>
          <w:sz w:val="36"/>
          <w:szCs w:val="36"/>
        </w:rPr>
        <w:t>报告</w:t>
      </w:r>
    </w:p>
    <w:p>
      <w:pPr>
        <w:spacing w:line="560" w:lineRule="exact"/>
        <w:ind w:firstLine="1080" w:firstLineChars="300"/>
        <w:jc w:val="both"/>
        <w:rPr>
          <w:rFonts w:ascii="Times New Roman" w:hAnsi="Times New Roman" w:eastAsia="方正小标宋_GBK" w:cs="Times New Roman"/>
          <w:sz w:val="36"/>
          <w:szCs w:val="36"/>
        </w:rPr>
      </w:pPr>
    </w:p>
    <w:p>
      <w:pPr>
        <w:spacing w:line="560" w:lineRule="exact"/>
        <w:ind w:firstLine="1080" w:firstLineChars="300"/>
        <w:jc w:val="both"/>
        <w:rPr>
          <w:rFonts w:ascii="Times New Roman" w:hAnsi="Times New Roman" w:eastAsia="方正小标宋_GBK" w:cs="Times New Roman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 w:firstLineChars="20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为认真落实绩效评价制度，进一步加强财政支出的监督管理，规范支出预算执行，提高财政资金使用效益，全面推进预算绩效管理，我镇对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年作为项目支出申报计划的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正常离任村干部生活补贴提标扩面资金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项目实施进行了认真的监督与检查，并根据项目实施情况和相关数据作出绩效评价，现将有关情况报告如下：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一、项目基本概况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（一）项目实施目标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为解决好正常离任村干部生活补贴问题，加强基层组织建设，稳定基层干部队伍，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正常离任村干部生活补贴提标扩面资金由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省、市、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区财政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统筹安排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，镇财政所跟进村、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社区自动离职人员认定、人员信息审核汇总、经费预算及发放、协调沟通等工作，严格落实正常离任村干部定期生活补贴，解决正常离任村干部生活困难问题。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　　（二）项目实施措施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年上级拨付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正常离任村干部生活补贴提标扩面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资金为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万元。在上级财政统筹安排下，合理有效使用各项支出费用，做到账实相符。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放正常离任村干部生活补贴，拟定用款计划和目标，严格按照管理法对资金进行计划申请、拨付和使用的程序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  <w:t>，保障正常离任村干部生活补贴按时发放，更好的改善离任村干部的生活条件，妥善解决生活困难问题。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　　（三）项目实施情况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我镇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  <w:t>正常离任村干部生活补贴提标扩面项目资金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主要靠上级财政拨款，由我镇财政所管理安排，资金主要支出于离退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  <w:t>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干部的生活补助发放，有利于稳定基层干部队伍，便于基层工作的开展。根据相关退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  <w:t>休村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干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  <w:t>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补助标准，严格项目管理，没有截留、挪用项目资金，并确保项目资金按期全额发放到位。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2022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年村干退干补助财政拨款合计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47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万元。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　　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480" w:leftChars="0" w:right="0" w:firstLine="0" w:firstLineChars="0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项目评价结论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根据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  <w:t>资金绩效自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评指标规定的内容，经我单位认真自评，20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22年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  <w:t>正常离任村干部生活补贴提标扩面资金项目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绩效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  <w:t>自评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得分为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100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评价结果等次为“优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  <w:t>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　　（一）项目实施取得的效果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　　1、项目的经济性分析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　　根据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  <w:t>正常离任村干部生活补贴提标扩面资金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安排合理使用资金，总体使用率较高。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　　2、项目的效率性分析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  <w:t>该项目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资金主要支出于离退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  <w:t>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干部的生活补助发放，有利于稳定基层干部队伍，便于基层工作的开展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　　3、项目的效益性和可持续性分析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该项目有利于促进干部工作的积极性，该项目的实施受到了广大村组干部的一致好评。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　　（二）项目实施存在的建议</w:t>
      </w:r>
    </w:p>
    <w:p>
      <w:pPr>
        <w:widowControl/>
        <w:spacing w:line="600" w:lineRule="exact"/>
        <w:ind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进一步加强和规范村干部工资待遇的管理，逐步提高村干部报酬待遇，做到干有所酬，退有所养，不断激发了村干部的工作热情，充分调动了村干部的工作积极性、主动性和创造性。为稳定基层干部队伍，切实维护社会稳定，促进社会和谐起到了积极作用。</w:t>
      </w:r>
    </w:p>
    <w:p>
      <w:pPr>
        <w:widowControl/>
        <w:spacing w:line="600" w:lineRule="exact"/>
        <w:ind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480" w:leftChars="0" w:right="0" w:firstLine="0" w:firstLineChars="0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绩效自评结果拟应用和公开情况</w:t>
      </w:r>
    </w:p>
    <w:p>
      <w:pPr>
        <w:widowControl/>
        <w:spacing w:line="600" w:lineRule="exact"/>
        <w:ind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按照政府信息公开有关规定，主动将绩效自评结果报告在厅门户网站公开，自觉接受社会监督，不断提高财政资金使用的透明度。</w:t>
      </w:r>
    </w:p>
    <w:p>
      <w:pPr>
        <w:widowControl/>
        <w:spacing w:line="600" w:lineRule="exact"/>
        <w:ind w:firstLine="645"/>
        <w:jc w:val="left"/>
        <w:rPr>
          <w:rFonts w:hint="eastAsia" w:ascii="Times New Roman" w:hAnsi="Times New Roman" w:cs="Times New Roman"/>
          <w:sz w:val="32"/>
          <w:szCs w:val="32"/>
          <w:lang w:eastAsia="zh-CN"/>
        </w:rPr>
      </w:pPr>
    </w:p>
    <w:p>
      <w:pPr>
        <w:widowControl/>
        <w:spacing w:line="600" w:lineRule="exact"/>
        <w:jc w:val="left"/>
        <w:rPr>
          <w:rFonts w:hint="eastAsia" w:ascii="Times New Roman" w:hAnsi="Times New Roman" w:cs="Times New Roman"/>
          <w:sz w:val="32"/>
          <w:szCs w:val="32"/>
          <w:lang w:eastAsia="zh-CN"/>
        </w:rPr>
      </w:pPr>
    </w:p>
    <w:p>
      <w:pPr>
        <w:widowControl/>
        <w:spacing w:line="600" w:lineRule="exact"/>
        <w:ind w:firstLine="645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</w:rPr>
        <w:t>：项目支出绩效自评表</w:t>
      </w:r>
    </w:p>
    <w:p>
      <w:pPr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  <w:t>年度项目支出绩效自评表</w:t>
      </w:r>
    </w:p>
    <w:tbl>
      <w:tblPr>
        <w:tblStyle w:val="3"/>
        <w:tblW w:w="98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67"/>
        <w:gridCol w:w="1728"/>
        <w:gridCol w:w="988"/>
        <w:gridCol w:w="789"/>
        <w:gridCol w:w="828"/>
        <w:gridCol w:w="873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正常离任村干部生活补贴提标扩面资金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48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资阳区新桥河镇人民政府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项目资金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年初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全年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全年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年度资金总额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其中：当年财政拨款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上年结转资金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年度总体目标</w:t>
            </w:r>
          </w:p>
        </w:tc>
        <w:tc>
          <w:tcPr>
            <w:tcW w:w="48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39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发放正常离任村干部生活补贴，拟定用款计划和目标，严格按照管理法对资金进行计划申请、拨付和使用的程序</w:t>
            </w:r>
          </w:p>
        </w:tc>
        <w:tc>
          <w:tcPr>
            <w:tcW w:w="39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发放正常离任村干部生活补贴，更好的改善离任村干部的生活条件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标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完成值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分值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得分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产出指标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(50分)</w:t>
            </w:r>
          </w:p>
        </w:tc>
        <w:tc>
          <w:tcPr>
            <w:tcW w:w="10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受益村/社区个数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支付率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按预定标准完成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发放时间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2022年12月底前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2022年12月发放完毕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对项目成本控制举措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效益指标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0分）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\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保障了正常离任村干部生活补贴按时发放，更好的改善离任村干部的生活条件，妥善解决生活困难问题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　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20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\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\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满意程度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90%　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A1BF15"/>
    <w:multiLevelType w:val="singleLevel"/>
    <w:tmpl w:val="CBA1BF15"/>
    <w:lvl w:ilvl="0" w:tentative="0">
      <w:start w:val="2"/>
      <w:numFmt w:val="chineseCounting"/>
      <w:suff w:val="nothing"/>
      <w:lvlText w:val="%1、"/>
      <w:lvlJc w:val="left"/>
      <w:pPr>
        <w:ind w:left="48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NzYwYzFhMDg5YTIzNmVkOGQ3NmFhNzM2MjFmMGUifQ=="/>
  </w:docVars>
  <w:rsids>
    <w:rsidRoot w:val="71FF7C8C"/>
    <w:rsid w:val="03E5407A"/>
    <w:rsid w:val="31210CDB"/>
    <w:rsid w:val="44452DAD"/>
    <w:rsid w:val="71FF7C8C"/>
    <w:rsid w:val="7AD0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1575</Words>
  <Characters>1686</Characters>
  <Lines>0</Lines>
  <Paragraphs>0</Paragraphs>
  <TotalTime>145</TotalTime>
  <ScaleCrop>false</ScaleCrop>
  <LinksUpToDate>false</LinksUpToDate>
  <CharactersWithSpaces>1772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2023-04-24T02:08:00Z</dcterms:created>
  <dc:creator>vv</dc:creator>
  <cp:lastModifiedBy>vv</cp:lastModifiedBy>
  <dcterms:modified xsi:type="dcterms:W3CDTF">2023-04-28T02:03:23Z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7115E36D0840406CAA606FBD9DB537F5_11</vt:lpwstr>
  </property>
</Properties>
</file>