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sz w:val="36"/>
          <w:szCs w:val="36"/>
        </w:rPr>
      </w:pPr>
    </w:p>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益阳市资阳区司法局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2022年度社区矫正项目资金绩效自评报告</w:t>
      </w:r>
    </w:p>
    <w:p>
      <w:pPr>
        <w:adjustRightInd w:val="0"/>
        <w:spacing w:line="560" w:lineRule="exact"/>
        <w:ind w:right="641"/>
        <w:rPr>
          <w:szCs w:val="32"/>
        </w:rPr>
      </w:pPr>
    </w:p>
    <w:p>
      <w:pPr>
        <w:numPr>
          <w:ilvl w:val="0"/>
          <w:numId w:val="1"/>
        </w:numPr>
        <w:adjustRightInd w:val="0"/>
        <w:snapToGrid w:val="0"/>
        <w:spacing w:line="560" w:lineRule="exact"/>
        <w:ind w:firstLine="632" w:firstLineChars="200"/>
        <w:rPr>
          <w:rFonts w:eastAsia="黑体"/>
          <w:szCs w:val="32"/>
        </w:rPr>
      </w:pPr>
      <w:r>
        <w:rPr>
          <w:rFonts w:eastAsia="黑体"/>
          <w:szCs w:val="32"/>
        </w:rPr>
        <w:t>项目概况</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社区矫正工作是司法部门承担的一项重要工作，对于维护社会安全稳定有着重要意义。社区矫正是针对被判处管制、宣告缓刑、裁定假释、暂予监外执行这四类犯罪行为较轻的对象所实施的非监禁性矫正刑罚。社区矫正的目的是为了通过政府、社会以及爱心人士的帮助，使矫正对象改正恶习，并帮助他们重新回归社会。完成2022年度社区矫正工作任务，使罪犯顺利回归社会，预防犯罪，维护社会稳定，确保不出事故。</w:t>
      </w:r>
    </w:p>
    <w:p>
      <w:pPr>
        <w:adjustRightInd w:val="0"/>
        <w:snapToGrid w:val="0"/>
        <w:spacing w:line="560" w:lineRule="exact"/>
        <w:ind w:left="632" w:leftChars="200" w:firstLine="158" w:firstLineChars="50"/>
        <w:rPr>
          <w:rFonts w:hint="eastAsia" w:ascii="仿宋_GB2312" w:hAnsi="方正小标宋_GBK" w:cs="方正小标宋_GBK"/>
          <w:b/>
          <w:bCs/>
          <w:szCs w:val="32"/>
        </w:rPr>
      </w:pPr>
      <w:r>
        <w:rPr>
          <w:rFonts w:hint="eastAsia" w:eastAsia="黑体"/>
          <w:szCs w:val="32"/>
        </w:rPr>
        <w:t>二、绩效自评工作开展情况</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（一）开展重点人员安全隐患排查工作共20余次，其中排查出重点社区</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正对象18名，涉“七类”重点安置帮教对象39名，对排查出的重点对象要求司法所重点管控，逐一建档立册，完善帮教方案，确定帮教措施，建立帮教联系，做到重点人员底数清、情况明。</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（二）与“云生活”购买“在矫通”260个、“矫务通”24个，运用监控预警、工作提醒、异常轨迹预警等功能，对社区矫正对象未完成教育、社区服务、未签到、越界等情况实现智能预测预警。</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（三）2022年以来共发现违反信息化核查、未经请假私自外出、安装虚拟定位软件等违规行为40余次，对35人进行了训诫、警告处理，保持对违规行为“零容忍”的高压态势。</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（四）近几年来我区社区矫正对象人数总体呈下降趋势，从2020年的299人到2021年的238人再到今年的201人，实现了“人防+技防”双管齐下，筑牢了社区矫正安全防线。</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（五）对却有困难的社区矫正对象及其未成年子女进行开展节假日走访慰问，累计帮扶达68人次，不断加大帮扶覆盖面，激发社区矫正对象改造积极性，更好地促进监管安全稳定。</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六）积极对接人力资源与社会保障局，对有创业就业需求的社区矫正对象、安置帮教对象开展免费的职业技能培训，提供学习的平台和政策保障，帮助他们开阔工作思路，激发创业就业热情，增强他们适应社会的信息和能力，今年共有35名矫正对象参加并顺利结业。</w:t>
      </w:r>
    </w:p>
    <w:p>
      <w:pPr>
        <w:adjustRightInd w:val="0"/>
        <w:snapToGrid w:val="0"/>
        <w:spacing w:line="560" w:lineRule="exact"/>
        <w:ind w:left="632"/>
        <w:rPr>
          <w:rFonts w:hint="eastAsia" w:eastAsia="黑体"/>
          <w:szCs w:val="32"/>
        </w:rPr>
      </w:pPr>
      <w:r>
        <w:rPr>
          <w:rFonts w:hint="eastAsia" w:eastAsia="黑体"/>
          <w:szCs w:val="32"/>
        </w:rPr>
        <w:t>三、综合评价结论</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本项目自评得分</w:t>
      </w:r>
      <w:r>
        <w:rPr>
          <w:rFonts w:hint="eastAsia" w:ascii="仿宋_GB2312" w:hAnsi="仿宋_GB2312" w:cs="仿宋_GB2312"/>
          <w:szCs w:val="32"/>
          <w:lang w:val="en-US" w:eastAsia="zh-CN"/>
        </w:rPr>
        <w:t>99</w:t>
      </w:r>
      <w:r>
        <w:rPr>
          <w:rFonts w:hint="eastAsia" w:ascii="仿宋_GB2312" w:hAnsi="仿宋_GB2312" w:cs="仿宋_GB2312"/>
          <w:szCs w:val="32"/>
        </w:rPr>
        <w:t>分</w:t>
      </w:r>
      <w:r>
        <w:rPr>
          <w:rFonts w:hint="eastAsia" w:ascii="仿宋_GB2312" w:hAnsi="仿宋_GB2312" w:cs="仿宋_GB2312"/>
          <w:szCs w:val="32"/>
          <w:lang w:val="en-US" w:eastAsia="zh-CN"/>
        </w:rPr>
        <w:t>(</w:t>
      </w:r>
      <w:r>
        <w:rPr>
          <w:rFonts w:hint="eastAsia"/>
          <w:szCs w:val="32"/>
        </w:rPr>
        <w:t>智慧矫正建设因新办公地点未按期搬迁腾空，加上疫情原因今年未能动工</w:t>
      </w:r>
      <w:r>
        <w:rPr>
          <w:rFonts w:hint="eastAsia"/>
          <w:szCs w:val="32"/>
          <w:lang w:eastAsia="zh-CN"/>
        </w:rPr>
        <w:t>，</w:t>
      </w:r>
      <w:r>
        <w:rPr>
          <w:rFonts w:hint="eastAsia"/>
          <w:szCs w:val="32"/>
        </w:rPr>
        <w:t>明年加快进度完成搬迁工作</w:t>
      </w:r>
      <w:r>
        <w:rPr>
          <w:rFonts w:hint="eastAsia"/>
          <w:szCs w:val="32"/>
          <w:lang w:eastAsia="zh-CN"/>
        </w:rPr>
        <w:t>）。</w:t>
      </w:r>
      <w:r>
        <w:rPr>
          <w:rFonts w:hint="eastAsia" w:ascii="仿宋_GB2312" w:hAnsi="仿宋_GB2312" w:cs="仿宋_GB2312"/>
          <w:szCs w:val="32"/>
        </w:rPr>
        <w:t>自评结论优秀，达到预期绩效目标。</w:t>
      </w:r>
    </w:p>
    <w:p>
      <w:pPr>
        <w:adjustRightInd w:val="0"/>
        <w:snapToGrid w:val="0"/>
        <w:spacing w:line="560" w:lineRule="exact"/>
        <w:ind w:left="632"/>
        <w:rPr>
          <w:rFonts w:hint="eastAsia" w:eastAsia="黑体"/>
          <w:szCs w:val="32"/>
        </w:rPr>
      </w:pPr>
      <w:r>
        <w:rPr>
          <w:rFonts w:hint="eastAsia" w:eastAsia="黑体"/>
          <w:szCs w:val="32"/>
        </w:rPr>
        <w:t>四、绩效目标实现情况分析</w:t>
      </w:r>
    </w:p>
    <w:p>
      <w:pPr>
        <w:widowControl/>
        <w:spacing w:line="560" w:lineRule="exact"/>
        <w:ind w:firstLine="632" w:firstLineChars="200"/>
        <w:rPr>
          <w:rFonts w:hint="eastAsia" w:ascii="楷体_GB2312" w:eastAsia="楷体_GB2312"/>
          <w:b/>
          <w:szCs w:val="32"/>
        </w:rPr>
      </w:pPr>
      <w:r>
        <w:rPr>
          <w:rFonts w:hint="eastAsia" w:ascii="楷体_GB2312" w:eastAsia="楷体_GB2312"/>
          <w:b/>
          <w:szCs w:val="32"/>
        </w:rPr>
        <w:t>（一）项目资金使用及管理情况</w:t>
      </w:r>
    </w:p>
    <w:p>
      <w:pPr>
        <w:adjustRightInd w:val="0"/>
        <w:snapToGrid w:val="0"/>
        <w:spacing w:line="560" w:lineRule="exact"/>
        <w:ind w:firstLine="632" w:firstLineChars="200"/>
        <w:rPr>
          <w:b/>
          <w:szCs w:val="32"/>
        </w:rPr>
      </w:pPr>
      <w:r>
        <w:rPr>
          <w:rFonts w:hint="eastAsia"/>
          <w:b/>
          <w:szCs w:val="32"/>
        </w:rPr>
        <w:t>1、</w:t>
      </w:r>
      <w:r>
        <w:rPr>
          <w:b/>
          <w:szCs w:val="32"/>
        </w:rPr>
        <w:t>项目资金安排落实、总投入等情况分析</w:t>
      </w:r>
    </w:p>
    <w:p>
      <w:pPr>
        <w:pStyle w:val="2"/>
        <w:spacing w:after="0" w:line="560" w:lineRule="exact"/>
        <w:ind w:firstLine="632" w:firstLineChars="200"/>
        <w:rPr>
          <w:rFonts w:hint="eastAsia"/>
          <w:szCs w:val="32"/>
        </w:rPr>
      </w:pPr>
      <w:r>
        <w:rPr>
          <w:rFonts w:hint="eastAsia"/>
          <w:szCs w:val="32"/>
        </w:rPr>
        <w:t>2022年资阳区财政安排社区矫正项目资金38万元，资金到位率100%。</w:t>
      </w:r>
    </w:p>
    <w:p>
      <w:pPr>
        <w:pStyle w:val="2"/>
        <w:spacing w:after="0" w:line="560" w:lineRule="exact"/>
        <w:ind w:firstLine="632" w:firstLineChars="200"/>
        <w:rPr>
          <w:b/>
          <w:szCs w:val="32"/>
        </w:rPr>
      </w:pPr>
      <w:r>
        <w:rPr>
          <w:rFonts w:hint="eastAsia"/>
          <w:b/>
          <w:szCs w:val="32"/>
        </w:rPr>
        <w:t>2、</w:t>
      </w:r>
      <w:r>
        <w:rPr>
          <w:b/>
          <w:szCs w:val="32"/>
        </w:rPr>
        <w:t>项目资金实际使用情况分析</w:t>
      </w:r>
    </w:p>
    <w:p>
      <w:pPr>
        <w:pStyle w:val="2"/>
        <w:spacing w:after="0" w:line="560" w:lineRule="exact"/>
        <w:ind w:firstLine="632" w:firstLineChars="200"/>
      </w:pPr>
      <w:r>
        <w:rPr>
          <w:rFonts w:hint="eastAsia"/>
          <w:szCs w:val="32"/>
        </w:rPr>
        <w:t>截至2022年12月该项目资金支出19.62万元，结余18.38万（结余原因：智慧矫正建设因新办公地点未按期搬迁腾空，加上疫情原因今年未能动工</w:t>
      </w:r>
      <w:r>
        <w:rPr>
          <w:rFonts w:hint="eastAsia"/>
          <w:szCs w:val="32"/>
          <w:lang w:eastAsia="zh-CN"/>
        </w:rPr>
        <w:t>，</w:t>
      </w:r>
      <w:r>
        <w:rPr>
          <w:rFonts w:hint="eastAsia"/>
          <w:szCs w:val="32"/>
        </w:rPr>
        <w:t>明年加快进度完成搬迁工作）。</w:t>
      </w:r>
    </w:p>
    <w:p>
      <w:pPr>
        <w:pStyle w:val="2"/>
        <w:spacing w:after="0" w:line="560" w:lineRule="exact"/>
        <w:ind w:firstLine="632" w:firstLineChars="200"/>
        <w:rPr>
          <w:rFonts w:hint="eastAsia" w:ascii="仿宋_GB2312" w:hAnsi="仿宋" w:cs="仿宋"/>
          <w:b/>
          <w:szCs w:val="32"/>
        </w:rPr>
      </w:pPr>
      <w:r>
        <w:rPr>
          <w:rFonts w:hint="eastAsia" w:ascii="仿宋_GB2312" w:hAnsi="仿宋" w:cs="仿宋"/>
          <w:b/>
          <w:szCs w:val="32"/>
        </w:rPr>
        <w:t>3、项目资金管理情况分析</w:t>
      </w:r>
    </w:p>
    <w:p>
      <w:pPr>
        <w:pStyle w:val="2"/>
        <w:spacing w:after="0" w:line="560" w:lineRule="exact"/>
        <w:ind w:firstLine="632" w:firstLineChars="200"/>
        <w:rPr>
          <w:rFonts w:hint="eastAsia" w:ascii="仿宋_GB2312" w:hAnsi="仿宋" w:cs="仿宋"/>
          <w:szCs w:val="32"/>
        </w:rPr>
      </w:pPr>
      <w:r>
        <w:rPr>
          <w:rFonts w:hint="eastAsia" w:ascii="仿宋_GB2312" w:hAnsi="仿宋" w:cs="仿宋"/>
          <w:szCs w:val="32"/>
        </w:rPr>
        <w:t>我单位资金全部进入财政预算一体化系统，严格按预算管理一体化                资金支付管理办法执行，资金支付全流程电子化管理，通过预算一体化系统办理业务，对项目资金做到了精准运用，精准管理，不存在截留、挤占、挪用、虚列支出等情况。</w:t>
      </w:r>
    </w:p>
    <w:p>
      <w:pPr>
        <w:widowControl/>
        <w:spacing w:line="560" w:lineRule="exact"/>
        <w:ind w:left="632" w:leftChars="200"/>
        <w:rPr>
          <w:rFonts w:hint="eastAsia" w:ascii="楷体_GB2312" w:eastAsia="楷体_GB2312"/>
          <w:b/>
          <w:szCs w:val="32"/>
        </w:rPr>
      </w:pPr>
      <w:r>
        <w:rPr>
          <w:rFonts w:hint="eastAsia" w:ascii="楷体_GB2312" w:eastAsia="楷体_GB2312"/>
          <w:b/>
          <w:szCs w:val="32"/>
        </w:rPr>
        <w:t>（二）总体绩效目标完成情况分析</w:t>
      </w:r>
    </w:p>
    <w:p>
      <w:pPr>
        <w:pStyle w:val="2"/>
        <w:spacing w:after="0" w:line="560" w:lineRule="exact"/>
        <w:ind w:firstLine="632" w:firstLineChars="200"/>
        <w:rPr>
          <w:rFonts w:hint="eastAsia" w:ascii="仿宋" w:hAnsi="仿宋" w:eastAsia="仿宋" w:cs="仿宋"/>
          <w:szCs w:val="32"/>
        </w:rPr>
      </w:pPr>
      <w:r>
        <w:rPr>
          <w:rFonts w:hint="eastAsia"/>
        </w:rPr>
        <w:t>2022年全年能较好地完成项目任务。</w:t>
      </w:r>
      <w:r>
        <w:rPr>
          <w:rFonts w:hint="eastAsia" w:ascii="仿宋" w:hAnsi="仿宋" w:eastAsia="仿宋" w:cs="仿宋"/>
          <w:szCs w:val="32"/>
        </w:rPr>
        <w:t>开展重点人员安全隐患排查工作共20余次，其中排查出重点社区矫正对象18名，涉“七类”重点安置帮教对象39名；</w:t>
      </w:r>
      <w:r>
        <w:rPr>
          <w:rFonts w:hint="eastAsia" w:ascii="仿宋_GB2312" w:hAnsi="仿宋_GB2312" w:cs="仿宋_GB2312"/>
          <w:szCs w:val="32"/>
        </w:rPr>
        <w:t>与“云生活”购买“在矫通”260个、“矫务通”24个，运用监控预警、工作提醒、异常轨迹预警等功能，对社区矫正对象未完成教育、社区服务、未签到、越界等情况实现智能预测预警；</w:t>
      </w:r>
      <w:r>
        <w:rPr>
          <w:rFonts w:hint="eastAsia" w:ascii="仿宋" w:hAnsi="仿宋" w:eastAsia="仿宋" w:cs="仿宋"/>
          <w:szCs w:val="32"/>
        </w:rPr>
        <w:t>对却有困难的</w:t>
      </w:r>
      <w:r>
        <w:rPr>
          <w:rFonts w:ascii="仿宋" w:hAnsi="仿宋" w:eastAsia="仿宋"/>
          <w:szCs w:val="32"/>
        </w:rPr>
        <w:t>社区矫正对象</w:t>
      </w:r>
      <w:r>
        <w:rPr>
          <w:rFonts w:hint="eastAsia" w:ascii="仿宋" w:hAnsi="仿宋" w:eastAsia="仿宋"/>
          <w:szCs w:val="32"/>
        </w:rPr>
        <w:t>及其</w:t>
      </w:r>
      <w:r>
        <w:rPr>
          <w:rFonts w:ascii="仿宋" w:hAnsi="仿宋" w:eastAsia="仿宋"/>
          <w:szCs w:val="32"/>
        </w:rPr>
        <w:t>未成年子女进行</w:t>
      </w:r>
      <w:r>
        <w:rPr>
          <w:rFonts w:hint="eastAsia" w:ascii="仿宋" w:hAnsi="仿宋" w:eastAsia="仿宋"/>
          <w:szCs w:val="32"/>
        </w:rPr>
        <w:t>开展节假日走访慰问，累计帮扶达68人次；今年共有35名矫正对象参加了免费的职业技能培训并顺利结业。</w:t>
      </w:r>
    </w:p>
    <w:p>
      <w:pPr>
        <w:widowControl/>
        <w:spacing w:line="560" w:lineRule="exact"/>
        <w:ind w:firstLine="632" w:firstLineChars="200"/>
        <w:rPr>
          <w:rFonts w:ascii="楷体_GB2312" w:eastAsia="楷体_GB2312"/>
          <w:b/>
          <w:szCs w:val="32"/>
        </w:rPr>
      </w:pPr>
      <w:r>
        <w:rPr>
          <w:rFonts w:hint="eastAsia" w:ascii="楷体_GB2312" w:eastAsia="楷体_GB2312"/>
          <w:b/>
          <w:szCs w:val="32"/>
        </w:rPr>
        <w:t>（三）绩效指标完成情况分析</w:t>
      </w:r>
    </w:p>
    <w:p>
      <w:pPr>
        <w:spacing w:line="560" w:lineRule="exact"/>
        <w:ind w:firstLine="632" w:firstLineChars="200"/>
        <w:rPr>
          <w:rFonts w:ascii="仿宋_GB2312" w:hAnsi="仿宋_GB2312" w:cs="仿宋_GB2312"/>
          <w:szCs w:val="32"/>
        </w:rPr>
      </w:pPr>
      <w:r>
        <w:rPr>
          <w:rFonts w:ascii="仿宋_GB2312" w:hAnsi="仿宋_GB2312" w:cs="仿宋_GB2312"/>
          <w:szCs w:val="32"/>
        </w:rPr>
        <w:t>数量指标</w:t>
      </w:r>
      <w:r>
        <w:rPr>
          <w:rFonts w:hint="eastAsia" w:ascii="仿宋_GB2312" w:hAnsi="仿宋_GB2312" w:cs="仿宋_GB2312"/>
          <w:szCs w:val="32"/>
        </w:rPr>
        <w:t>共接受有关部门</w:t>
      </w:r>
      <w:r>
        <w:rPr>
          <w:rFonts w:hint="eastAsia" w:ascii="仿宋" w:hAnsi="仿宋" w:eastAsia="仿宋" w:cs="仿宋"/>
          <w:kern w:val="0"/>
          <w:szCs w:val="32"/>
          <w:lang w:val="zh-CN"/>
        </w:rPr>
        <w:t>委托开展适用社区矫正调查评</w:t>
      </w:r>
      <w:r>
        <w:rPr>
          <w:rFonts w:hint="eastAsia" w:ascii="仿宋" w:hAnsi="仿宋" w:eastAsia="仿宋" w:cs="仿宋"/>
          <w:szCs w:val="32"/>
          <w:lang w:val="zh-CN"/>
        </w:rPr>
        <w:t>估</w:t>
      </w:r>
      <w:r>
        <w:rPr>
          <w:rFonts w:hint="eastAsia" w:ascii="仿宋" w:hAnsi="仿宋" w:eastAsia="仿宋" w:cs="仿宋"/>
          <w:szCs w:val="32"/>
        </w:rPr>
        <w:t>278例，接收164名社区矫正对象，解除社区矫正对象202人，终止社区矫正4人，迁出矫正对象8人，安置帮教对象共计1351人，2022年智慧矫正一体化平台在全省均名列前茅。</w:t>
      </w:r>
      <w:r>
        <w:rPr>
          <w:rFonts w:ascii="仿宋_GB2312" w:hAnsi="仿宋_GB2312" w:cs="仿宋_GB2312"/>
          <w:szCs w:val="32"/>
        </w:rPr>
        <w:t>质量指标项目验收合格率100％；时效指标项目计划完成及时率100％；成本指标实际完成投资控制在概算内的比例100％、年度资金预算执行率100％；社会效益指标</w:t>
      </w:r>
      <w:r>
        <w:rPr>
          <w:rFonts w:hint="eastAsia" w:ascii="仿宋" w:hAnsi="仿宋" w:eastAsia="仿宋" w:cs="仿宋"/>
          <w:szCs w:val="32"/>
        </w:rPr>
        <w:t>有效维护了本辖区的安全稳定，特殊人员的健康回归。</w:t>
      </w:r>
      <w:r>
        <w:rPr>
          <w:rFonts w:hint="eastAsia" w:ascii="仿宋_GB2312" w:hAnsi="仿宋_GB2312" w:cs="仿宋_GB2312"/>
          <w:szCs w:val="32"/>
        </w:rPr>
        <w:t>提高了城市居民和</w:t>
      </w:r>
      <w:r>
        <w:rPr>
          <w:rFonts w:ascii="仿宋_GB2312" w:hAnsi="仿宋_GB2312" w:cs="仿宋_GB2312"/>
          <w:szCs w:val="32"/>
        </w:rPr>
        <w:t>农村</w:t>
      </w:r>
      <w:r>
        <w:rPr>
          <w:rFonts w:hint="eastAsia" w:ascii="仿宋_GB2312" w:hAnsi="仿宋_GB2312" w:cs="仿宋_GB2312"/>
          <w:szCs w:val="32"/>
        </w:rPr>
        <w:t>居民的</w:t>
      </w:r>
      <w:r>
        <w:rPr>
          <w:rFonts w:ascii="仿宋_GB2312" w:hAnsi="仿宋_GB2312" w:cs="仿宋_GB2312"/>
          <w:szCs w:val="32"/>
        </w:rPr>
        <w:t>居住环境；</w:t>
      </w:r>
      <w:r>
        <w:rPr>
          <w:rFonts w:hint="eastAsia" w:ascii="仿宋_GB2312" w:hAnsi="仿宋_GB2312" w:cs="仿宋_GB2312"/>
          <w:szCs w:val="32"/>
        </w:rPr>
        <w:t>城市居民满意度95</w:t>
      </w:r>
      <w:r>
        <w:rPr>
          <w:rFonts w:ascii="仿宋_GB2312" w:hAnsi="仿宋_GB2312" w:cs="仿宋_GB2312"/>
          <w:szCs w:val="32"/>
        </w:rPr>
        <w:t>％；</w:t>
      </w:r>
      <w:r>
        <w:rPr>
          <w:rFonts w:hint="eastAsia" w:ascii="仿宋_GB2312" w:hAnsi="仿宋_GB2312" w:cs="仿宋_GB2312"/>
          <w:szCs w:val="32"/>
        </w:rPr>
        <w:t>提高市民参与度</w:t>
      </w:r>
      <w:r>
        <w:rPr>
          <w:rFonts w:ascii="仿宋_GB2312" w:hAnsi="仿宋_GB2312" w:cs="仿宋_GB2312"/>
          <w:szCs w:val="32"/>
        </w:rPr>
        <w:t>95％。</w:t>
      </w:r>
    </w:p>
    <w:p>
      <w:pPr>
        <w:adjustRightInd w:val="0"/>
        <w:snapToGrid w:val="0"/>
        <w:spacing w:line="560" w:lineRule="exact"/>
        <w:ind w:left="632"/>
        <w:rPr>
          <w:rFonts w:hint="eastAsia" w:eastAsia="黑体"/>
          <w:szCs w:val="32"/>
        </w:rPr>
      </w:pPr>
      <w:r>
        <w:rPr>
          <w:rFonts w:hint="eastAsia" w:eastAsia="黑体"/>
          <w:szCs w:val="32"/>
        </w:rPr>
        <w:t>五、存在的问题和改进措施</w:t>
      </w:r>
    </w:p>
    <w:p>
      <w:pPr>
        <w:adjustRightInd w:val="0"/>
        <w:snapToGrid w:val="0"/>
        <w:spacing w:line="560" w:lineRule="exact"/>
        <w:ind w:firstLine="632" w:firstLineChars="200"/>
        <w:rPr>
          <w:rFonts w:hint="eastAsia"/>
          <w:szCs w:val="32"/>
        </w:rPr>
      </w:pPr>
      <w:r>
        <w:rPr>
          <w:rFonts w:hint="eastAsia"/>
          <w:szCs w:val="32"/>
        </w:rPr>
        <w:t>绩效管理的经验不足，项目的部分成果无法用指标形式来表示；在绩效考评指标的设计上，有待完善。</w:t>
      </w:r>
    </w:p>
    <w:p>
      <w:pPr>
        <w:adjustRightInd w:val="0"/>
        <w:snapToGrid w:val="0"/>
        <w:spacing w:line="560" w:lineRule="exact"/>
        <w:ind w:firstLine="632" w:firstLineChars="200"/>
        <w:rPr>
          <w:rFonts w:hint="eastAsia" w:eastAsia="黑体"/>
          <w:szCs w:val="32"/>
        </w:rPr>
      </w:pPr>
      <w:r>
        <w:rPr>
          <w:rFonts w:hint="eastAsia" w:eastAsia="黑体"/>
          <w:szCs w:val="32"/>
        </w:rPr>
        <w:t>六、绩效自评结果拟应用和公开情况</w:t>
      </w:r>
    </w:p>
    <w:p>
      <w:pPr>
        <w:adjustRightInd w:val="0"/>
        <w:snapToGrid w:val="0"/>
        <w:spacing w:line="560" w:lineRule="exact"/>
        <w:ind w:firstLine="632" w:firstLineChars="200"/>
        <w:rPr>
          <w:rFonts w:hint="eastAsia"/>
          <w:szCs w:val="32"/>
        </w:rPr>
      </w:pPr>
      <w:r>
        <w:rPr>
          <w:rFonts w:hint="eastAsia"/>
          <w:szCs w:val="32"/>
        </w:rPr>
        <w:t>绩效自评结果将在资阳区人民政府公众信息网站上进行公开公示，广泛接受群众监督。</w:t>
      </w:r>
    </w:p>
    <w:p>
      <w:pPr>
        <w:adjustRightInd w:val="0"/>
        <w:snapToGrid w:val="0"/>
        <w:spacing w:line="560" w:lineRule="exact"/>
        <w:ind w:left="632" w:leftChars="200"/>
        <w:rPr>
          <w:rFonts w:hint="eastAsia" w:eastAsia="黑体"/>
          <w:szCs w:val="32"/>
        </w:rPr>
      </w:pPr>
      <w:r>
        <w:rPr>
          <w:rFonts w:hint="eastAsia" w:eastAsia="黑体"/>
          <w:szCs w:val="32"/>
        </w:rPr>
        <w:t>七、其他需要说明的问题</w:t>
      </w:r>
    </w:p>
    <w:p>
      <w:pPr>
        <w:widowControl/>
        <w:spacing w:line="560" w:lineRule="exact"/>
        <w:ind w:firstLine="632" w:firstLineChars="200"/>
        <w:rPr>
          <w:rFonts w:hint="eastAsia"/>
          <w:szCs w:val="32"/>
        </w:rPr>
      </w:pPr>
      <w:r>
        <w:rPr>
          <w:rFonts w:hint="eastAsia"/>
          <w:szCs w:val="32"/>
        </w:rPr>
        <w:t>其他说明问题无。</w:t>
      </w:r>
    </w:p>
    <w:p>
      <w:pPr>
        <w:pStyle w:val="2"/>
        <w:spacing w:after="0" w:line="560" w:lineRule="exact"/>
        <w:rPr>
          <w:rFonts w:hint="eastAsia"/>
        </w:rPr>
      </w:pPr>
    </w:p>
    <w:p>
      <w:pPr>
        <w:widowControl/>
        <w:spacing w:line="560" w:lineRule="exact"/>
        <w:ind w:firstLine="645"/>
        <w:rPr>
          <w:szCs w:val="32"/>
        </w:rPr>
      </w:pPr>
      <w:r>
        <w:rPr>
          <w:rFonts w:hint="eastAsia"/>
          <w:szCs w:val="32"/>
        </w:rPr>
        <w:t>附件</w:t>
      </w:r>
      <w:r>
        <w:rPr>
          <w:szCs w:val="32"/>
        </w:rPr>
        <w:t>：项目支出绩效自评表</w:t>
      </w:r>
    </w:p>
    <w:p>
      <w:pPr>
        <w:widowControl/>
        <w:spacing w:line="560" w:lineRule="exact"/>
        <w:ind w:firstLine="645"/>
        <w:rPr>
          <w:szCs w:val="32"/>
        </w:rPr>
      </w:pPr>
    </w:p>
    <w:p>
      <w:pPr>
        <w:widowControl/>
        <w:spacing w:line="600" w:lineRule="exact"/>
        <w:ind w:firstLine="645"/>
        <w:jc w:val="left"/>
        <w:rPr>
          <w:rFonts w:hint="eastAsia"/>
          <w:szCs w:val="32"/>
        </w:rPr>
      </w:pPr>
    </w:p>
    <w:p>
      <w:pPr>
        <w:pStyle w:val="2"/>
      </w:pPr>
    </w:p>
    <w:p>
      <w:pPr>
        <w:widowControl/>
        <w:spacing w:line="600" w:lineRule="exact"/>
        <w:ind w:firstLine="645"/>
        <w:jc w:val="left"/>
        <w:rPr>
          <w:szCs w:val="32"/>
        </w:rPr>
      </w:pPr>
    </w:p>
    <w:p>
      <w:pPr>
        <w:widowControl/>
        <w:jc w:val="left"/>
        <w:rPr>
          <w:rFonts w:hint="eastAsia" w:eastAsia="黑体"/>
          <w:szCs w:val="32"/>
        </w:rPr>
      </w:pPr>
      <w:r>
        <w:rPr>
          <w:rFonts w:eastAsia="黑体"/>
          <w:szCs w:val="32"/>
        </w:rPr>
        <w:t>附件</w:t>
      </w:r>
    </w:p>
    <w:p>
      <w:pPr>
        <w:widowControl/>
        <w:spacing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2</w:t>
      </w:r>
      <w:r>
        <w:rPr>
          <w:rFonts w:eastAsia="方正小标宋_GBK"/>
          <w:color w:val="000000"/>
          <w:kern w:val="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47"/>
        <w:gridCol w:w="1047"/>
        <w:gridCol w:w="1344"/>
        <w:gridCol w:w="1196"/>
        <w:gridCol w:w="1103"/>
        <w:gridCol w:w="1023"/>
        <w:gridCol w:w="886"/>
        <w:gridCol w:w="860"/>
        <w:gridCol w:w="1345"/>
      </w:tblGrid>
      <w:tr>
        <w:tblPrEx>
          <w:tblCellMar>
            <w:top w:w="0" w:type="dxa"/>
            <w:left w:w="108" w:type="dxa"/>
            <w:bottom w:w="0" w:type="dxa"/>
            <w:right w:w="108" w:type="dxa"/>
          </w:tblCellMar>
        </w:tblPrEx>
        <w:trPr>
          <w:trHeight w:val="350"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color w:val="000000"/>
                <w:kern w:val="0"/>
                <w:sz w:val="21"/>
                <w:szCs w:val="21"/>
              </w:rPr>
            </w:pPr>
            <w:r>
              <w:rPr>
                <w:color w:val="000000"/>
                <w:kern w:val="0"/>
                <w:sz w:val="21"/>
                <w:szCs w:val="21"/>
              </w:rPr>
              <w:t>项目名称</w:t>
            </w:r>
          </w:p>
        </w:tc>
        <w:tc>
          <w:tcPr>
            <w:tcW w:w="8804" w:type="dxa"/>
            <w:gridSpan w:val="8"/>
            <w:tcBorders>
              <w:top w:val="single" w:color="auto" w:sz="4" w:space="0"/>
              <w:left w:val="nil"/>
              <w:bottom w:val="single" w:color="auto" w:sz="4" w:space="0"/>
              <w:right w:val="single" w:color="auto" w:sz="4" w:space="0"/>
            </w:tcBorders>
            <w:vAlign w:val="center"/>
          </w:tcPr>
          <w:p>
            <w:pPr>
              <w:widowControl/>
              <w:jc w:val="center"/>
              <w:rPr>
                <w:rFonts w:hint="eastAsia"/>
                <w:color w:val="000000"/>
                <w:kern w:val="0"/>
                <w:sz w:val="21"/>
                <w:szCs w:val="21"/>
              </w:rPr>
            </w:pPr>
            <w:r>
              <w:rPr>
                <w:rFonts w:hint="eastAsia"/>
                <w:color w:val="000000"/>
                <w:kern w:val="0"/>
                <w:sz w:val="21"/>
                <w:szCs w:val="21"/>
              </w:rPr>
              <w:t>社区矫正</w:t>
            </w:r>
          </w:p>
        </w:tc>
      </w:tr>
      <w:tr>
        <w:tblPrEx>
          <w:tblCellMar>
            <w:top w:w="0" w:type="dxa"/>
            <w:left w:w="108" w:type="dxa"/>
            <w:bottom w:w="0" w:type="dxa"/>
            <w:right w:w="108" w:type="dxa"/>
          </w:tblCellMar>
        </w:tblPrEx>
        <w:trPr>
          <w:jc w:val="center"/>
        </w:trPr>
        <w:tc>
          <w:tcPr>
            <w:tcW w:w="1047" w:type="dxa"/>
            <w:tcBorders>
              <w:top w:val="nil"/>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主管部门</w:t>
            </w:r>
          </w:p>
        </w:tc>
        <w:tc>
          <w:tcPr>
            <w:tcW w:w="4690" w:type="dxa"/>
            <w:gridSpan w:val="4"/>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p>
        </w:tc>
        <w:tc>
          <w:tcPr>
            <w:tcW w:w="1023" w:type="dxa"/>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实施单位</w:t>
            </w:r>
          </w:p>
        </w:tc>
        <w:tc>
          <w:tcPr>
            <w:tcW w:w="3091" w:type="dxa"/>
            <w:gridSpan w:val="3"/>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益阳市资阳区司法局</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项目资金</w:t>
            </w:r>
            <w:r>
              <w:rPr>
                <w:color w:val="000000"/>
                <w:kern w:val="0"/>
                <w:sz w:val="21"/>
                <w:szCs w:val="21"/>
              </w:rPr>
              <w:br w:type="textWrapping"/>
            </w:r>
            <w:r>
              <w:rPr>
                <w:color w:val="000000"/>
                <w:kern w:val="0"/>
                <w:sz w:val="21"/>
                <w:szCs w:val="21"/>
              </w:rPr>
              <w:t>（万元）</w:t>
            </w: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年初</w:t>
            </w:r>
          </w:p>
          <w:p>
            <w:pPr>
              <w:widowControl/>
              <w:jc w:val="center"/>
              <w:rPr>
                <w:color w:val="000000"/>
                <w:kern w:val="0"/>
                <w:sz w:val="21"/>
                <w:szCs w:val="21"/>
              </w:rPr>
            </w:pPr>
            <w:r>
              <w:rPr>
                <w:color w:val="000000"/>
                <w:kern w:val="0"/>
                <w:sz w:val="21"/>
                <w:szCs w:val="21"/>
              </w:rPr>
              <w:t>预算数</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全年</w:t>
            </w:r>
          </w:p>
          <w:p>
            <w:pPr>
              <w:widowControl/>
              <w:jc w:val="center"/>
              <w:rPr>
                <w:color w:val="000000"/>
                <w:kern w:val="0"/>
                <w:sz w:val="21"/>
                <w:szCs w:val="21"/>
              </w:rPr>
            </w:pPr>
            <w:r>
              <w:rPr>
                <w:color w:val="000000"/>
                <w:kern w:val="0"/>
                <w:sz w:val="21"/>
                <w:szCs w:val="21"/>
              </w:rPr>
              <w:t>预算数</w:t>
            </w:r>
          </w:p>
        </w:tc>
        <w:tc>
          <w:tcPr>
            <w:tcW w:w="1023" w:type="dxa"/>
            <w:tcBorders>
              <w:top w:val="nil"/>
              <w:left w:val="nil"/>
              <w:bottom w:val="single" w:color="auto" w:sz="4" w:space="0"/>
              <w:right w:val="single" w:color="auto" w:sz="4" w:space="0"/>
            </w:tcBorders>
            <w:vAlign w:val="center"/>
          </w:tcPr>
          <w:p>
            <w:pPr>
              <w:jc w:val="center"/>
              <w:rPr>
                <w:sz w:val="21"/>
                <w:szCs w:val="21"/>
              </w:rPr>
            </w:pPr>
            <w:r>
              <w:rPr>
                <w:sz w:val="21"/>
                <w:szCs w:val="21"/>
              </w:rPr>
              <w:t>全年</w:t>
            </w:r>
          </w:p>
          <w:p>
            <w:pPr>
              <w:jc w:val="center"/>
              <w:rPr>
                <w:sz w:val="21"/>
                <w:szCs w:val="21"/>
              </w:rPr>
            </w:pPr>
            <w:r>
              <w:rPr>
                <w:sz w:val="21"/>
                <w:szCs w:val="21"/>
              </w:rPr>
              <w:t>执行数</w:t>
            </w:r>
          </w:p>
        </w:tc>
        <w:tc>
          <w:tcPr>
            <w:tcW w:w="886" w:type="dxa"/>
            <w:tcBorders>
              <w:top w:val="nil"/>
              <w:left w:val="nil"/>
              <w:bottom w:val="single" w:color="auto" w:sz="4" w:space="0"/>
              <w:right w:val="single" w:color="auto" w:sz="4" w:space="0"/>
            </w:tcBorders>
            <w:vAlign w:val="center"/>
          </w:tcPr>
          <w:p>
            <w:pPr>
              <w:jc w:val="center"/>
              <w:rPr>
                <w:sz w:val="21"/>
                <w:szCs w:val="21"/>
              </w:rPr>
            </w:pPr>
            <w:r>
              <w:rPr>
                <w:sz w:val="21"/>
                <w:szCs w:val="21"/>
              </w:rPr>
              <w:t>分值</w:t>
            </w:r>
          </w:p>
        </w:tc>
        <w:tc>
          <w:tcPr>
            <w:tcW w:w="860" w:type="dxa"/>
            <w:tcBorders>
              <w:top w:val="nil"/>
              <w:left w:val="nil"/>
              <w:bottom w:val="single" w:color="auto" w:sz="4" w:space="0"/>
              <w:right w:val="single" w:color="auto" w:sz="4" w:space="0"/>
            </w:tcBorders>
            <w:vAlign w:val="center"/>
          </w:tcPr>
          <w:p>
            <w:pPr>
              <w:jc w:val="center"/>
              <w:rPr>
                <w:sz w:val="21"/>
                <w:szCs w:val="21"/>
              </w:rPr>
            </w:pPr>
            <w:r>
              <w:rPr>
                <w:sz w:val="21"/>
                <w:szCs w:val="21"/>
              </w:rPr>
              <w:t>执行率</w:t>
            </w:r>
          </w:p>
        </w:tc>
        <w:tc>
          <w:tcPr>
            <w:tcW w:w="1345" w:type="dxa"/>
            <w:tcBorders>
              <w:top w:val="nil"/>
              <w:left w:val="nil"/>
              <w:bottom w:val="single" w:color="auto" w:sz="4" w:space="0"/>
              <w:right w:val="single" w:color="auto" w:sz="4" w:space="0"/>
            </w:tcBorders>
            <w:vAlign w:val="center"/>
          </w:tcPr>
          <w:p>
            <w:pPr>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年度资金总额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ind w:firstLine="206" w:firstLineChars="100"/>
              <w:jc w:val="left"/>
              <w:rPr>
                <w:rFonts w:hint="eastAsia"/>
                <w:color w:val="000000"/>
                <w:kern w:val="0"/>
                <w:sz w:val="21"/>
                <w:szCs w:val="21"/>
              </w:rPr>
            </w:pPr>
            <w:r>
              <w:rPr>
                <w:color w:val="000000"/>
                <w:kern w:val="0"/>
                <w:sz w:val="21"/>
                <w:szCs w:val="21"/>
              </w:rPr>
              <w:t>1</w:t>
            </w:r>
            <w:r>
              <w:rPr>
                <w:rFonts w:hint="eastAsia"/>
                <w:color w:val="000000"/>
                <w:kern w:val="0"/>
                <w:sz w:val="21"/>
                <w:szCs w:val="21"/>
              </w:rPr>
              <w:t>0分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51.63%</w:t>
            </w:r>
          </w:p>
        </w:tc>
        <w:tc>
          <w:tcPr>
            <w:tcW w:w="134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 w:val="21"/>
                <w:szCs w:val="21"/>
                <w:lang w:eastAsia="zh-CN"/>
              </w:rPr>
            </w:pPr>
            <w:r>
              <w:rPr>
                <w:color w:val="000000"/>
                <w:kern w:val="0"/>
                <w:sz w:val="21"/>
                <w:szCs w:val="21"/>
              </w:rPr>
              <w:t>　</w:t>
            </w:r>
            <w:r>
              <w:rPr>
                <w:rFonts w:hint="eastAsia"/>
                <w:color w:val="000000"/>
                <w:kern w:val="0"/>
                <w:sz w:val="21"/>
                <w:szCs w:val="21"/>
                <w:lang w:val="en-US" w:eastAsia="zh-CN"/>
              </w:rPr>
              <w:t>9</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其中：当年财政拨款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上年结转资金　</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其他资金</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年度总体目标</w:t>
            </w: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预期目标</w:t>
            </w:r>
          </w:p>
        </w:tc>
        <w:tc>
          <w:tcPr>
            <w:tcW w:w="4114"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rFonts w:hint="eastAsia"/>
                <w:color w:val="000000"/>
                <w:kern w:val="0"/>
                <w:sz w:val="21"/>
                <w:szCs w:val="21"/>
              </w:rPr>
              <w:t>完成2022年度社区矫正工作任务。使罪犯顺利回归社会，预防犯罪，维护社会稳定，确保不出事故。加强社区矫正日常督察工作、做好针对服刑人员的教育帮教工作。</w:t>
            </w:r>
          </w:p>
        </w:tc>
        <w:tc>
          <w:tcPr>
            <w:tcW w:w="4114" w:type="dxa"/>
            <w:gridSpan w:val="4"/>
            <w:tcBorders>
              <w:top w:val="single" w:color="auto" w:sz="4" w:space="0"/>
              <w:left w:val="nil"/>
              <w:bottom w:val="single" w:color="auto" w:sz="4" w:space="0"/>
              <w:right w:val="single" w:color="auto" w:sz="4" w:space="0"/>
            </w:tcBorders>
            <w:vAlign w:val="center"/>
          </w:tcPr>
          <w:p>
            <w:pPr>
              <w:ind w:firstLine="412" w:firstLineChars="200"/>
              <w:rPr>
                <w:color w:val="000000"/>
                <w:kern w:val="0"/>
                <w:sz w:val="21"/>
                <w:szCs w:val="21"/>
              </w:rPr>
            </w:pPr>
            <w:r>
              <w:rPr>
                <w:color w:val="000000"/>
                <w:kern w:val="0"/>
                <w:sz w:val="21"/>
                <w:szCs w:val="21"/>
              </w:rPr>
              <w:t>　</w:t>
            </w:r>
            <w:r>
              <w:rPr>
                <w:rFonts w:hint="eastAsia"/>
                <w:color w:val="000000"/>
                <w:kern w:val="0"/>
                <w:sz w:val="21"/>
                <w:szCs w:val="21"/>
              </w:rPr>
              <w:t>2022年，共接受有关部门</w:t>
            </w:r>
            <w:r>
              <w:rPr>
                <w:rFonts w:hint="eastAsia"/>
                <w:color w:val="000000"/>
                <w:kern w:val="0"/>
                <w:sz w:val="21"/>
                <w:szCs w:val="21"/>
                <w:lang w:val="zh-CN"/>
              </w:rPr>
              <w:t>委托开展适用社区矫正调查评估</w:t>
            </w:r>
            <w:r>
              <w:rPr>
                <w:rFonts w:hint="eastAsia"/>
                <w:color w:val="000000"/>
                <w:kern w:val="0"/>
                <w:sz w:val="21"/>
                <w:szCs w:val="21"/>
              </w:rPr>
              <w:t>278例，接收164名社区矫正对象，解除社区矫正对象202人，终止社区矫正4人，迁出矫正对象8人，安置帮教对象共计1351人，2022年智慧矫正一体化平台在全省均名列前茅。</w:t>
            </w:r>
          </w:p>
          <w:p>
            <w:pPr>
              <w:adjustRightInd w:val="0"/>
              <w:snapToGrid w:val="0"/>
              <w:ind w:firstLine="412" w:firstLineChars="200"/>
              <w:rPr>
                <w:rFonts w:hint="eastAsia"/>
                <w:color w:val="000000"/>
                <w:kern w:val="0"/>
                <w:sz w:val="21"/>
                <w:szCs w:val="21"/>
              </w:rPr>
            </w:pPr>
          </w:p>
          <w:p>
            <w:pPr>
              <w:widowControl/>
              <w:jc w:val="left"/>
              <w:rPr>
                <w:rFonts w:hint="eastAsia"/>
                <w:color w:val="000000"/>
                <w:kern w:val="0"/>
                <w:sz w:val="21"/>
                <w:szCs w:val="21"/>
              </w:rPr>
            </w:pP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绩</w:t>
            </w:r>
          </w:p>
          <w:p>
            <w:pPr>
              <w:widowControl/>
              <w:jc w:val="center"/>
              <w:rPr>
                <w:color w:val="000000"/>
                <w:kern w:val="0"/>
                <w:sz w:val="21"/>
                <w:szCs w:val="21"/>
              </w:rPr>
            </w:pPr>
            <w:r>
              <w:rPr>
                <w:color w:val="000000"/>
                <w:kern w:val="0"/>
                <w:sz w:val="21"/>
                <w:szCs w:val="21"/>
              </w:rPr>
              <w:t>效</w:t>
            </w:r>
          </w:p>
          <w:p>
            <w:pPr>
              <w:widowControl/>
              <w:jc w:val="center"/>
              <w:rPr>
                <w:color w:val="000000"/>
                <w:kern w:val="0"/>
                <w:sz w:val="21"/>
                <w:szCs w:val="21"/>
              </w:rPr>
            </w:pPr>
            <w:r>
              <w:rPr>
                <w:color w:val="000000"/>
                <w:kern w:val="0"/>
                <w:sz w:val="21"/>
                <w:szCs w:val="21"/>
              </w:rPr>
              <w:t>指</w:t>
            </w:r>
          </w:p>
          <w:p>
            <w:pPr>
              <w:widowControl/>
              <w:jc w:val="center"/>
              <w:rPr>
                <w:color w:val="000000"/>
                <w:kern w:val="0"/>
                <w:sz w:val="21"/>
                <w:szCs w:val="21"/>
              </w:rPr>
            </w:pPr>
            <w:r>
              <w:rPr>
                <w:color w:val="000000"/>
                <w:kern w:val="0"/>
                <w:sz w:val="21"/>
                <w:szCs w:val="21"/>
              </w:rPr>
              <w:t>标</w:t>
            </w:r>
          </w:p>
          <w:p>
            <w:pPr>
              <w:widowControl/>
              <w:jc w:val="center"/>
              <w:rPr>
                <w:color w:val="000000"/>
                <w:kern w:val="0"/>
                <w:sz w:val="21"/>
                <w:szCs w:val="21"/>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一级指标</w:t>
            </w:r>
          </w:p>
        </w:tc>
        <w:tc>
          <w:tcPr>
            <w:tcW w:w="1344"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二级指标</w:t>
            </w:r>
          </w:p>
        </w:tc>
        <w:tc>
          <w:tcPr>
            <w:tcW w:w="119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三级指标</w:t>
            </w:r>
          </w:p>
        </w:tc>
        <w:tc>
          <w:tcPr>
            <w:tcW w:w="110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w:t>
            </w:r>
          </w:p>
          <w:p>
            <w:pPr>
              <w:widowControl/>
              <w:spacing w:line="240" w:lineRule="exact"/>
              <w:jc w:val="center"/>
              <w:rPr>
                <w:color w:val="000000"/>
                <w:kern w:val="0"/>
                <w:sz w:val="21"/>
                <w:szCs w:val="21"/>
              </w:rPr>
            </w:pPr>
            <w:r>
              <w:rPr>
                <w:color w:val="000000"/>
                <w:kern w:val="0"/>
                <w:sz w:val="21"/>
                <w:szCs w:val="21"/>
              </w:rPr>
              <w:t>指标值</w:t>
            </w:r>
          </w:p>
        </w:tc>
        <w:tc>
          <w:tcPr>
            <w:tcW w:w="102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实际</w:t>
            </w:r>
          </w:p>
          <w:p>
            <w:pPr>
              <w:widowControl/>
              <w:spacing w:line="240" w:lineRule="exact"/>
              <w:jc w:val="center"/>
              <w:rPr>
                <w:color w:val="000000"/>
                <w:kern w:val="0"/>
                <w:sz w:val="21"/>
                <w:szCs w:val="21"/>
              </w:rPr>
            </w:pPr>
            <w:r>
              <w:rPr>
                <w:color w:val="000000"/>
                <w:kern w:val="0"/>
                <w:sz w:val="21"/>
                <w:szCs w:val="21"/>
              </w:rPr>
              <w:t>完成值</w:t>
            </w:r>
          </w:p>
        </w:tc>
        <w:tc>
          <w:tcPr>
            <w:tcW w:w="88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得分</w:t>
            </w:r>
          </w:p>
        </w:tc>
        <w:tc>
          <w:tcPr>
            <w:tcW w:w="134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偏差原因</w:t>
            </w:r>
          </w:p>
          <w:p>
            <w:pPr>
              <w:widowControl/>
              <w:spacing w:line="240" w:lineRule="exact"/>
              <w:jc w:val="center"/>
              <w:rPr>
                <w:color w:val="000000"/>
                <w:kern w:val="0"/>
                <w:sz w:val="21"/>
                <w:szCs w:val="21"/>
              </w:rPr>
            </w:pPr>
            <w:r>
              <w:rPr>
                <w:color w:val="000000"/>
                <w:kern w:val="0"/>
                <w:sz w:val="21"/>
                <w:szCs w:val="21"/>
              </w:rPr>
              <w:t>分析及</w:t>
            </w:r>
          </w:p>
          <w:p>
            <w:pPr>
              <w:widowControl/>
              <w:spacing w:line="240" w:lineRule="exact"/>
              <w:jc w:val="center"/>
              <w:rPr>
                <w:color w:val="000000"/>
                <w:kern w:val="0"/>
                <w:sz w:val="21"/>
                <w:szCs w:val="21"/>
              </w:rPr>
            </w:pPr>
            <w:r>
              <w:rPr>
                <w:color w:val="000000"/>
                <w:kern w:val="0"/>
                <w:sz w:val="21"/>
                <w:szCs w:val="21"/>
              </w:rPr>
              <w:t>改进措施</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产出指标</w:t>
            </w:r>
          </w:p>
          <w:p>
            <w:pPr>
              <w:widowControl/>
              <w:jc w:val="center"/>
              <w:rPr>
                <w:color w:val="000000"/>
                <w:kern w:val="0"/>
                <w:sz w:val="21"/>
                <w:szCs w:val="21"/>
              </w:rPr>
            </w:pPr>
          </w:p>
          <w:p>
            <w:pPr>
              <w:widowControl/>
              <w:jc w:val="center"/>
              <w:rPr>
                <w:color w:val="000000"/>
                <w:kern w:val="0"/>
                <w:sz w:val="21"/>
                <w:szCs w:val="21"/>
              </w:rPr>
            </w:pPr>
            <w:r>
              <w:rPr>
                <w:color w:val="000000"/>
                <w:kern w:val="0"/>
                <w:sz w:val="21"/>
                <w:szCs w:val="21"/>
              </w:rPr>
              <w:t>(50分)</w:t>
            </w: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数量指标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1.接收社区矫正对象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164人</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164人</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2.解除社区矫正对象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202人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202人</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3.安置帮教对象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1351人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1351人</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质量指标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1.开展适用社区矫正调查评估</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270例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278例</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pStyle w:val="2"/>
              <w:spacing w:after="0"/>
              <w:jc w:val="left"/>
              <w:rPr>
                <w:rFonts w:ascii="仿宋_GB2312" w:hAnsi="仿宋_GB2312" w:cs="仿宋_GB2312"/>
                <w:szCs w:val="32"/>
              </w:rPr>
            </w:pPr>
            <w:r>
              <w:rPr>
                <w:rFonts w:hint="eastAsia"/>
                <w:color w:val="000000"/>
                <w:kern w:val="0"/>
                <w:sz w:val="21"/>
                <w:szCs w:val="21"/>
              </w:rPr>
              <w:t>2.筑牢社区矫正安全防线。</w:t>
            </w:r>
          </w:p>
          <w:p>
            <w:pPr>
              <w:widowControl/>
              <w:jc w:val="left"/>
              <w:rPr>
                <w:color w:val="000000"/>
                <w:kern w:val="0"/>
                <w:sz w:val="21"/>
                <w:szCs w:val="21"/>
              </w:rPr>
            </w:pP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3.加强社区矫正人员法律法规讲解,提高法纪意识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时效指标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1.项目经费支出进度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完成</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完成</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.社区矫正个案矫正率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成本指标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.社区矫正经费</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38万元</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19.62万元</w:t>
            </w:r>
          </w:p>
        </w:tc>
        <w:tc>
          <w:tcPr>
            <w:tcW w:w="886"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9</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sz w:val="16"/>
                <w:szCs w:val="16"/>
              </w:rPr>
              <w:t>智慧矫正建设因新办公地点未按期搬迁腾空，加上疫情原因今年未能动工。明年加快进度完成搬迁工作</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2.财政资金足额到位率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745" w:hRule="atLeast"/>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效益指标</w:t>
            </w:r>
          </w:p>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widowControl/>
              <w:jc w:val="left"/>
              <w:rPr>
                <w:color w:val="000000"/>
                <w:kern w:val="0"/>
                <w:sz w:val="21"/>
                <w:szCs w:val="21"/>
              </w:rPr>
            </w:pPr>
            <w:r>
              <w:rPr>
                <w:color w:val="000000"/>
                <w:kern w:val="0"/>
                <w:sz w:val="21"/>
                <w:szCs w:val="21"/>
              </w:rPr>
              <w:t>　</w:t>
            </w:r>
          </w:p>
          <w:p>
            <w:pPr>
              <w:widowControl/>
              <w:jc w:val="center"/>
              <w:rPr>
                <w:color w:val="000000"/>
                <w:kern w:val="0"/>
                <w:sz w:val="21"/>
                <w:szCs w:val="21"/>
              </w:rPr>
            </w:pPr>
          </w:p>
        </w:tc>
        <w:tc>
          <w:tcPr>
            <w:tcW w:w="1344" w:type="dxa"/>
            <w:vMerge w:val="restart"/>
            <w:tcBorders>
              <w:top w:val="single" w:color="auto" w:sz="4" w:space="0"/>
              <w:left w:val="nil"/>
              <w:bottom w:val="nil"/>
              <w:right w:val="single" w:color="auto" w:sz="4" w:space="0"/>
            </w:tcBorders>
            <w:vAlign w:val="center"/>
          </w:tcPr>
          <w:p>
            <w:pPr>
              <w:widowControl/>
              <w:jc w:val="center"/>
              <w:rPr>
                <w:color w:val="000000"/>
                <w:kern w:val="0"/>
                <w:sz w:val="21"/>
                <w:szCs w:val="21"/>
              </w:rPr>
            </w:pPr>
            <w:r>
              <w:rPr>
                <w:color w:val="000000"/>
                <w:kern w:val="0"/>
                <w:sz w:val="21"/>
                <w:szCs w:val="21"/>
              </w:rPr>
              <w:t>经济效</w:t>
            </w:r>
          </w:p>
          <w:p>
            <w:pPr>
              <w:widowControl/>
              <w:jc w:val="center"/>
              <w:rPr>
                <w:color w:val="000000"/>
                <w:kern w:val="0"/>
                <w:sz w:val="21"/>
                <w:szCs w:val="21"/>
              </w:rPr>
            </w:pPr>
            <w:r>
              <w:rPr>
                <w:color w:val="000000"/>
                <w:kern w:val="0"/>
                <w:sz w:val="21"/>
                <w:szCs w:val="21"/>
              </w:rPr>
              <w:t>益指标</w:t>
            </w:r>
          </w:p>
        </w:tc>
        <w:tc>
          <w:tcPr>
            <w:tcW w:w="1196" w:type="dxa"/>
            <w:tcBorders>
              <w:top w:val="single" w:color="auto" w:sz="4" w:space="0"/>
              <w:left w:val="nil"/>
              <w:bottom w:val="nil"/>
              <w:right w:val="single" w:color="auto" w:sz="4" w:space="0"/>
            </w:tcBorders>
            <w:vAlign w:val="center"/>
          </w:tcPr>
          <w:p>
            <w:pPr>
              <w:widowControl/>
              <w:jc w:val="left"/>
              <w:rPr>
                <w:color w:val="000000"/>
                <w:kern w:val="0"/>
                <w:sz w:val="21"/>
                <w:szCs w:val="21"/>
              </w:rPr>
            </w:pPr>
            <w:r>
              <w:rPr>
                <w:rFonts w:hint="eastAsia"/>
                <w:color w:val="000000"/>
                <w:kern w:val="0"/>
                <w:sz w:val="21"/>
                <w:szCs w:val="21"/>
              </w:rPr>
              <w:t>1.社区矫正对象违纪率</w:t>
            </w:r>
          </w:p>
        </w:tc>
        <w:tc>
          <w:tcPr>
            <w:tcW w:w="1103" w:type="dxa"/>
            <w:tcBorders>
              <w:top w:val="single" w:color="auto" w:sz="4" w:space="0"/>
              <w:left w:val="nil"/>
              <w:bottom w:val="nil"/>
              <w:right w:val="single" w:color="auto" w:sz="4" w:space="0"/>
            </w:tcBorders>
            <w:vAlign w:val="center"/>
          </w:tcPr>
          <w:p>
            <w:pPr>
              <w:widowControl/>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1023" w:type="dxa"/>
            <w:tcBorders>
              <w:top w:val="single" w:color="auto" w:sz="4" w:space="0"/>
              <w:left w:val="nil"/>
              <w:bottom w:val="nil"/>
              <w:right w:val="single" w:color="auto" w:sz="4" w:space="0"/>
            </w:tcBorders>
            <w:vAlign w:val="center"/>
          </w:tcPr>
          <w:p>
            <w:pPr>
              <w:widowControl/>
              <w:jc w:val="center"/>
              <w:rPr>
                <w:rFonts w:hint="eastAsia"/>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886"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center"/>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2.维护社会稳定，减少社区矫正对象再犯罪</w:t>
            </w:r>
          </w:p>
        </w:tc>
        <w:tc>
          <w:tcPr>
            <w:tcW w:w="1103"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1023" w:type="dxa"/>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社会效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1</w:t>
            </w:r>
            <w:r>
              <w:rPr>
                <w:rFonts w:hint="eastAsia"/>
                <w:color w:val="000000"/>
                <w:kern w:val="0"/>
                <w:sz w:val="21"/>
                <w:szCs w:val="21"/>
              </w:rPr>
              <w:t>.开展社区矫正工作，维护辖区和谐稳定</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达标</w:t>
            </w:r>
            <w:r>
              <w:rPr>
                <w:color w:val="000000"/>
                <w:kern w:val="0"/>
                <w:sz w:val="21"/>
                <w:szCs w:val="21"/>
              </w:rPr>
              <w:t>　</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2.通过法律宣传、法治建设、法律援助增强人民的法律意识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生态效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1.促进司法公正良性循环影响程度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　较高</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较高</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2.管理社矫对象到位率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p>
        </w:tc>
      </w:tr>
      <w:tr>
        <w:tblPrEx>
          <w:tblCellMar>
            <w:top w:w="0" w:type="dxa"/>
            <w:left w:w="108" w:type="dxa"/>
            <w:bottom w:w="0" w:type="dxa"/>
            <w:right w:w="108" w:type="dxa"/>
          </w:tblCellMar>
        </w:tblPrEx>
        <w:trPr>
          <w:trHeight w:val="1467" w:hRule="atLeast"/>
          <w:jc w:val="center"/>
        </w:trPr>
        <w:tc>
          <w:tcPr>
            <w:tcW w:w="1047" w:type="dxa"/>
            <w:vMerge w:val="continue"/>
            <w:tcBorders>
              <w:left w:val="single" w:color="auto" w:sz="4" w:space="0"/>
              <w:right w:val="single" w:color="auto" w:sz="4" w:space="0"/>
            </w:tcBorders>
            <w:vAlign w:val="center"/>
          </w:tcPr>
          <w:p>
            <w:pPr>
              <w:widowControl/>
              <w:jc w:val="center"/>
              <w:rPr>
                <w:color w:val="000000"/>
                <w:kern w:val="0"/>
                <w:sz w:val="21"/>
                <w:szCs w:val="21"/>
              </w:rPr>
            </w:pPr>
          </w:p>
        </w:tc>
        <w:tc>
          <w:tcPr>
            <w:tcW w:w="1047" w:type="dxa"/>
            <w:vMerge w:val="continue"/>
            <w:tcBorders>
              <w:left w:val="nil"/>
              <w:right w:val="single" w:color="auto" w:sz="4" w:space="0"/>
            </w:tcBorders>
            <w:vAlign w:val="center"/>
          </w:tcPr>
          <w:p>
            <w:pPr>
              <w:widowControl/>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可持续影响指标</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.维护当事人合法权益、维护法律正确实施率</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97%</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98%</w:t>
            </w:r>
          </w:p>
        </w:tc>
        <w:tc>
          <w:tcPr>
            <w:tcW w:w="886"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.基层司法行政工作影响力</w:t>
            </w:r>
          </w:p>
        </w:tc>
        <w:tc>
          <w:tcPr>
            <w:tcW w:w="110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提升</w:t>
            </w:r>
          </w:p>
        </w:tc>
        <w:tc>
          <w:tcPr>
            <w:tcW w:w="102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提升</w:t>
            </w:r>
          </w:p>
        </w:tc>
        <w:tc>
          <w:tcPr>
            <w:tcW w:w="886"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满意度指标（10分）</w:t>
            </w:r>
          </w:p>
        </w:tc>
        <w:tc>
          <w:tcPr>
            <w:tcW w:w="1344" w:type="dxa"/>
            <w:vMerge w:val="restart"/>
            <w:tcBorders>
              <w:top w:val="single" w:color="auto" w:sz="4" w:space="0"/>
              <w:left w:val="nil"/>
              <w:bottom w:val="single" w:color="auto" w:sz="4" w:space="0"/>
              <w:right w:val="single" w:color="auto" w:sz="4" w:space="0"/>
            </w:tcBorders>
            <w:vAlign w:val="center"/>
          </w:tcPr>
          <w:tbl>
            <w:tblPr>
              <w:tblStyle w:val="9"/>
              <w:tblpPr w:leftFromText="180" w:rightFromText="180" w:vertAnchor="text" w:tblpX="-1072" w:tblpY="-421"/>
              <w:tblOverlap w:val="never"/>
              <w:tblW w:w="1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118" w:type="dxa"/>
                  <w:tcBorders>
                    <w:bottom w:val="nil"/>
                    <w:right w:val="nil"/>
                  </w:tcBorders>
                </w:tcPr>
                <w:p>
                  <w:pPr>
                    <w:widowControl/>
                    <w:jc w:val="center"/>
                    <w:rPr>
                      <w:color w:val="000000"/>
                      <w:kern w:val="0"/>
                      <w:sz w:val="21"/>
                      <w:szCs w:val="21"/>
                    </w:rPr>
                  </w:pPr>
                </w:p>
              </w:tc>
            </w:tr>
          </w:tbl>
          <w:p>
            <w:pPr>
              <w:widowControl/>
              <w:jc w:val="center"/>
              <w:rPr>
                <w:color w:val="000000"/>
                <w:kern w:val="0"/>
                <w:sz w:val="21"/>
                <w:szCs w:val="21"/>
              </w:rPr>
            </w:pPr>
            <w:r>
              <w:rPr>
                <w:color w:val="000000"/>
                <w:kern w:val="0"/>
                <w:sz w:val="21"/>
                <w:szCs w:val="21"/>
              </w:rPr>
              <w:t>服务对象满意度指标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.法律援助工作满意率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.社区矫正对象满意率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95%</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96%</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67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总分</w:t>
            </w:r>
          </w:p>
        </w:tc>
        <w:tc>
          <w:tcPr>
            <w:tcW w:w="886" w:type="dxa"/>
            <w:tcBorders>
              <w:top w:val="nil"/>
              <w:left w:val="nil"/>
              <w:bottom w:val="single" w:color="auto" w:sz="4" w:space="0"/>
              <w:right w:val="single" w:color="auto" w:sz="4" w:space="0"/>
            </w:tcBorders>
            <w:vAlign w:val="center"/>
          </w:tcPr>
          <w:p>
            <w:pPr>
              <w:widowControl/>
              <w:jc w:val="center"/>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99分</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bl>
    <w:p>
      <w:pPr>
        <w:widowControl/>
        <w:spacing w:line="560" w:lineRule="exact"/>
        <w:ind w:firstLine="412" w:firstLineChars="200"/>
        <w:rPr>
          <w:rFonts w:hint="eastAsia"/>
          <w:szCs w:val="32"/>
        </w:rPr>
      </w:pPr>
      <w:r>
        <w:rPr>
          <w:kern w:val="0"/>
          <w:sz w:val="21"/>
          <w:szCs w:val="21"/>
        </w:rPr>
        <w:t xml:space="preserve">填表人： </w:t>
      </w:r>
      <w:r>
        <w:rPr>
          <w:rFonts w:hint="eastAsia"/>
          <w:kern w:val="0"/>
          <w:sz w:val="21"/>
          <w:szCs w:val="21"/>
        </w:rPr>
        <w:t>周科先</w:t>
      </w:r>
      <w:r>
        <w:rPr>
          <w:kern w:val="0"/>
          <w:sz w:val="21"/>
          <w:szCs w:val="21"/>
        </w:rPr>
        <w:t xml:space="preserve">    填报日期：</w:t>
      </w:r>
      <w:r>
        <w:rPr>
          <w:rFonts w:hint="eastAsia"/>
          <w:kern w:val="0"/>
          <w:sz w:val="21"/>
          <w:szCs w:val="21"/>
        </w:rPr>
        <w:t>2023.4.25</w:t>
      </w:r>
      <w:r>
        <w:rPr>
          <w:kern w:val="0"/>
          <w:sz w:val="21"/>
          <w:szCs w:val="21"/>
        </w:rPr>
        <w:t xml:space="preserve">    联系电话：</w:t>
      </w:r>
      <w:r>
        <w:rPr>
          <w:rFonts w:hint="eastAsia"/>
          <w:kern w:val="0"/>
          <w:sz w:val="21"/>
          <w:szCs w:val="21"/>
        </w:rPr>
        <w:t>13873712365</w:t>
      </w:r>
      <w:r>
        <w:rPr>
          <w:kern w:val="0"/>
          <w:sz w:val="21"/>
          <w:szCs w:val="21"/>
        </w:rPr>
        <w:t xml:space="preserve">    单位负责人签字：</w:t>
      </w:r>
    </w:p>
    <w:p>
      <w:pPr>
        <w:pStyle w:val="2"/>
        <w:spacing w:after="0" w:line="560" w:lineRule="exact"/>
        <w:rPr>
          <w:rFonts w:hint="eastAsia"/>
        </w:rPr>
      </w:pPr>
    </w:p>
    <w:p>
      <w:pPr>
        <w:widowControl/>
        <w:spacing w:line="600" w:lineRule="exact"/>
        <w:ind w:firstLine="645"/>
        <w:jc w:val="left"/>
        <w:rPr>
          <w:szCs w:val="32"/>
        </w:rPr>
      </w:pPr>
    </w:p>
    <w:p>
      <w:pPr>
        <w:widowControl/>
        <w:spacing w:line="600" w:lineRule="exact"/>
        <w:ind w:firstLine="645"/>
        <w:jc w:val="left"/>
        <w:rPr>
          <w:szCs w:val="32"/>
        </w:rPr>
      </w:pPr>
    </w:p>
    <w:p>
      <w:pPr>
        <w:widowControl/>
        <w:spacing w:line="600" w:lineRule="exact"/>
        <w:jc w:val="left"/>
        <w:rPr>
          <w:rFonts w:hint="eastAsia"/>
          <w:szCs w:val="32"/>
        </w:rPr>
      </w:pPr>
    </w:p>
    <w:sectPr>
      <w:footerReference r:id="rId3" w:type="default"/>
      <w:footerReference r:id="rId4" w:type="even"/>
      <w:pgSz w:w="11907" w:h="16840"/>
      <w:pgMar w:top="493" w:right="493" w:bottom="437" w:left="493"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00813"/>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1"/>
        <w:rFonts w:hint="eastAsia" w:ascii="宋体" w:hAnsi="宋体" w:eastAsia="宋体"/>
        <w:sz w:val="28"/>
      </w:rPr>
    </w:pPr>
    <w:r>
      <w:rPr>
        <w:rStyle w:val="11"/>
        <w:rFonts w:hint="eastAsia" w:ascii="宋体" w:hAnsi="宋体" w:eastAsia="宋体"/>
        <w:sz w:val="28"/>
      </w:rPr>
      <w:t>—</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12</w:t>
    </w:r>
    <w:r>
      <w:rPr>
        <w:rFonts w:ascii="宋体" w:hAnsi="宋体" w:eastAsia="宋体"/>
        <w:sz w:val="28"/>
      </w:rPr>
      <w:fldChar w:fldCharType="end"/>
    </w:r>
    <w:r>
      <w:rPr>
        <w:rStyle w:val="11"/>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FFF2B"/>
    <w:multiLevelType w:val="singleLevel"/>
    <w:tmpl w:val="496FFF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5"/>
  <w:evenAndOddHeaders w:val="1"/>
  <w:drawingGridHorizontalSpacing w:val="158"/>
  <w:drawingGridVerticalSpacing w:val="587"/>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DlkMDljYzFkZjI2ZTdiZTY0NGU0OWNlMWU4NTk3ZDUifQ=="/>
  </w:docVars>
  <w:rsids>
    <w:rsidRoot w:val="00F44EA5"/>
    <w:rsid w:val="00002A74"/>
    <w:rsid w:val="00005CD9"/>
    <w:rsid w:val="00016127"/>
    <w:rsid w:val="000271EC"/>
    <w:rsid w:val="00033818"/>
    <w:rsid w:val="00047133"/>
    <w:rsid w:val="00061B34"/>
    <w:rsid w:val="000A3272"/>
    <w:rsid w:val="000D0079"/>
    <w:rsid w:val="000D4792"/>
    <w:rsid w:val="000E0A67"/>
    <w:rsid w:val="000F0DDC"/>
    <w:rsid w:val="000F5E43"/>
    <w:rsid w:val="000F645B"/>
    <w:rsid w:val="00102AF6"/>
    <w:rsid w:val="001030FA"/>
    <w:rsid w:val="00105681"/>
    <w:rsid w:val="00107355"/>
    <w:rsid w:val="001117DB"/>
    <w:rsid w:val="00113CD3"/>
    <w:rsid w:val="001212D6"/>
    <w:rsid w:val="001315D9"/>
    <w:rsid w:val="0013625A"/>
    <w:rsid w:val="00137367"/>
    <w:rsid w:val="0013742A"/>
    <w:rsid w:val="00167969"/>
    <w:rsid w:val="00175CB2"/>
    <w:rsid w:val="00183DFF"/>
    <w:rsid w:val="00185A5A"/>
    <w:rsid w:val="001A25BA"/>
    <w:rsid w:val="001A4F31"/>
    <w:rsid w:val="001C2237"/>
    <w:rsid w:val="001D2295"/>
    <w:rsid w:val="001D7B78"/>
    <w:rsid w:val="001D7D03"/>
    <w:rsid w:val="001E1C6A"/>
    <w:rsid w:val="001E3A50"/>
    <w:rsid w:val="002021EA"/>
    <w:rsid w:val="00203210"/>
    <w:rsid w:val="00204858"/>
    <w:rsid w:val="00220D4F"/>
    <w:rsid w:val="00221332"/>
    <w:rsid w:val="002407FB"/>
    <w:rsid w:val="002442C8"/>
    <w:rsid w:val="002541ED"/>
    <w:rsid w:val="002775B2"/>
    <w:rsid w:val="0029640F"/>
    <w:rsid w:val="002B3B93"/>
    <w:rsid w:val="002E67DC"/>
    <w:rsid w:val="002F1A6C"/>
    <w:rsid w:val="00301902"/>
    <w:rsid w:val="0030507A"/>
    <w:rsid w:val="00313E59"/>
    <w:rsid w:val="00341D15"/>
    <w:rsid w:val="00342656"/>
    <w:rsid w:val="00351A19"/>
    <w:rsid w:val="00372D3C"/>
    <w:rsid w:val="00373A63"/>
    <w:rsid w:val="00384C50"/>
    <w:rsid w:val="003929A5"/>
    <w:rsid w:val="00393949"/>
    <w:rsid w:val="00394081"/>
    <w:rsid w:val="003A4DB8"/>
    <w:rsid w:val="003B1550"/>
    <w:rsid w:val="003B455F"/>
    <w:rsid w:val="003B609C"/>
    <w:rsid w:val="003B7AA0"/>
    <w:rsid w:val="003C738B"/>
    <w:rsid w:val="003F15F1"/>
    <w:rsid w:val="003F39CD"/>
    <w:rsid w:val="003F7768"/>
    <w:rsid w:val="00400E56"/>
    <w:rsid w:val="00407BD6"/>
    <w:rsid w:val="004162DB"/>
    <w:rsid w:val="004173AD"/>
    <w:rsid w:val="00424EC9"/>
    <w:rsid w:val="00447EB7"/>
    <w:rsid w:val="00452080"/>
    <w:rsid w:val="00452D0C"/>
    <w:rsid w:val="0045322B"/>
    <w:rsid w:val="00463CBD"/>
    <w:rsid w:val="004A1199"/>
    <w:rsid w:val="004A5B55"/>
    <w:rsid w:val="004E1BB3"/>
    <w:rsid w:val="004F1188"/>
    <w:rsid w:val="0050663B"/>
    <w:rsid w:val="00506C37"/>
    <w:rsid w:val="00506CD2"/>
    <w:rsid w:val="005131E9"/>
    <w:rsid w:val="00532B60"/>
    <w:rsid w:val="005456D8"/>
    <w:rsid w:val="00551163"/>
    <w:rsid w:val="005566A8"/>
    <w:rsid w:val="00596EAF"/>
    <w:rsid w:val="005A3E99"/>
    <w:rsid w:val="005C1E91"/>
    <w:rsid w:val="005C641A"/>
    <w:rsid w:val="005D1F7C"/>
    <w:rsid w:val="005F2263"/>
    <w:rsid w:val="00611E18"/>
    <w:rsid w:val="006360BD"/>
    <w:rsid w:val="006468BC"/>
    <w:rsid w:val="00652329"/>
    <w:rsid w:val="0065262B"/>
    <w:rsid w:val="00663B26"/>
    <w:rsid w:val="0067583F"/>
    <w:rsid w:val="00684F23"/>
    <w:rsid w:val="006A61A6"/>
    <w:rsid w:val="006A6EB6"/>
    <w:rsid w:val="006B11BB"/>
    <w:rsid w:val="006D025B"/>
    <w:rsid w:val="006E5A95"/>
    <w:rsid w:val="006F4C0F"/>
    <w:rsid w:val="0070055E"/>
    <w:rsid w:val="0070331B"/>
    <w:rsid w:val="007347E8"/>
    <w:rsid w:val="00767A70"/>
    <w:rsid w:val="00770B7B"/>
    <w:rsid w:val="00784C58"/>
    <w:rsid w:val="00791487"/>
    <w:rsid w:val="00792407"/>
    <w:rsid w:val="007C5283"/>
    <w:rsid w:val="007D044C"/>
    <w:rsid w:val="007E7BDB"/>
    <w:rsid w:val="00810E64"/>
    <w:rsid w:val="008143ED"/>
    <w:rsid w:val="00814A57"/>
    <w:rsid w:val="00834827"/>
    <w:rsid w:val="00842480"/>
    <w:rsid w:val="008452A9"/>
    <w:rsid w:val="008738E6"/>
    <w:rsid w:val="00882267"/>
    <w:rsid w:val="00884A52"/>
    <w:rsid w:val="00891D4E"/>
    <w:rsid w:val="00892B57"/>
    <w:rsid w:val="008B2297"/>
    <w:rsid w:val="008C4D61"/>
    <w:rsid w:val="008D4DFD"/>
    <w:rsid w:val="008D4E38"/>
    <w:rsid w:val="009072A2"/>
    <w:rsid w:val="009156B6"/>
    <w:rsid w:val="00926E3A"/>
    <w:rsid w:val="009307B5"/>
    <w:rsid w:val="00940BFA"/>
    <w:rsid w:val="009578CA"/>
    <w:rsid w:val="00964D2C"/>
    <w:rsid w:val="00967F11"/>
    <w:rsid w:val="00997C0A"/>
    <w:rsid w:val="00997F62"/>
    <w:rsid w:val="009C2E24"/>
    <w:rsid w:val="009C78C2"/>
    <w:rsid w:val="009D21D0"/>
    <w:rsid w:val="009E40E3"/>
    <w:rsid w:val="00A041E9"/>
    <w:rsid w:val="00A20757"/>
    <w:rsid w:val="00A31F4F"/>
    <w:rsid w:val="00A43319"/>
    <w:rsid w:val="00A449C0"/>
    <w:rsid w:val="00A5141F"/>
    <w:rsid w:val="00A574C3"/>
    <w:rsid w:val="00A65659"/>
    <w:rsid w:val="00A7327E"/>
    <w:rsid w:val="00A85A74"/>
    <w:rsid w:val="00A92028"/>
    <w:rsid w:val="00A953D1"/>
    <w:rsid w:val="00AA73F5"/>
    <w:rsid w:val="00AB373E"/>
    <w:rsid w:val="00AB6099"/>
    <w:rsid w:val="00B1591B"/>
    <w:rsid w:val="00B24FF8"/>
    <w:rsid w:val="00B30086"/>
    <w:rsid w:val="00B33EE3"/>
    <w:rsid w:val="00B3411D"/>
    <w:rsid w:val="00B70394"/>
    <w:rsid w:val="00B71FF9"/>
    <w:rsid w:val="00B77247"/>
    <w:rsid w:val="00B81B8F"/>
    <w:rsid w:val="00B87361"/>
    <w:rsid w:val="00BA1A64"/>
    <w:rsid w:val="00BA3264"/>
    <w:rsid w:val="00BA538A"/>
    <w:rsid w:val="00BD1B59"/>
    <w:rsid w:val="00BD47BE"/>
    <w:rsid w:val="00BF7471"/>
    <w:rsid w:val="00C528C8"/>
    <w:rsid w:val="00C53004"/>
    <w:rsid w:val="00C77979"/>
    <w:rsid w:val="00C86CCC"/>
    <w:rsid w:val="00C92DB0"/>
    <w:rsid w:val="00CA1328"/>
    <w:rsid w:val="00CA4411"/>
    <w:rsid w:val="00CA50B2"/>
    <w:rsid w:val="00CB7EA3"/>
    <w:rsid w:val="00CD62D0"/>
    <w:rsid w:val="00CD630F"/>
    <w:rsid w:val="00D02E22"/>
    <w:rsid w:val="00D20768"/>
    <w:rsid w:val="00D2441F"/>
    <w:rsid w:val="00D34CA0"/>
    <w:rsid w:val="00D35A9F"/>
    <w:rsid w:val="00D4728C"/>
    <w:rsid w:val="00D535B3"/>
    <w:rsid w:val="00D5393D"/>
    <w:rsid w:val="00D54319"/>
    <w:rsid w:val="00D708B0"/>
    <w:rsid w:val="00D70A18"/>
    <w:rsid w:val="00D77134"/>
    <w:rsid w:val="00D80C85"/>
    <w:rsid w:val="00D80DC4"/>
    <w:rsid w:val="00D973F5"/>
    <w:rsid w:val="00DB656B"/>
    <w:rsid w:val="00DB726D"/>
    <w:rsid w:val="00DC0F6D"/>
    <w:rsid w:val="00DD2D2E"/>
    <w:rsid w:val="00DE0361"/>
    <w:rsid w:val="00DE5C4A"/>
    <w:rsid w:val="00DE7AA6"/>
    <w:rsid w:val="00DF0DF3"/>
    <w:rsid w:val="00DF470E"/>
    <w:rsid w:val="00E13A1B"/>
    <w:rsid w:val="00E219E0"/>
    <w:rsid w:val="00E4362B"/>
    <w:rsid w:val="00E44E53"/>
    <w:rsid w:val="00E45DA0"/>
    <w:rsid w:val="00E55483"/>
    <w:rsid w:val="00E60A47"/>
    <w:rsid w:val="00E627D0"/>
    <w:rsid w:val="00E67E03"/>
    <w:rsid w:val="00E7517B"/>
    <w:rsid w:val="00E75F2E"/>
    <w:rsid w:val="00EB1222"/>
    <w:rsid w:val="00EB3D0A"/>
    <w:rsid w:val="00EB5E95"/>
    <w:rsid w:val="00EC7E77"/>
    <w:rsid w:val="00EE3E28"/>
    <w:rsid w:val="00EF01ED"/>
    <w:rsid w:val="00EF77F4"/>
    <w:rsid w:val="00F015E1"/>
    <w:rsid w:val="00F024AB"/>
    <w:rsid w:val="00F1432C"/>
    <w:rsid w:val="00F233D7"/>
    <w:rsid w:val="00F3510B"/>
    <w:rsid w:val="00F40020"/>
    <w:rsid w:val="00F44EA5"/>
    <w:rsid w:val="00F45D1C"/>
    <w:rsid w:val="00F56D8C"/>
    <w:rsid w:val="00F613AB"/>
    <w:rsid w:val="00F807CD"/>
    <w:rsid w:val="00F8179E"/>
    <w:rsid w:val="00FA1AF0"/>
    <w:rsid w:val="00FA6586"/>
    <w:rsid w:val="00FA6B7F"/>
    <w:rsid w:val="00FF505B"/>
    <w:rsid w:val="010E7C77"/>
    <w:rsid w:val="012E59E9"/>
    <w:rsid w:val="01396829"/>
    <w:rsid w:val="014001AC"/>
    <w:rsid w:val="01A324E9"/>
    <w:rsid w:val="01AC3A93"/>
    <w:rsid w:val="01E66FA5"/>
    <w:rsid w:val="026D4B89"/>
    <w:rsid w:val="027564D5"/>
    <w:rsid w:val="02832643"/>
    <w:rsid w:val="02991B40"/>
    <w:rsid w:val="029D45B9"/>
    <w:rsid w:val="02D432A2"/>
    <w:rsid w:val="03146562"/>
    <w:rsid w:val="03196F90"/>
    <w:rsid w:val="0326394E"/>
    <w:rsid w:val="03473787"/>
    <w:rsid w:val="03822B2D"/>
    <w:rsid w:val="038E5CB9"/>
    <w:rsid w:val="03907B1A"/>
    <w:rsid w:val="03DF2594"/>
    <w:rsid w:val="03E07A24"/>
    <w:rsid w:val="03F579ED"/>
    <w:rsid w:val="04001E75"/>
    <w:rsid w:val="04004593"/>
    <w:rsid w:val="04016E0A"/>
    <w:rsid w:val="04060EB1"/>
    <w:rsid w:val="04094CDD"/>
    <w:rsid w:val="046346F6"/>
    <w:rsid w:val="049E57DB"/>
    <w:rsid w:val="04BE2C85"/>
    <w:rsid w:val="04CD5CFB"/>
    <w:rsid w:val="05476F89"/>
    <w:rsid w:val="05F45A09"/>
    <w:rsid w:val="06023B8E"/>
    <w:rsid w:val="0603226F"/>
    <w:rsid w:val="060F639F"/>
    <w:rsid w:val="06360275"/>
    <w:rsid w:val="0659586C"/>
    <w:rsid w:val="065F5A7E"/>
    <w:rsid w:val="069412FF"/>
    <w:rsid w:val="06E465F0"/>
    <w:rsid w:val="06EB3E96"/>
    <w:rsid w:val="06EE583C"/>
    <w:rsid w:val="070A3E03"/>
    <w:rsid w:val="07303348"/>
    <w:rsid w:val="07707311"/>
    <w:rsid w:val="07762B7A"/>
    <w:rsid w:val="07F80643"/>
    <w:rsid w:val="080E2C74"/>
    <w:rsid w:val="082500FC"/>
    <w:rsid w:val="086E58C7"/>
    <w:rsid w:val="08A53DAB"/>
    <w:rsid w:val="08D47BA1"/>
    <w:rsid w:val="08E91129"/>
    <w:rsid w:val="09272B27"/>
    <w:rsid w:val="095226A4"/>
    <w:rsid w:val="09543561"/>
    <w:rsid w:val="095660EC"/>
    <w:rsid w:val="09603C6C"/>
    <w:rsid w:val="09750EA6"/>
    <w:rsid w:val="0A021606"/>
    <w:rsid w:val="0A0B10F1"/>
    <w:rsid w:val="0A0C61CC"/>
    <w:rsid w:val="0A1D6B75"/>
    <w:rsid w:val="0A261078"/>
    <w:rsid w:val="0A2638F3"/>
    <w:rsid w:val="0A3B1FCF"/>
    <w:rsid w:val="0A417EB3"/>
    <w:rsid w:val="0ABD0107"/>
    <w:rsid w:val="0ABD3696"/>
    <w:rsid w:val="0AEC13FF"/>
    <w:rsid w:val="0B552AA6"/>
    <w:rsid w:val="0B574A70"/>
    <w:rsid w:val="0B9A1BCB"/>
    <w:rsid w:val="0BAD4CB6"/>
    <w:rsid w:val="0C0544CC"/>
    <w:rsid w:val="0C083FBC"/>
    <w:rsid w:val="0C1D4B5C"/>
    <w:rsid w:val="0C491A79"/>
    <w:rsid w:val="0C664B5C"/>
    <w:rsid w:val="0CD8573D"/>
    <w:rsid w:val="0CF90CAC"/>
    <w:rsid w:val="0D2252DC"/>
    <w:rsid w:val="0D71793F"/>
    <w:rsid w:val="0D840DB3"/>
    <w:rsid w:val="0DB3748E"/>
    <w:rsid w:val="0DC24706"/>
    <w:rsid w:val="0DCE553E"/>
    <w:rsid w:val="0E223794"/>
    <w:rsid w:val="0E395C1C"/>
    <w:rsid w:val="0E481C6A"/>
    <w:rsid w:val="0E574D87"/>
    <w:rsid w:val="0E8D1678"/>
    <w:rsid w:val="0E990EFC"/>
    <w:rsid w:val="0EE16F7A"/>
    <w:rsid w:val="0EF62377"/>
    <w:rsid w:val="0F490B74"/>
    <w:rsid w:val="0F4C76C5"/>
    <w:rsid w:val="0FA23412"/>
    <w:rsid w:val="0FB85E2B"/>
    <w:rsid w:val="0FD20B69"/>
    <w:rsid w:val="10415F2D"/>
    <w:rsid w:val="10741C20"/>
    <w:rsid w:val="10AF473F"/>
    <w:rsid w:val="10B136C4"/>
    <w:rsid w:val="10B204DB"/>
    <w:rsid w:val="10F334AB"/>
    <w:rsid w:val="112A0531"/>
    <w:rsid w:val="113B65D6"/>
    <w:rsid w:val="116B1D07"/>
    <w:rsid w:val="11717F0E"/>
    <w:rsid w:val="118934A9"/>
    <w:rsid w:val="11894686"/>
    <w:rsid w:val="11906397"/>
    <w:rsid w:val="119E48BA"/>
    <w:rsid w:val="11A7501C"/>
    <w:rsid w:val="11A75C2C"/>
    <w:rsid w:val="11BC387F"/>
    <w:rsid w:val="12023E66"/>
    <w:rsid w:val="124C123D"/>
    <w:rsid w:val="128D3528"/>
    <w:rsid w:val="12906AB9"/>
    <w:rsid w:val="129B4B27"/>
    <w:rsid w:val="12B225D0"/>
    <w:rsid w:val="12CC5D44"/>
    <w:rsid w:val="12DA32EF"/>
    <w:rsid w:val="12F814A0"/>
    <w:rsid w:val="12F84B73"/>
    <w:rsid w:val="130319EB"/>
    <w:rsid w:val="13510469"/>
    <w:rsid w:val="135611CB"/>
    <w:rsid w:val="138008DC"/>
    <w:rsid w:val="13D74FC3"/>
    <w:rsid w:val="13F40D6F"/>
    <w:rsid w:val="141D42D8"/>
    <w:rsid w:val="144B0B25"/>
    <w:rsid w:val="14780F8C"/>
    <w:rsid w:val="14A25A62"/>
    <w:rsid w:val="14D40B28"/>
    <w:rsid w:val="152D05F0"/>
    <w:rsid w:val="15384547"/>
    <w:rsid w:val="154D0C92"/>
    <w:rsid w:val="154E1EF5"/>
    <w:rsid w:val="1555736B"/>
    <w:rsid w:val="155913E5"/>
    <w:rsid w:val="156404B5"/>
    <w:rsid w:val="1568682F"/>
    <w:rsid w:val="157D3325"/>
    <w:rsid w:val="158346B4"/>
    <w:rsid w:val="1592442B"/>
    <w:rsid w:val="15952692"/>
    <w:rsid w:val="15AE7012"/>
    <w:rsid w:val="15B43A47"/>
    <w:rsid w:val="15B742DC"/>
    <w:rsid w:val="15FD2F00"/>
    <w:rsid w:val="1604751C"/>
    <w:rsid w:val="16210196"/>
    <w:rsid w:val="167F4E7B"/>
    <w:rsid w:val="16842491"/>
    <w:rsid w:val="16B2646B"/>
    <w:rsid w:val="16FD7908"/>
    <w:rsid w:val="17027F03"/>
    <w:rsid w:val="171674A5"/>
    <w:rsid w:val="17205F01"/>
    <w:rsid w:val="172250F8"/>
    <w:rsid w:val="17283764"/>
    <w:rsid w:val="172F215D"/>
    <w:rsid w:val="174468C9"/>
    <w:rsid w:val="176357FA"/>
    <w:rsid w:val="17671DD7"/>
    <w:rsid w:val="17997C1D"/>
    <w:rsid w:val="17AD415D"/>
    <w:rsid w:val="17B462C0"/>
    <w:rsid w:val="17DD2CD9"/>
    <w:rsid w:val="17EE71FB"/>
    <w:rsid w:val="181C72E9"/>
    <w:rsid w:val="18285F1D"/>
    <w:rsid w:val="182F0695"/>
    <w:rsid w:val="183B2D07"/>
    <w:rsid w:val="183C17FF"/>
    <w:rsid w:val="189E33E0"/>
    <w:rsid w:val="18A9220D"/>
    <w:rsid w:val="18D11348"/>
    <w:rsid w:val="18DE057F"/>
    <w:rsid w:val="190E3D4E"/>
    <w:rsid w:val="193726FE"/>
    <w:rsid w:val="194B564B"/>
    <w:rsid w:val="19520625"/>
    <w:rsid w:val="197F0845"/>
    <w:rsid w:val="199777B2"/>
    <w:rsid w:val="19CA601A"/>
    <w:rsid w:val="19E77268"/>
    <w:rsid w:val="1A0D716D"/>
    <w:rsid w:val="1A4F1492"/>
    <w:rsid w:val="1A884696"/>
    <w:rsid w:val="1AB073BF"/>
    <w:rsid w:val="1AC57800"/>
    <w:rsid w:val="1AEA79DF"/>
    <w:rsid w:val="1B3D71CC"/>
    <w:rsid w:val="1B5865B3"/>
    <w:rsid w:val="1B781C36"/>
    <w:rsid w:val="1BC73C6D"/>
    <w:rsid w:val="1BCC0B62"/>
    <w:rsid w:val="1BD53965"/>
    <w:rsid w:val="1BD94FE5"/>
    <w:rsid w:val="1BE7599C"/>
    <w:rsid w:val="1BF223F6"/>
    <w:rsid w:val="1C24719B"/>
    <w:rsid w:val="1C4D53CD"/>
    <w:rsid w:val="1C6372F4"/>
    <w:rsid w:val="1C9075C7"/>
    <w:rsid w:val="1C961BE2"/>
    <w:rsid w:val="1D3F3830"/>
    <w:rsid w:val="1D4053A6"/>
    <w:rsid w:val="1D651E9F"/>
    <w:rsid w:val="1DC00FC5"/>
    <w:rsid w:val="1DD94E06"/>
    <w:rsid w:val="1E19568B"/>
    <w:rsid w:val="1E62130A"/>
    <w:rsid w:val="1E79220B"/>
    <w:rsid w:val="1EB01574"/>
    <w:rsid w:val="1ED25B11"/>
    <w:rsid w:val="1EE937D9"/>
    <w:rsid w:val="1EF553F4"/>
    <w:rsid w:val="1EFF2FFD"/>
    <w:rsid w:val="1F3B07A0"/>
    <w:rsid w:val="1F6241D8"/>
    <w:rsid w:val="1F7E03C6"/>
    <w:rsid w:val="1F9359CA"/>
    <w:rsid w:val="1F9E2816"/>
    <w:rsid w:val="1FCC2F8A"/>
    <w:rsid w:val="2026602C"/>
    <w:rsid w:val="20345D19"/>
    <w:rsid w:val="2036055B"/>
    <w:rsid w:val="20947775"/>
    <w:rsid w:val="20CE6948"/>
    <w:rsid w:val="20FA66F6"/>
    <w:rsid w:val="21463C60"/>
    <w:rsid w:val="215075F8"/>
    <w:rsid w:val="216A37B2"/>
    <w:rsid w:val="21A52766"/>
    <w:rsid w:val="21A74854"/>
    <w:rsid w:val="21A812E8"/>
    <w:rsid w:val="21EF33E2"/>
    <w:rsid w:val="22121299"/>
    <w:rsid w:val="221943D6"/>
    <w:rsid w:val="22196141"/>
    <w:rsid w:val="221F2463"/>
    <w:rsid w:val="22360981"/>
    <w:rsid w:val="22724B1A"/>
    <w:rsid w:val="228F4698"/>
    <w:rsid w:val="22B81E40"/>
    <w:rsid w:val="22C00636"/>
    <w:rsid w:val="22F64DD9"/>
    <w:rsid w:val="230828F0"/>
    <w:rsid w:val="231774AE"/>
    <w:rsid w:val="232307FE"/>
    <w:rsid w:val="233A2280"/>
    <w:rsid w:val="2358717F"/>
    <w:rsid w:val="23895199"/>
    <w:rsid w:val="23983979"/>
    <w:rsid w:val="239D6768"/>
    <w:rsid w:val="23D65E2E"/>
    <w:rsid w:val="23E024EB"/>
    <w:rsid w:val="24536AB9"/>
    <w:rsid w:val="245C2C9F"/>
    <w:rsid w:val="24853520"/>
    <w:rsid w:val="248A31B3"/>
    <w:rsid w:val="24BE56AD"/>
    <w:rsid w:val="24D8652C"/>
    <w:rsid w:val="25283888"/>
    <w:rsid w:val="254F010E"/>
    <w:rsid w:val="25853B30"/>
    <w:rsid w:val="25865C4A"/>
    <w:rsid w:val="25A43086"/>
    <w:rsid w:val="25DA6FFE"/>
    <w:rsid w:val="25E70DA0"/>
    <w:rsid w:val="25EC6FF3"/>
    <w:rsid w:val="25F83078"/>
    <w:rsid w:val="261331E6"/>
    <w:rsid w:val="2681079B"/>
    <w:rsid w:val="26834513"/>
    <w:rsid w:val="26AF3CBE"/>
    <w:rsid w:val="26C8226C"/>
    <w:rsid w:val="26DE5141"/>
    <w:rsid w:val="2745751A"/>
    <w:rsid w:val="27975A29"/>
    <w:rsid w:val="27D82163"/>
    <w:rsid w:val="27DA55CD"/>
    <w:rsid w:val="27F326DF"/>
    <w:rsid w:val="27F92735"/>
    <w:rsid w:val="27F93D65"/>
    <w:rsid w:val="27FA6995"/>
    <w:rsid w:val="282A363C"/>
    <w:rsid w:val="282C1AD1"/>
    <w:rsid w:val="282F2330"/>
    <w:rsid w:val="286345FC"/>
    <w:rsid w:val="287B4584"/>
    <w:rsid w:val="294C32E2"/>
    <w:rsid w:val="294F519D"/>
    <w:rsid w:val="295D104C"/>
    <w:rsid w:val="29606395"/>
    <w:rsid w:val="297D1498"/>
    <w:rsid w:val="29A87F48"/>
    <w:rsid w:val="29BB6DAB"/>
    <w:rsid w:val="29D71CDA"/>
    <w:rsid w:val="29DA2824"/>
    <w:rsid w:val="29FE7D4C"/>
    <w:rsid w:val="2A1715EE"/>
    <w:rsid w:val="2A48451A"/>
    <w:rsid w:val="2AE00288"/>
    <w:rsid w:val="2AE4132A"/>
    <w:rsid w:val="2AE5754B"/>
    <w:rsid w:val="2AEF3EAF"/>
    <w:rsid w:val="2B006133"/>
    <w:rsid w:val="2B0653EC"/>
    <w:rsid w:val="2B135733"/>
    <w:rsid w:val="2B4F4D95"/>
    <w:rsid w:val="2BA016C4"/>
    <w:rsid w:val="2BAE60E1"/>
    <w:rsid w:val="2BE45A54"/>
    <w:rsid w:val="2BF6747B"/>
    <w:rsid w:val="2BFD236B"/>
    <w:rsid w:val="2C344210"/>
    <w:rsid w:val="2C362245"/>
    <w:rsid w:val="2C68799C"/>
    <w:rsid w:val="2CA13CF8"/>
    <w:rsid w:val="2CAD4718"/>
    <w:rsid w:val="2D0637A8"/>
    <w:rsid w:val="2D085772"/>
    <w:rsid w:val="2D200D0E"/>
    <w:rsid w:val="2D2E6BA3"/>
    <w:rsid w:val="2D6F604E"/>
    <w:rsid w:val="2D7E68F3"/>
    <w:rsid w:val="2DA140C7"/>
    <w:rsid w:val="2DA27975"/>
    <w:rsid w:val="2DF16206"/>
    <w:rsid w:val="2E23315A"/>
    <w:rsid w:val="2E374561"/>
    <w:rsid w:val="2EAE5EA6"/>
    <w:rsid w:val="2EC31718"/>
    <w:rsid w:val="2EE04960"/>
    <w:rsid w:val="2EF201B5"/>
    <w:rsid w:val="2EF644C3"/>
    <w:rsid w:val="2EF7784D"/>
    <w:rsid w:val="2F6055E3"/>
    <w:rsid w:val="2F9759D3"/>
    <w:rsid w:val="2F9B5F69"/>
    <w:rsid w:val="2FB97EB0"/>
    <w:rsid w:val="2FEE396A"/>
    <w:rsid w:val="300C37CC"/>
    <w:rsid w:val="304149D3"/>
    <w:rsid w:val="30422890"/>
    <w:rsid w:val="30446AC1"/>
    <w:rsid w:val="305D6CE0"/>
    <w:rsid w:val="30930524"/>
    <w:rsid w:val="309A2B85"/>
    <w:rsid w:val="30BA507B"/>
    <w:rsid w:val="30C21F00"/>
    <w:rsid w:val="30CA04CB"/>
    <w:rsid w:val="30DE251B"/>
    <w:rsid w:val="30E169F4"/>
    <w:rsid w:val="31246D64"/>
    <w:rsid w:val="313308E4"/>
    <w:rsid w:val="31450646"/>
    <w:rsid w:val="31C559E0"/>
    <w:rsid w:val="31E77F3D"/>
    <w:rsid w:val="31F04DAA"/>
    <w:rsid w:val="31F608B9"/>
    <w:rsid w:val="32503222"/>
    <w:rsid w:val="326A7D85"/>
    <w:rsid w:val="32B12408"/>
    <w:rsid w:val="32C27746"/>
    <w:rsid w:val="32D014C5"/>
    <w:rsid w:val="32F02F31"/>
    <w:rsid w:val="32FA790B"/>
    <w:rsid w:val="3324748B"/>
    <w:rsid w:val="335D55ED"/>
    <w:rsid w:val="33643B03"/>
    <w:rsid w:val="339764AD"/>
    <w:rsid w:val="339B21DC"/>
    <w:rsid w:val="33A51F6D"/>
    <w:rsid w:val="33A71019"/>
    <w:rsid w:val="33D016B1"/>
    <w:rsid w:val="33DF65DA"/>
    <w:rsid w:val="33EC573A"/>
    <w:rsid w:val="33ED6D95"/>
    <w:rsid w:val="34222D3B"/>
    <w:rsid w:val="34304F6E"/>
    <w:rsid w:val="34693B4D"/>
    <w:rsid w:val="348A2F11"/>
    <w:rsid w:val="349B511E"/>
    <w:rsid w:val="34B42464"/>
    <w:rsid w:val="34BD1177"/>
    <w:rsid w:val="34D0301A"/>
    <w:rsid w:val="34E165EE"/>
    <w:rsid w:val="34E4145D"/>
    <w:rsid w:val="350437F7"/>
    <w:rsid w:val="354710E6"/>
    <w:rsid w:val="354F14A6"/>
    <w:rsid w:val="35714339"/>
    <w:rsid w:val="35762E24"/>
    <w:rsid w:val="357E524C"/>
    <w:rsid w:val="35837883"/>
    <w:rsid w:val="35A73997"/>
    <w:rsid w:val="3605164B"/>
    <w:rsid w:val="363B17C1"/>
    <w:rsid w:val="36424BC7"/>
    <w:rsid w:val="3651018A"/>
    <w:rsid w:val="36997A36"/>
    <w:rsid w:val="370C07C2"/>
    <w:rsid w:val="371840FC"/>
    <w:rsid w:val="37282A33"/>
    <w:rsid w:val="37357C71"/>
    <w:rsid w:val="373F6235"/>
    <w:rsid w:val="375D6328"/>
    <w:rsid w:val="376E6341"/>
    <w:rsid w:val="376E7305"/>
    <w:rsid w:val="376F6EAE"/>
    <w:rsid w:val="378E4206"/>
    <w:rsid w:val="37CB3B91"/>
    <w:rsid w:val="37F011A2"/>
    <w:rsid w:val="38205370"/>
    <w:rsid w:val="38337689"/>
    <w:rsid w:val="38A5783A"/>
    <w:rsid w:val="38E030CC"/>
    <w:rsid w:val="38E41132"/>
    <w:rsid w:val="38EC419A"/>
    <w:rsid w:val="39107218"/>
    <w:rsid w:val="392301E0"/>
    <w:rsid w:val="39241B86"/>
    <w:rsid w:val="392B2074"/>
    <w:rsid w:val="39605843"/>
    <w:rsid w:val="397F3D71"/>
    <w:rsid w:val="39986745"/>
    <w:rsid w:val="39E54025"/>
    <w:rsid w:val="3A0374CF"/>
    <w:rsid w:val="3A2C6370"/>
    <w:rsid w:val="3A30018A"/>
    <w:rsid w:val="3A592FEA"/>
    <w:rsid w:val="3A8E0BF6"/>
    <w:rsid w:val="3A974782"/>
    <w:rsid w:val="3AD76784"/>
    <w:rsid w:val="3AD768B5"/>
    <w:rsid w:val="3AE3337B"/>
    <w:rsid w:val="3B2750CF"/>
    <w:rsid w:val="3B5F316C"/>
    <w:rsid w:val="3B81185E"/>
    <w:rsid w:val="3BA94D4D"/>
    <w:rsid w:val="3BCA731E"/>
    <w:rsid w:val="3BDA5286"/>
    <w:rsid w:val="3C431DE1"/>
    <w:rsid w:val="3C463BC1"/>
    <w:rsid w:val="3CC674F3"/>
    <w:rsid w:val="3CE47553"/>
    <w:rsid w:val="3D712EC0"/>
    <w:rsid w:val="3D7839A1"/>
    <w:rsid w:val="3DFD29A6"/>
    <w:rsid w:val="3E340512"/>
    <w:rsid w:val="3E35213F"/>
    <w:rsid w:val="3E8667F4"/>
    <w:rsid w:val="3EB91AFC"/>
    <w:rsid w:val="3EC54061"/>
    <w:rsid w:val="3ED43706"/>
    <w:rsid w:val="3F132A21"/>
    <w:rsid w:val="3F2E2E7E"/>
    <w:rsid w:val="3F340E0E"/>
    <w:rsid w:val="3F4646BA"/>
    <w:rsid w:val="3F510B1F"/>
    <w:rsid w:val="3F76656C"/>
    <w:rsid w:val="3F9954B4"/>
    <w:rsid w:val="3F9D584C"/>
    <w:rsid w:val="3FD25E21"/>
    <w:rsid w:val="3FD87226"/>
    <w:rsid w:val="3FEC2CD2"/>
    <w:rsid w:val="3FEE6A4A"/>
    <w:rsid w:val="40251FB0"/>
    <w:rsid w:val="40304BF3"/>
    <w:rsid w:val="403A28B2"/>
    <w:rsid w:val="404F11F0"/>
    <w:rsid w:val="40723D23"/>
    <w:rsid w:val="40817278"/>
    <w:rsid w:val="40824CA8"/>
    <w:rsid w:val="409408E9"/>
    <w:rsid w:val="40B90FC5"/>
    <w:rsid w:val="40DA0D24"/>
    <w:rsid w:val="40DD4C23"/>
    <w:rsid w:val="40E67721"/>
    <w:rsid w:val="40E8793D"/>
    <w:rsid w:val="40F40090"/>
    <w:rsid w:val="410F1EE7"/>
    <w:rsid w:val="41552E31"/>
    <w:rsid w:val="417E0D46"/>
    <w:rsid w:val="41A55C0F"/>
    <w:rsid w:val="41B26512"/>
    <w:rsid w:val="41E53E7C"/>
    <w:rsid w:val="4208304A"/>
    <w:rsid w:val="4220134E"/>
    <w:rsid w:val="423626B2"/>
    <w:rsid w:val="425628DC"/>
    <w:rsid w:val="425D3215"/>
    <w:rsid w:val="429C09DF"/>
    <w:rsid w:val="42AB6E74"/>
    <w:rsid w:val="42AC56CD"/>
    <w:rsid w:val="42BE0955"/>
    <w:rsid w:val="42EA279E"/>
    <w:rsid w:val="431D2A0C"/>
    <w:rsid w:val="432D0C62"/>
    <w:rsid w:val="43346E69"/>
    <w:rsid w:val="43903643"/>
    <w:rsid w:val="43AC45DD"/>
    <w:rsid w:val="43BF7DCC"/>
    <w:rsid w:val="43E469A5"/>
    <w:rsid w:val="43E77A38"/>
    <w:rsid w:val="43F51285"/>
    <w:rsid w:val="44037520"/>
    <w:rsid w:val="440E5CC1"/>
    <w:rsid w:val="4486410D"/>
    <w:rsid w:val="44C541C0"/>
    <w:rsid w:val="44D520E5"/>
    <w:rsid w:val="456470F8"/>
    <w:rsid w:val="4573237C"/>
    <w:rsid w:val="457C0654"/>
    <w:rsid w:val="45852B91"/>
    <w:rsid w:val="45C25183"/>
    <w:rsid w:val="46162C6B"/>
    <w:rsid w:val="46203B00"/>
    <w:rsid w:val="463436C2"/>
    <w:rsid w:val="464038DB"/>
    <w:rsid w:val="469519CD"/>
    <w:rsid w:val="46A158F9"/>
    <w:rsid w:val="46BA58D8"/>
    <w:rsid w:val="46D35A5D"/>
    <w:rsid w:val="46D90794"/>
    <w:rsid w:val="46F70479"/>
    <w:rsid w:val="46FF3CB8"/>
    <w:rsid w:val="47280A93"/>
    <w:rsid w:val="476C7567"/>
    <w:rsid w:val="477908C9"/>
    <w:rsid w:val="478D1D67"/>
    <w:rsid w:val="4799373F"/>
    <w:rsid w:val="47AB19BB"/>
    <w:rsid w:val="47E448EF"/>
    <w:rsid w:val="47EA7AF7"/>
    <w:rsid w:val="48374D1C"/>
    <w:rsid w:val="483B2A48"/>
    <w:rsid w:val="4848143D"/>
    <w:rsid w:val="48510A04"/>
    <w:rsid w:val="48545C43"/>
    <w:rsid w:val="48792DEC"/>
    <w:rsid w:val="48A759E8"/>
    <w:rsid w:val="48DA400F"/>
    <w:rsid w:val="48E1539E"/>
    <w:rsid w:val="48EE1869"/>
    <w:rsid w:val="495578FE"/>
    <w:rsid w:val="495A173F"/>
    <w:rsid w:val="49635DB3"/>
    <w:rsid w:val="496D4D42"/>
    <w:rsid w:val="49DC109D"/>
    <w:rsid w:val="49F904C5"/>
    <w:rsid w:val="4A4B7EB3"/>
    <w:rsid w:val="4A5C2C74"/>
    <w:rsid w:val="4A875AD1"/>
    <w:rsid w:val="4ABA40F8"/>
    <w:rsid w:val="4ACF1226"/>
    <w:rsid w:val="4ACF7478"/>
    <w:rsid w:val="4ADE3E57"/>
    <w:rsid w:val="4AE855EF"/>
    <w:rsid w:val="4B223A4B"/>
    <w:rsid w:val="4B553A96"/>
    <w:rsid w:val="4B724394"/>
    <w:rsid w:val="4BB70638"/>
    <w:rsid w:val="4BCE2C7A"/>
    <w:rsid w:val="4C005AC0"/>
    <w:rsid w:val="4C07336D"/>
    <w:rsid w:val="4C36393B"/>
    <w:rsid w:val="4C651EFA"/>
    <w:rsid w:val="4D2604A0"/>
    <w:rsid w:val="4D2756BB"/>
    <w:rsid w:val="4D2A74B1"/>
    <w:rsid w:val="4D8B1D7C"/>
    <w:rsid w:val="4D9D78D7"/>
    <w:rsid w:val="4DCE1855"/>
    <w:rsid w:val="4DCE677A"/>
    <w:rsid w:val="4E170175"/>
    <w:rsid w:val="4E9B5FEF"/>
    <w:rsid w:val="4EA76741"/>
    <w:rsid w:val="4ECE6DC3"/>
    <w:rsid w:val="4ED432AF"/>
    <w:rsid w:val="4ED45DD0"/>
    <w:rsid w:val="4EFA17F5"/>
    <w:rsid w:val="4EFC1FAA"/>
    <w:rsid w:val="4F027E1C"/>
    <w:rsid w:val="4F1C2DC4"/>
    <w:rsid w:val="4F1E24A6"/>
    <w:rsid w:val="4F390B4C"/>
    <w:rsid w:val="4F5D29EF"/>
    <w:rsid w:val="4F711713"/>
    <w:rsid w:val="4F75662D"/>
    <w:rsid w:val="4F786321"/>
    <w:rsid w:val="4F7D3E37"/>
    <w:rsid w:val="4F826F9A"/>
    <w:rsid w:val="4F8338E0"/>
    <w:rsid w:val="4F865E52"/>
    <w:rsid w:val="4F8C6272"/>
    <w:rsid w:val="4F8D29C9"/>
    <w:rsid w:val="4F901795"/>
    <w:rsid w:val="4F975776"/>
    <w:rsid w:val="4FBF3BDB"/>
    <w:rsid w:val="4FE92D8A"/>
    <w:rsid w:val="4FF21C3E"/>
    <w:rsid w:val="500C24FA"/>
    <w:rsid w:val="503F6E4F"/>
    <w:rsid w:val="505E1C29"/>
    <w:rsid w:val="50897CB4"/>
    <w:rsid w:val="508C05C5"/>
    <w:rsid w:val="508D3A02"/>
    <w:rsid w:val="50EC68A2"/>
    <w:rsid w:val="511A58F1"/>
    <w:rsid w:val="51207F04"/>
    <w:rsid w:val="51542485"/>
    <w:rsid w:val="51671414"/>
    <w:rsid w:val="516B39C7"/>
    <w:rsid w:val="51B0293E"/>
    <w:rsid w:val="5218471B"/>
    <w:rsid w:val="52447C09"/>
    <w:rsid w:val="52541BCB"/>
    <w:rsid w:val="52DB52EE"/>
    <w:rsid w:val="530057B4"/>
    <w:rsid w:val="53127E83"/>
    <w:rsid w:val="531D3F16"/>
    <w:rsid w:val="532762B9"/>
    <w:rsid w:val="532D6659"/>
    <w:rsid w:val="539227A8"/>
    <w:rsid w:val="53AF1153"/>
    <w:rsid w:val="53B413A5"/>
    <w:rsid w:val="53C25DCC"/>
    <w:rsid w:val="53E61ABA"/>
    <w:rsid w:val="540006A2"/>
    <w:rsid w:val="54015876"/>
    <w:rsid w:val="54224ABC"/>
    <w:rsid w:val="54532EC8"/>
    <w:rsid w:val="54626400"/>
    <w:rsid w:val="54662778"/>
    <w:rsid w:val="547D6871"/>
    <w:rsid w:val="54857525"/>
    <w:rsid w:val="55040D6E"/>
    <w:rsid w:val="550A6DD0"/>
    <w:rsid w:val="55450589"/>
    <w:rsid w:val="5575204E"/>
    <w:rsid w:val="557E3AB8"/>
    <w:rsid w:val="5583158B"/>
    <w:rsid w:val="558D3544"/>
    <w:rsid w:val="558E3D3F"/>
    <w:rsid w:val="55C24E3B"/>
    <w:rsid w:val="55F81F79"/>
    <w:rsid w:val="564F0FA5"/>
    <w:rsid w:val="567E247E"/>
    <w:rsid w:val="56AB45DA"/>
    <w:rsid w:val="56C36F17"/>
    <w:rsid w:val="56DD7B2E"/>
    <w:rsid w:val="56E2111D"/>
    <w:rsid w:val="56FB54C7"/>
    <w:rsid w:val="57017173"/>
    <w:rsid w:val="5721676A"/>
    <w:rsid w:val="57257AC8"/>
    <w:rsid w:val="57596A47"/>
    <w:rsid w:val="575E22AF"/>
    <w:rsid w:val="57672713"/>
    <w:rsid w:val="577473DD"/>
    <w:rsid w:val="57B15A98"/>
    <w:rsid w:val="57D142CB"/>
    <w:rsid w:val="57EA4CBC"/>
    <w:rsid w:val="581C180F"/>
    <w:rsid w:val="583A23D4"/>
    <w:rsid w:val="585D2567"/>
    <w:rsid w:val="586301E7"/>
    <w:rsid w:val="58814A80"/>
    <w:rsid w:val="588E0972"/>
    <w:rsid w:val="589253DD"/>
    <w:rsid w:val="58B303D9"/>
    <w:rsid w:val="58B660B3"/>
    <w:rsid w:val="58D0627E"/>
    <w:rsid w:val="58D313DF"/>
    <w:rsid w:val="58DE5456"/>
    <w:rsid w:val="58EC4455"/>
    <w:rsid w:val="59034EBC"/>
    <w:rsid w:val="5919023C"/>
    <w:rsid w:val="591F1179"/>
    <w:rsid w:val="59480B21"/>
    <w:rsid w:val="5954396A"/>
    <w:rsid w:val="59701D26"/>
    <w:rsid w:val="59712134"/>
    <w:rsid w:val="597271B7"/>
    <w:rsid w:val="59B931C3"/>
    <w:rsid w:val="59F56F6B"/>
    <w:rsid w:val="59F574FE"/>
    <w:rsid w:val="5A0114F0"/>
    <w:rsid w:val="5A0A227A"/>
    <w:rsid w:val="5A184997"/>
    <w:rsid w:val="5A446F3E"/>
    <w:rsid w:val="5A5B0026"/>
    <w:rsid w:val="5A78384D"/>
    <w:rsid w:val="5A801DBC"/>
    <w:rsid w:val="5A863DA4"/>
    <w:rsid w:val="5A8E30F4"/>
    <w:rsid w:val="5AB83A84"/>
    <w:rsid w:val="5AF57C40"/>
    <w:rsid w:val="5AF76A9C"/>
    <w:rsid w:val="5B33135D"/>
    <w:rsid w:val="5B344458"/>
    <w:rsid w:val="5B3C6463"/>
    <w:rsid w:val="5B540B07"/>
    <w:rsid w:val="5B6D0D13"/>
    <w:rsid w:val="5B771124"/>
    <w:rsid w:val="5B813AC6"/>
    <w:rsid w:val="5B816D58"/>
    <w:rsid w:val="5B995ED5"/>
    <w:rsid w:val="5B9C6C0F"/>
    <w:rsid w:val="5C115B42"/>
    <w:rsid w:val="5C2D04CF"/>
    <w:rsid w:val="5C30520F"/>
    <w:rsid w:val="5C3971AB"/>
    <w:rsid w:val="5CAE615B"/>
    <w:rsid w:val="5CB042E7"/>
    <w:rsid w:val="5CBC0BB0"/>
    <w:rsid w:val="5CD70A20"/>
    <w:rsid w:val="5CDA23D8"/>
    <w:rsid w:val="5CE36BB7"/>
    <w:rsid w:val="5CE96177"/>
    <w:rsid w:val="5CEB6393"/>
    <w:rsid w:val="5D091ED0"/>
    <w:rsid w:val="5D482847"/>
    <w:rsid w:val="5D7C0CDB"/>
    <w:rsid w:val="5D924A61"/>
    <w:rsid w:val="5D9724E6"/>
    <w:rsid w:val="5DA75434"/>
    <w:rsid w:val="5DBB7895"/>
    <w:rsid w:val="5DC43DBE"/>
    <w:rsid w:val="5DCF3856"/>
    <w:rsid w:val="5DE2505B"/>
    <w:rsid w:val="5E052149"/>
    <w:rsid w:val="5E0E0258"/>
    <w:rsid w:val="5E2A30BC"/>
    <w:rsid w:val="5E3B3A4F"/>
    <w:rsid w:val="5E5B4E53"/>
    <w:rsid w:val="5E8C52E5"/>
    <w:rsid w:val="5E9D546B"/>
    <w:rsid w:val="5EB11C86"/>
    <w:rsid w:val="5EBC7BE3"/>
    <w:rsid w:val="5EE017FC"/>
    <w:rsid w:val="5EF87F60"/>
    <w:rsid w:val="5F1C1375"/>
    <w:rsid w:val="5F2D4A41"/>
    <w:rsid w:val="5F6446D8"/>
    <w:rsid w:val="5F7A5AAC"/>
    <w:rsid w:val="5F7B3C04"/>
    <w:rsid w:val="5F9C5723"/>
    <w:rsid w:val="60237F24"/>
    <w:rsid w:val="60402552"/>
    <w:rsid w:val="60CC028A"/>
    <w:rsid w:val="611B3CC7"/>
    <w:rsid w:val="61386D43"/>
    <w:rsid w:val="6142135E"/>
    <w:rsid w:val="616B6B6E"/>
    <w:rsid w:val="61A6003A"/>
    <w:rsid w:val="61D75138"/>
    <w:rsid w:val="61DA5BB5"/>
    <w:rsid w:val="61EB473F"/>
    <w:rsid w:val="61EE2904"/>
    <w:rsid w:val="62314427"/>
    <w:rsid w:val="623936FD"/>
    <w:rsid w:val="623F1033"/>
    <w:rsid w:val="62744DD3"/>
    <w:rsid w:val="62B10D29"/>
    <w:rsid w:val="62CB6496"/>
    <w:rsid w:val="62DA698E"/>
    <w:rsid w:val="63051831"/>
    <w:rsid w:val="6328712F"/>
    <w:rsid w:val="634E4F86"/>
    <w:rsid w:val="63645C52"/>
    <w:rsid w:val="639B540C"/>
    <w:rsid w:val="63BC2837"/>
    <w:rsid w:val="63DA032C"/>
    <w:rsid w:val="6414331E"/>
    <w:rsid w:val="642C5DB8"/>
    <w:rsid w:val="64301344"/>
    <w:rsid w:val="645F77A0"/>
    <w:rsid w:val="646F3406"/>
    <w:rsid w:val="64720968"/>
    <w:rsid w:val="648E32AE"/>
    <w:rsid w:val="64A56C10"/>
    <w:rsid w:val="64FB5EE4"/>
    <w:rsid w:val="651C5530"/>
    <w:rsid w:val="65521F0A"/>
    <w:rsid w:val="657D479F"/>
    <w:rsid w:val="65B21C6C"/>
    <w:rsid w:val="66022930"/>
    <w:rsid w:val="6662218C"/>
    <w:rsid w:val="666F7CC3"/>
    <w:rsid w:val="667B5B69"/>
    <w:rsid w:val="66AF21DF"/>
    <w:rsid w:val="66F77C59"/>
    <w:rsid w:val="66F94BD7"/>
    <w:rsid w:val="67083A40"/>
    <w:rsid w:val="670D6F06"/>
    <w:rsid w:val="67747999"/>
    <w:rsid w:val="67957E65"/>
    <w:rsid w:val="67C95523"/>
    <w:rsid w:val="683A4E8F"/>
    <w:rsid w:val="687A3533"/>
    <w:rsid w:val="68943F9B"/>
    <w:rsid w:val="68964A77"/>
    <w:rsid w:val="68B44124"/>
    <w:rsid w:val="694E2184"/>
    <w:rsid w:val="694E22E1"/>
    <w:rsid w:val="69B356FD"/>
    <w:rsid w:val="69B813AB"/>
    <w:rsid w:val="69CA2F1C"/>
    <w:rsid w:val="69E00902"/>
    <w:rsid w:val="69EB1780"/>
    <w:rsid w:val="69FB0C13"/>
    <w:rsid w:val="6A10568B"/>
    <w:rsid w:val="6A161E4A"/>
    <w:rsid w:val="6A1E4C1B"/>
    <w:rsid w:val="6A58714D"/>
    <w:rsid w:val="6A761B9C"/>
    <w:rsid w:val="6A796D4F"/>
    <w:rsid w:val="6A9E4A45"/>
    <w:rsid w:val="6AB778B5"/>
    <w:rsid w:val="6AE0505D"/>
    <w:rsid w:val="6AF47C9C"/>
    <w:rsid w:val="6B4A6508"/>
    <w:rsid w:val="6B4F5D3F"/>
    <w:rsid w:val="6B724E0D"/>
    <w:rsid w:val="6B735C32"/>
    <w:rsid w:val="6B8567A1"/>
    <w:rsid w:val="6B8E04D1"/>
    <w:rsid w:val="6BCC2210"/>
    <w:rsid w:val="6BFD3B0A"/>
    <w:rsid w:val="6C1036B6"/>
    <w:rsid w:val="6C276CBC"/>
    <w:rsid w:val="6C28338D"/>
    <w:rsid w:val="6C376EFF"/>
    <w:rsid w:val="6CA105BD"/>
    <w:rsid w:val="6CD66551"/>
    <w:rsid w:val="6CEE36D7"/>
    <w:rsid w:val="6D41296A"/>
    <w:rsid w:val="6DA265FA"/>
    <w:rsid w:val="6DD42A72"/>
    <w:rsid w:val="6E0077C5"/>
    <w:rsid w:val="6E061278"/>
    <w:rsid w:val="6E575EEA"/>
    <w:rsid w:val="6E986467"/>
    <w:rsid w:val="6EB270CE"/>
    <w:rsid w:val="6EC92BFA"/>
    <w:rsid w:val="6F0D794D"/>
    <w:rsid w:val="6F174388"/>
    <w:rsid w:val="6F2F1DA8"/>
    <w:rsid w:val="6FD921E3"/>
    <w:rsid w:val="700A5B33"/>
    <w:rsid w:val="700F461E"/>
    <w:rsid w:val="70212171"/>
    <w:rsid w:val="7036571F"/>
    <w:rsid w:val="70700C31"/>
    <w:rsid w:val="70750610"/>
    <w:rsid w:val="7080699B"/>
    <w:rsid w:val="70A42D46"/>
    <w:rsid w:val="70D474D2"/>
    <w:rsid w:val="70F07B85"/>
    <w:rsid w:val="71155335"/>
    <w:rsid w:val="712D2DE9"/>
    <w:rsid w:val="717F33A0"/>
    <w:rsid w:val="718166DC"/>
    <w:rsid w:val="71845997"/>
    <w:rsid w:val="718D01A9"/>
    <w:rsid w:val="71B55135"/>
    <w:rsid w:val="71D23226"/>
    <w:rsid w:val="71D35F3A"/>
    <w:rsid w:val="71D54FB4"/>
    <w:rsid w:val="71E07D06"/>
    <w:rsid w:val="722F1BBB"/>
    <w:rsid w:val="723D0FE7"/>
    <w:rsid w:val="728F46B1"/>
    <w:rsid w:val="729A7761"/>
    <w:rsid w:val="72CB03A1"/>
    <w:rsid w:val="72DB1F12"/>
    <w:rsid w:val="72E35D09"/>
    <w:rsid w:val="73267CCD"/>
    <w:rsid w:val="732F3B04"/>
    <w:rsid w:val="734307B4"/>
    <w:rsid w:val="735334CB"/>
    <w:rsid w:val="735812E0"/>
    <w:rsid w:val="73A80A10"/>
    <w:rsid w:val="73B66785"/>
    <w:rsid w:val="73B74401"/>
    <w:rsid w:val="73BA353C"/>
    <w:rsid w:val="73CE7870"/>
    <w:rsid w:val="73ED4C8A"/>
    <w:rsid w:val="73F6144E"/>
    <w:rsid w:val="74082F2F"/>
    <w:rsid w:val="74424693"/>
    <w:rsid w:val="745154D7"/>
    <w:rsid w:val="745B519B"/>
    <w:rsid w:val="7467234B"/>
    <w:rsid w:val="747D2BA4"/>
    <w:rsid w:val="748137A2"/>
    <w:rsid w:val="7483123D"/>
    <w:rsid w:val="748E5B2A"/>
    <w:rsid w:val="752F139E"/>
    <w:rsid w:val="75530B22"/>
    <w:rsid w:val="75620171"/>
    <w:rsid w:val="75817CCC"/>
    <w:rsid w:val="75D02D1A"/>
    <w:rsid w:val="75DA132A"/>
    <w:rsid w:val="75F220E9"/>
    <w:rsid w:val="761E230A"/>
    <w:rsid w:val="7637596F"/>
    <w:rsid w:val="768C7E47"/>
    <w:rsid w:val="76BB4A15"/>
    <w:rsid w:val="76D17F50"/>
    <w:rsid w:val="775345C1"/>
    <w:rsid w:val="777313C3"/>
    <w:rsid w:val="778B73A3"/>
    <w:rsid w:val="77990326"/>
    <w:rsid w:val="77DC64C7"/>
    <w:rsid w:val="77F90F93"/>
    <w:rsid w:val="78106A27"/>
    <w:rsid w:val="78190EF5"/>
    <w:rsid w:val="782B556E"/>
    <w:rsid w:val="78822412"/>
    <w:rsid w:val="788743CA"/>
    <w:rsid w:val="788F32BA"/>
    <w:rsid w:val="789F2830"/>
    <w:rsid w:val="78C733B9"/>
    <w:rsid w:val="78CF3B22"/>
    <w:rsid w:val="78F90738"/>
    <w:rsid w:val="7949064A"/>
    <w:rsid w:val="79837AAE"/>
    <w:rsid w:val="79862258"/>
    <w:rsid w:val="79876FEC"/>
    <w:rsid w:val="799D2F1F"/>
    <w:rsid w:val="79B564ED"/>
    <w:rsid w:val="79BE3874"/>
    <w:rsid w:val="79DB12C6"/>
    <w:rsid w:val="7A0A4952"/>
    <w:rsid w:val="7A2B5BC9"/>
    <w:rsid w:val="7A41363F"/>
    <w:rsid w:val="7A454EDD"/>
    <w:rsid w:val="7A5336C6"/>
    <w:rsid w:val="7A695F3F"/>
    <w:rsid w:val="7A813A3B"/>
    <w:rsid w:val="7A8552D9"/>
    <w:rsid w:val="7AA61D7D"/>
    <w:rsid w:val="7AA64F29"/>
    <w:rsid w:val="7AEE7323"/>
    <w:rsid w:val="7B292109"/>
    <w:rsid w:val="7B2E771F"/>
    <w:rsid w:val="7B411AEF"/>
    <w:rsid w:val="7B4C5DF7"/>
    <w:rsid w:val="7B9967F5"/>
    <w:rsid w:val="7BF11838"/>
    <w:rsid w:val="7C6929D9"/>
    <w:rsid w:val="7C7057CC"/>
    <w:rsid w:val="7C907F65"/>
    <w:rsid w:val="7C92022A"/>
    <w:rsid w:val="7CB836FA"/>
    <w:rsid w:val="7CDE6F23"/>
    <w:rsid w:val="7D086CD1"/>
    <w:rsid w:val="7D0C7F34"/>
    <w:rsid w:val="7D580A83"/>
    <w:rsid w:val="7D711B45"/>
    <w:rsid w:val="7D7D498E"/>
    <w:rsid w:val="7D8731CA"/>
    <w:rsid w:val="7DAA21AE"/>
    <w:rsid w:val="7DC21507"/>
    <w:rsid w:val="7DD722F0"/>
    <w:rsid w:val="7E0A4E00"/>
    <w:rsid w:val="7E1E7F1F"/>
    <w:rsid w:val="7E232B02"/>
    <w:rsid w:val="7E2B5B64"/>
    <w:rsid w:val="7E5805CC"/>
    <w:rsid w:val="7E6B36D0"/>
    <w:rsid w:val="7E786F03"/>
    <w:rsid w:val="7EAF40AE"/>
    <w:rsid w:val="7EB02B41"/>
    <w:rsid w:val="7EC02D84"/>
    <w:rsid w:val="7F2350C1"/>
    <w:rsid w:val="7F3724AB"/>
    <w:rsid w:val="7F5F4186"/>
    <w:rsid w:val="7F7371A0"/>
    <w:rsid w:val="7F7906C9"/>
    <w:rsid w:val="7F7E2D55"/>
    <w:rsid w:val="7F8E06CB"/>
    <w:rsid w:val="7F96685B"/>
    <w:rsid w:val="7F9A1827"/>
    <w:rsid w:val="7FBC3022"/>
    <w:rsid w:val="7FC1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632" w:firstLineChars="200"/>
    </w:pPr>
  </w:style>
  <w:style w:type="paragraph" w:styleId="4">
    <w:name w:val="Date"/>
    <w:basedOn w:val="1"/>
    <w:next w:val="1"/>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szCs w:val="22"/>
    </w:rPr>
  </w:style>
  <w:style w:type="paragraph" w:customStyle="1" w:styleId="15">
    <w:name w:val="18"/>
    <w:basedOn w:val="1"/>
    <w:qFormat/>
    <w:uiPriority w:val="0"/>
    <w:rPr>
      <w:rFonts w:ascii="等线" w:hAnsi="等线" w:eastAsia="宋体"/>
      <w:szCs w:val="21"/>
    </w:rPr>
  </w:style>
  <w:style w:type="character" w:customStyle="1" w:styleId="16">
    <w:name w:val="15"/>
    <w:basedOn w:val="10"/>
    <w:qFormat/>
    <w:uiPriority w:val="99"/>
    <w:rPr>
      <w:rFonts w:ascii="Calibri" w:hAnsi="Calibri" w:cs="Calibri"/>
    </w:rPr>
  </w:style>
  <w:style w:type="character" w:customStyle="1" w:styleId="17">
    <w:name w:val="页脚 Char"/>
    <w:basedOn w:val="10"/>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一个单位文件（2016）</Template>
  <Company>家用电脑</Company>
  <Pages>15</Pages>
  <Words>7804</Words>
  <Characters>8596</Characters>
  <Lines>68</Lines>
  <Paragraphs>19</Paragraphs>
  <TotalTime>2</TotalTime>
  <ScaleCrop>false</ScaleCrop>
  <LinksUpToDate>false</LinksUpToDate>
  <CharactersWithSpaces>8904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2023-04-26T09:04:00Z</dcterms:created>
  <dc:creator>xbany</dc:creator>
  <cp:lastModifiedBy>Administrator</cp:lastModifiedBy>
  <cp:lastPrinted>2020-03-24T09:33:00Z</cp:lastPrinted>
  <dcterms:modified xsi:type="dcterms:W3CDTF">2023-09-13T00:41:20Z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F97727F01D274A1A9D0CC8268EECC585</vt:lpwstr>
  </property>
</Properties>
</file>