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益阳市资阳区市场监督管理局</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农产品食品安全事务</w:t>
      </w:r>
      <w:r>
        <w:rPr>
          <w:rFonts w:hint="eastAsia" w:ascii="方正小标宋简体" w:hAnsi="方正小标宋简体" w:eastAsia="方正小标宋简体" w:cs="方正小标宋简体"/>
          <w:b w:val="0"/>
          <w:bCs w:val="0"/>
          <w:sz w:val="44"/>
          <w:szCs w:val="44"/>
        </w:rPr>
        <w:t>项目支出</w:t>
      </w:r>
      <w:r>
        <w:rPr>
          <w:rFonts w:hint="eastAsia" w:ascii="方正小标宋简体" w:hAnsi="方正小标宋简体" w:eastAsia="方正小标宋简体" w:cs="方正小标宋简体"/>
          <w:b w:val="0"/>
          <w:bCs w:val="0"/>
          <w:sz w:val="44"/>
          <w:szCs w:val="44"/>
        </w:rPr>
        <w:t>绩效</w:t>
      </w:r>
      <w:r>
        <w:rPr>
          <w:rFonts w:hint="eastAsia" w:ascii="方正小标宋简体" w:hAnsi="方正小标宋简体" w:eastAsia="方正小标宋简体" w:cs="方正小标宋简体"/>
          <w:b w:val="0"/>
          <w:bCs w:val="0"/>
          <w:sz w:val="44"/>
          <w:szCs w:val="44"/>
        </w:rPr>
        <w:t>评价报告</w:t>
      </w:r>
    </w:p>
    <w:p>
      <w:pPr>
        <w:jc w:val="center"/>
        <w:rPr>
          <w:rFonts w:ascii="仿宋_GB2312"/>
          <w:szCs w:val="30"/>
        </w:rPr>
      </w:pPr>
    </w:p>
    <w:p>
      <w:pPr>
        <w:spacing w:line="600" w:lineRule="exact"/>
        <w:ind w:firstLine="640" w:firstLineChars="200"/>
        <w:rPr>
          <w:rFonts w:hint="eastAsia" w:ascii="方正小标宋简体" w:hAnsi="方正小标宋简体" w:eastAsia="方正小标宋简体" w:cs="方正小标宋简体"/>
          <w:sz w:val="32"/>
          <w:szCs w:val="32"/>
        </w:rPr>
      </w:pPr>
      <w:r>
        <w:rPr>
          <w:rFonts w:hint="eastAsia" w:ascii="黑体" w:hAnsi="黑体" w:eastAsia="黑体"/>
          <w:sz w:val="32"/>
          <w:szCs w:val="32"/>
        </w:rPr>
        <w:t>一、基本情况</w:t>
      </w:r>
    </w:p>
    <w:p>
      <w:pPr>
        <w:spacing w:line="600" w:lineRule="exact"/>
        <w:ind w:firstLine="643" w:firstLineChars="200"/>
        <w:outlineLvl w:val="0"/>
        <w:rPr>
          <w:rFonts w:hint="eastAsia" w:ascii="仿宋_GB2312"/>
          <w:b/>
          <w:bCs/>
          <w:sz w:val="32"/>
          <w:szCs w:val="32"/>
        </w:rPr>
      </w:pPr>
      <w:r>
        <w:rPr>
          <w:rFonts w:hint="eastAsia" w:ascii="仿宋_GB2312"/>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仿宋_GB2312"/>
          <w:sz w:val="32"/>
          <w:szCs w:val="32"/>
          <w:lang w:val="en-US"/>
        </w:rPr>
      </w:pPr>
      <w:r>
        <w:rPr>
          <w:rFonts w:hint="eastAsia" w:ascii="仿宋_GB2312"/>
          <w:sz w:val="32"/>
          <w:szCs w:val="32"/>
          <w:lang w:val="en-US" w:eastAsia="zh-CN"/>
        </w:rPr>
        <w:t>益阳市资阳区市场监督管理局根据区委、区政府下达的工作任务以及我区食品安全监管面临的形势、监管队伍建设情况的特点，资金主要安排用于全区农产品食品安全抽样检验，以确保全区食品安全可控、持续稳定。项目由局机关各股室和各所共同实施。</w:t>
      </w:r>
    </w:p>
    <w:p>
      <w:pPr>
        <w:spacing w:line="600" w:lineRule="exact"/>
        <w:ind w:firstLine="643" w:firstLineChars="200"/>
        <w:outlineLvl w:val="0"/>
        <w:rPr>
          <w:rFonts w:hint="eastAsia" w:ascii="仿宋_GB2312" w:hAnsi="Times New Roman" w:cs="Times New Roman"/>
          <w:b/>
          <w:bCs/>
          <w:sz w:val="32"/>
          <w:szCs w:val="32"/>
        </w:rPr>
      </w:pPr>
      <w:r>
        <w:rPr>
          <w:rFonts w:hint="eastAsia" w:ascii="仿宋_GB2312" w:hAnsi="Times New Roman" w:cs="Times New Roman"/>
          <w:b/>
          <w:bCs/>
          <w:sz w:val="32"/>
          <w:szCs w:val="32"/>
          <w:lang w:eastAsia="zh-CN"/>
        </w:rPr>
        <w:t>（二）</w:t>
      </w:r>
      <w:r>
        <w:rPr>
          <w:rFonts w:hint="eastAsia" w:ascii="仿宋_GB2312" w:hAnsi="Times New Roman" w:cs="Times New Roman"/>
          <w:b/>
          <w:bCs/>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sz w:val="32"/>
          <w:szCs w:val="32"/>
          <w:lang w:eastAsia="zh-CN"/>
        </w:rPr>
      </w:pPr>
      <w:r>
        <w:rPr>
          <w:rFonts w:hint="eastAsia" w:ascii="仿宋_GB2312"/>
          <w:sz w:val="32"/>
          <w:szCs w:val="32"/>
          <w:lang w:val="en-US" w:eastAsia="zh-CN"/>
        </w:rPr>
        <w:t>总体目标：通过对食品生产、流通、餐饮等环节的监督抽验，发现质量问题点，为食品监管、稽查提供技术数据支撑,从纵向、横向多层次、多角度来分析食品安全质量状况，及时发布食品安全质量状况，指导消费，提高消费者安全感和信心;通过对保健食品开展安全风险监测，及时查找安全风险隐患，提出安全风险预警，并制定和采取相应监管措施，合理指导消费，保障保健食品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sz w:val="32"/>
          <w:szCs w:val="32"/>
          <w:lang w:eastAsia="zh-CN"/>
        </w:rPr>
      </w:pPr>
      <w:r>
        <w:rPr>
          <w:rFonts w:hint="eastAsia" w:ascii="仿宋_GB2312"/>
          <w:sz w:val="32"/>
          <w:szCs w:val="32"/>
          <w:lang w:eastAsia="zh-CN"/>
        </w:rPr>
        <w:t xml:space="preserve">阶段性目标：一是完成食品安全检测任务，降低食品安全风险，提高我区食品安全水平。二是提高食品合格率。通过评价和监督抽检，促进我区各环节各类食品合格率提高。三是通过演练、印制发放宣传资料、制作宣传片等形式，切实提高食品安全应急处置能力，强化公众防范食品药品安全事故意识，降低食品安全事故发生率。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sz w:val="32"/>
          <w:szCs w:val="32"/>
        </w:rPr>
      </w:pPr>
      <w:r>
        <w:rPr>
          <w:rFonts w:hint="eastAsia" w:ascii="仿宋_GB2312"/>
          <w:sz w:val="32"/>
          <w:szCs w:val="32"/>
        </w:rPr>
        <w:t>根据关于部门</w:t>
      </w:r>
      <w:r>
        <w:rPr>
          <w:rFonts w:hint="eastAsia" w:ascii="仿宋_GB2312"/>
          <w:sz w:val="32"/>
          <w:szCs w:val="32"/>
          <w:lang w:eastAsia="zh-CN"/>
        </w:rPr>
        <w:t>项目</w:t>
      </w:r>
      <w:r>
        <w:rPr>
          <w:rFonts w:hint="eastAsia" w:ascii="仿宋_GB2312"/>
          <w:sz w:val="32"/>
          <w:szCs w:val="32"/>
        </w:rPr>
        <w:t>绩效管理的部署要求，对我单位</w:t>
      </w:r>
      <w:r>
        <w:rPr>
          <w:rFonts w:hint="eastAsia" w:ascii="仿宋_GB2312"/>
          <w:sz w:val="32"/>
          <w:szCs w:val="32"/>
          <w:lang w:val="en-US" w:eastAsia="zh-CN"/>
        </w:rPr>
        <w:t>2022</w:t>
      </w:r>
      <w:r>
        <w:rPr>
          <w:rFonts w:hint="eastAsia" w:ascii="仿宋_GB2312"/>
          <w:sz w:val="32"/>
          <w:szCs w:val="32"/>
        </w:rPr>
        <w:t>年的</w:t>
      </w:r>
      <w:r>
        <w:rPr>
          <w:rFonts w:hint="eastAsia" w:ascii="仿宋_GB2312"/>
          <w:sz w:val="32"/>
          <w:szCs w:val="32"/>
          <w:lang w:eastAsia="zh-CN"/>
        </w:rPr>
        <w:t>项目</w:t>
      </w:r>
      <w:r>
        <w:rPr>
          <w:rFonts w:hint="eastAsia" w:ascii="仿宋_GB2312"/>
          <w:sz w:val="32"/>
          <w:szCs w:val="32"/>
        </w:rPr>
        <w:t>绩效目标完成情况进行自评。自评过程中，本着强化绩效目标意识、提高部门整体资金使用效率、提升绩效管理水平的原则，通过目标计划梳理、工作数据采集、项目完成情况调查、社会调研等方式对我部门</w:t>
      </w:r>
      <w:r>
        <w:rPr>
          <w:rFonts w:hint="eastAsia" w:ascii="仿宋_GB2312"/>
          <w:sz w:val="32"/>
          <w:szCs w:val="32"/>
          <w:lang w:val="en-US" w:eastAsia="zh-CN"/>
        </w:rPr>
        <w:t>2022</w:t>
      </w:r>
      <w:r>
        <w:rPr>
          <w:rFonts w:hint="eastAsia" w:ascii="仿宋_GB2312"/>
          <w:sz w:val="32"/>
          <w:szCs w:val="32"/>
        </w:rPr>
        <w:t>年度</w:t>
      </w:r>
      <w:r>
        <w:rPr>
          <w:rFonts w:hint="eastAsia" w:ascii="仿宋_GB2312"/>
          <w:sz w:val="32"/>
          <w:szCs w:val="32"/>
          <w:lang w:eastAsia="zh-CN"/>
        </w:rPr>
        <w:t>农产品安全事务专项资金</w:t>
      </w:r>
      <w:r>
        <w:rPr>
          <w:rFonts w:hint="eastAsia" w:ascii="仿宋_GB2312"/>
          <w:sz w:val="32"/>
          <w:szCs w:val="32"/>
        </w:rPr>
        <w:t>使用情况进行检查，并评估资金的使用效率和工作开展情况。</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sz w:val="32"/>
          <w:szCs w:val="32"/>
        </w:rPr>
      </w:pPr>
      <w:r>
        <w:rPr>
          <w:rFonts w:hint="eastAsia" w:ascii="仿宋_GB2312"/>
          <w:sz w:val="32"/>
          <w:szCs w:val="32"/>
        </w:rPr>
        <w:t>20</w:t>
      </w:r>
      <w:r>
        <w:rPr>
          <w:rFonts w:hint="eastAsia" w:ascii="仿宋_GB2312"/>
          <w:sz w:val="32"/>
          <w:szCs w:val="32"/>
          <w:lang w:val="en-US" w:eastAsia="zh-CN"/>
        </w:rPr>
        <w:t>22</w:t>
      </w:r>
      <w:r>
        <w:rPr>
          <w:rFonts w:hint="eastAsia" w:ascii="仿宋_GB2312"/>
          <w:sz w:val="32"/>
          <w:szCs w:val="32"/>
        </w:rPr>
        <w:t>年部门整体支出绩效评价指标体系包括投入、产出、效果三部分内容，由三级指标构成。投入指标为预算指标。预算指标主要考察项目预算执行情况。产出指标从数量指标、质量指标、时效指标、成本指标四个方面，设置具体三级指标，对实际开展的工作进行评价。效果指标分为社会效益指标及受益对象满意度指标。主要考察项目的社会效益、可持续影响性以及服务对象的满意度。</w:t>
      </w:r>
    </w:p>
    <w:p>
      <w:pPr>
        <w:numPr>
          <w:ilvl w:val="0"/>
          <w:numId w:val="1"/>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专项资金使用情况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lang w:eastAsia="zh-CN"/>
        </w:rPr>
      </w:pPr>
      <w:r>
        <w:rPr>
          <w:rFonts w:hint="eastAsia" w:ascii="仿宋_GB2312"/>
          <w:sz w:val="32"/>
          <w:szCs w:val="32"/>
          <w:lang w:val="en-US" w:eastAsia="zh-CN"/>
        </w:rPr>
        <w:t>我局2022年度农产品安全事务专项资金收入合计40万元，由区财政局全部拨付我局到位并投入使用，使用率100%。截止2022年12月31日农产品安全事务专项资金实际使用40万元，均用于食品抽检。我局严格执行区财政局有关制度规定，在农产品安全事务专项资金管理使用过程中，严格按照评审结果，履行相关审批手续，确保做到专项核算、专款专用，加强预算管理，没有出现违反财经纪律现象。</w:t>
      </w:r>
    </w:p>
    <w:p>
      <w:pPr>
        <w:pStyle w:val="2"/>
        <w:keepNext w:val="0"/>
        <w:keepLines w:val="0"/>
        <w:pageBreakBefore w:val="0"/>
        <w:widowControl w:val="0"/>
        <w:kinsoku/>
        <w:wordWrap/>
        <w:overflowPunct/>
        <w:topLinePunct w:val="0"/>
        <w:autoSpaceDE/>
        <w:autoSpaceDN/>
        <w:bidi w:val="0"/>
        <w:adjustRightInd/>
        <w:snapToGrid/>
        <w:spacing w:before="0" w:beforeAutospacing="0" w:line="600"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cs="Times New Roman"/>
          <w:kern w:val="2"/>
          <w:sz w:val="32"/>
          <w:szCs w:val="32"/>
          <w:lang w:val="en-US" w:eastAsia="zh-CN" w:bidi="ar-SA"/>
        </w:rPr>
        <w:t>我局</w:t>
      </w:r>
      <w:r>
        <w:rPr>
          <w:rFonts w:hint="eastAsia" w:ascii="仿宋_GB2312" w:hAnsi="Times New Roman" w:eastAsia="仿宋_GB2312" w:cs="Times New Roman"/>
          <w:kern w:val="2"/>
          <w:sz w:val="32"/>
          <w:szCs w:val="32"/>
          <w:lang w:val="en-US" w:eastAsia="zh-CN" w:bidi="ar-SA"/>
        </w:rPr>
        <w:t>牵头稳步推进省级食品安全示范区创建，全区上下创建意识不断浓厚、部门协同更加有力。加强对“湖南省食品安全综合服务平台”的应用推广及培训，推动食品安全“两个责任”机制有效落实，“四层干部包保四级主体”“三清单一承</w:t>
      </w:r>
      <w:bookmarkStart w:id="0" w:name="_GoBack"/>
      <w:bookmarkEnd w:id="0"/>
      <w:r>
        <w:rPr>
          <w:rFonts w:hint="eastAsia" w:ascii="仿宋_GB2312" w:hAnsi="Times New Roman" w:eastAsia="仿宋_GB2312" w:cs="Times New Roman"/>
          <w:kern w:val="2"/>
          <w:sz w:val="32"/>
          <w:szCs w:val="32"/>
          <w:lang w:val="en-US" w:eastAsia="zh-CN" w:bidi="ar-SA"/>
        </w:rPr>
        <w:t>诺”“企业主体责任两配备”等制度落地见效。组织开展食品安全“守底线、查隐患、保安全”“护苗”“护老”、特色食品全产业链安全风险排查、农村假冒伪劣食品治理等多个专项行动，突出抓住对粮食大米等高风险食品的严格监管，深入排查并督促整改食品安全相关问题隐患380余处，依法抽检食用农产品1103批次，核查处置专项抽检、外地抽检移送等不合格食品98批次，依法端掉食品黑作坊1个，下架封存、查扣问题食品1100余公斤，行政处罚食品违法案件73起，确保了全年未发生较大以上食品安全事故。</w:t>
      </w:r>
    </w:p>
    <w:p>
      <w:pPr>
        <w:numPr>
          <w:numId w:val="0"/>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sz w:val="32"/>
          <w:szCs w:val="32"/>
          <w:lang w:eastAsia="zh-CN"/>
        </w:rPr>
      </w:pPr>
      <w:r>
        <w:rPr>
          <w:rFonts w:hint="eastAsia" w:ascii="仿宋_GB2312"/>
          <w:sz w:val="32"/>
          <w:szCs w:val="32"/>
        </w:rPr>
        <w:t>总体自评结果良好，项目立项程序完整、规范，设置了明确的绩效目标，财务相关管理制度健全，预算执行及时、有效，</w:t>
      </w:r>
      <w:r>
        <w:rPr>
          <w:rFonts w:hint="eastAsia" w:ascii="仿宋_GB2312"/>
          <w:sz w:val="32"/>
          <w:szCs w:val="32"/>
          <w:lang w:eastAsia="zh-CN"/>
        </w:rPr>
        <w:t>工作</w:t>
      </w:r>
      <w:r>
        <w:rPr>
          <w:rFonts w:hint="eastAsia" w:ascii="仿宋_GB2312"/>
          <w:sz w:val="32"/>
          <w:szCs w:val="32"/>
        </w:rPr>
        <w:t>开展及时有效，群众满意度较高，基本实现了预期。</w:t>
      </w:r>
      <w:r>
        <w:rPr>
          <w:rFonts w:hint="eastAsia" w:ascii="仿宋_GB2312"/>
          <w:sz w:val="32"/>
          <w:szCs w:val="32"/>
          <w:lang w:eastAsia="zh-CN"/>
        </w:rPr>
        <w:t>（后附项目绩效自评评价表）</w:t>
      </w:r>
    </w:p>
    <w:p>
      <w:pPr>
        <w:pStyle w:val="2"/>
        <w:rPr>
          <w:rFonts w:hint="eastAsia"/>
        </w:rPr>
      </w:pP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、绩效评价指标分析</w:t>
      </w:r>
    </w:p>
    <w:p>
      <w:pPr>
        <w:spacing w:line="600" w:lineRule="exact"/>
        <w:ind w:firstLine="643" w:firstLineChars="200"/>
        <w:outlineLvl w:val="0"/>
        <w:rPr>
          <w:rFonts w:hint="eastAsia" w:ascii="仿宋_GB2312" w:hAnsi="Times New Roman" w:cs="Times New Roman"/>
          <w:b/>
          <w:bCs/>
          <w:sz w:val="32"/>
          <w:szCs w:val="32"/>
          <w:lang w:val="en-US" w:eastAsia="zh-CN"/>
        </w:rPr>
      </w:pPr>
      <w:r>
        <w:rPr>
          <w:rFonts w:hint="eastAsia" w:ascii="仿宋_GB2312" w:hAnsi="Times New Roman" w:cs="Times New Roman"/>
          <w:b/>
          <w:bCs/>
          <w:sz w:val="32"/>
          <w:szCs w:val="32"/>
          <w:lang w:val="en-US" w:eastAsia="zh-CN"/>
        </w:rPr>
        <w:t>（一）经济效益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t>全区食品安全形势稳中向好，食品市场秩序明显好转，特别是近年来未发生食品安全事故及重大负面舆情，从而促进经济良好发展。</w:t>
      </w:r>
    </w:p>
    <w:p>
      <w:pPr>
        <w:spacing w:line="600" w:lineRule="exact"/>
        <w:ind w:firstLine="643" w:firstLineChars="200"/>
        <w:outlineLvl w:val="0"/>
        <w:rPr>
          <w:rFonts w:hint="eastAsia" w:ascii="仿宋_GB2312" w:hAnsi="Times New Roman" w:cs="Times New Roman"/>
          <w:b/>
          <w:bCs/>
          <w:sz w:val="32"/>
          <w:szCs w:val="32"/>
        </w:rPr>
      </w:pPr>
      <w:r>
        <w:rPr>
          <w:rFonts w:hint="eastAsia" w:ascii="仿宋_GB2312" w:hAnsi="Times New Roman" w:cs="Times New Roman"/>
          <w:b/>
          <w:bCs/>
          <w:sz w:val="32"/>
          <w:szCs w:val="32"/>
          <w:lang w:eastAsia="zh-CN"/>
        </w:rPr>
        <w:t>（二）</w:t>
      </w:r>
      <w:r>
        <w:rPr>
          <w:rFonts w:hint="eastAsia" w:ascii="仿宋_GB2312" w:hAnsi="Times New Roman" w:cs="Times New Roman"/>
          <w:b/>
          <w:bCs/>
          <w:sz w:val="32"/>
          <w:szCs w:val="32"/>
        </w:rPr>
        <w:t>社会效益</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pacing w:val="-4"/>
          <w:sz w:val="32"/>
          <w:szCs w:val="32"/>
        </w:rPr>
      </w:pPr>
      <w:r>
        <w:rPr>
          <w:rFonts w:hint="eastAsia" w:ascii="仿宋" w:hAnsi="仿宋" w:eastAsia="仿宋" w:cs="仿宋"/>
          <w:kern w:val="2"/>
          <w:sz w:val="32"/>
          <w:szCs w:val="32"/>
          <w:lang w:val="en-US" w:eastAsia="zh-CN" w:bidi="ar-SA"/>
        </w:rPr>
        <w:t>辖区内与补助资金相关的重大食品安全监管责任事故发生数为零；</w:t>
      </w:r>
      <w:r>
        <w:rPr>
          <w:rFonts w:hint="eastAsia" w:ascii="仿宋" w:hAnsi="仿宋" w:eastAsia="仿宋" w:cs="仿宋"/>
          <w:sz w:val="32"/>
          <w:szCs w:val="32"/>
        </w:rPr>
        <w:t>引导市民群众形成科学合理饮食习惯，不断提高食品安全意识和自我保护能力，促进食品安全社会共治</w:t>
      </w:r>
      <w:r>
        <w:rPr>
          <w:rFonts w:hint="eastAsia" w:ascii="仿宋" w:hAnsi="仿宋" w:eastAsia="仿宋" w:cs="仿宋"/>
          <w:spacing w:val="-4"/>
          <w:sz w:val="32"/>
          <w:szCs w:val="32"/>
        </w:rPr>
        <w:t>。</w:t>
      </w:r>
    </w:p>
    <w:p>
      <w:pPr>
        <w:spacing w:line="600" w:lineRule="exact"/>
        <w:ind w:firstLine="643" w:firstLineChars="200"/>
        <w:outlineLvl w:val="0"/>
        <w:rPr>
          <w:rFonts w:hint="eastAsia" w:ascii="仿宋_GB2312" w:hAnsi="Times New Roman" w:cs="Times New Roman"/>
          <w:b/>
          <w:bCs/>
          <w:sz w:val="32"/>
          <w:szCs w:val="32"/>
          <w:lang w:eastAsia="zh-CN"/>
        </w:rPr>
      </w:pPr>
      <w:r>
        <w:rPr>
          <w:rFonts w:hint="eastAsia" w:ascii="仿宋_GB2312" w:hAnsi="Times New Roman" w:cs="Times New Roman"/>
          <w:b/>
          <w:bCs/>
          <w:sz w:val="32"/>
          <w:szCs w:val="32"/>
          <w:lang w:eastAsia="zh-CN"/>
        </w:rPr>
        <w:t>（三）可持续影响</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食品安全执法能力和监管能力以及食品安全事件应急处置能力都在逐步提高。</w:t>
      </w:r>
      <w:r>
        <w:rPr>
          <w:rFonts w:hint="eastAsia" w:ascii="仿宋" w:hAnsi="仿宋" w:eastAsia="仿宋" w:cs="仿宋"/>
          <w:sz w:val="32"/>
          <w:szCs w:val="32"/>
        </w:rPr>
        <w:t>全区食品消费环境更加安全放心，人民群众对食品安全满意度不断提升。</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存在的问题及原因分析</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虽然项目支出绩效管理的重视程度进一步提升，大部分项目有序开展，执行和完成情况良好，资金使用比较规范，但是也存在不足之处，部分目标设置有待进一步优化，项目实施方案需要做到早谋划、早安排，并落实好责任分工，定期监督完成情况，不断提高资金使用成效。</w:t>
      </w:r>
    </w:p>
    <w:p>
      <w:pPr>
        <w:spacing w:line="600" w:lineRule="exact"/>
        <w:ind w:firstLine="640" w:firstLineChars="200"/>
        <w:rPr>
          <w:rFonts w:hint="eastAsia" w:ascii="黑体" w:hAnsi="黑体" w:eastAsia="黑体"/>
          <w:b w:val="0"/>
          <w:bCs w:val="0"/>
          <w:sz w:val="32"/>
          <w:szCs w:val="32"/>
          <w:lang w:eastAsia="zh-CN"/>
        </w:rPr>
      </w:pPr>
      <w:r>
        <w:rPr>
          <w:rFonts w:hint="eastAsia" w:ascii="黑体" w:hAnsi="黑体" w:eastAsia="黑体"/>
          <w:sz w:val="32"/>
          <w:szCs w:val="32"/>
          <w:lang w:eastAsia="zh-CN"/>
        </w:rPr>
        <w:t>六、改进措施及建议</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ascii="仿宋" w:hAnsi="仿宋" w:eastAsia="仿宋" w:cs="仿宋"/>
          <w:b w:val="0"/>
          <w:bCs w:val="0"/>
          <w:sz w:val="32"/>
          <w:szCs w:val="32"/>
          <w:lang w:eastAsia="zh-CN"/>
        </w:rPr>
        <w:t>一是</w:t>
      </w:r>
      <w:r>
        <w:rPr>
          <w:rFonts w:hint="eastAsia" w:ascii="仿宋" w:hAnsi="仿宋" w:eastAsia="仿宋" w:cs="仿宋"/>
          <w:sz w:val="32"/>
          <w:szCs w:val="32"/>
        </w:rPr>
        <w:t>进一步优化项目指标，注重其科学性、实用性、可实现性和可操作性，尽可能地设计客观性的量化指标，并适当使用定性指标</w:t>
      </w:r>
      <w:r>
        <w:rPr>
          <w:rFonts w:hint="eastAsia" w:ascii="仿宋" w:hAnsi="仿宋" w:eastAsia="仿宋" w:cs="仿宋"/>
          <w:sz w:val="32"/>
          <w:szCs w:val="32"/>
          <w:lang w:eastAsia="zh-CN"/>
        </w:rPr>
        <w:t>。二是</w:t>
      </w:r>
      <w:r>
        <w:rPr>
          <w:rFonts w:hint="eastAsia" w:ascii="仿宋" w:hAnsi="仿宋" w:eastAsia="仿宋" w:cs="仿宋"/>
          <w:sz w:val="32"/>
          <w:szCs w:val="32"/>
        </w:rPr>
        <w:t>进一步建立健全预算管理和专项资金管理制度，加强资金监管，明确工作责任，将项目预算执行情况与年终考核挂钩，提升工作积极性，从而促进项目预算的有序进行。</w:t>
      </w:r>
    </w:p>
    <w:p>
      <w:pPr>
        <w:pStyle w:val="8"/>
        <w:numPr>
          <w:ilvl w:val="0"/>
          <w:numId w:val="0"/>
        </w:numPr>
      </w:pPr>
    </w:p>
    <w:p>
      <w:pPr>
        <w:pStyle w:val="8"/>
      </w:pPr>
    </w:p>
    <w:p>
      <w:pPr>
        <w:pStyle w:val="8"/>
      </w:pPr>
    </w:p>
    <w:p>
      <w:pPr>
        <w:pStyle w:val="8"/>
      </w:pPr>
    </w:p>
    <w:p>
      <w:pPr>
        <w:pStyle w:val="8"/>
      </w:pPr>
    </w:p>
    <w:p>
      <w:pPr>
        <w:pStyle w:val="8"/>
      </w:pPr>
    </w:p>
    <w:p>
      <w:pPr>
        <w:pStyle w:val="8"/>
      </w:pPr>
    </w:p>
    <w:p>
      <w:pPr>
        <w:pStyle w:val="8"/>
      </w:pPr>
    </w:p>
    <w:p>
      <w:pPr>
        <w:pStyle w:val="8"/>
      </w:pPr>
    </w:p>
    <w:p>
      <w:pPr>
        <w:rPr>
          <w:rFonts w:ascii="方正小标宋_GBK" w:eastAsia="方正小标宋_GBK"/>
          <w:bCs/>
          <w:sz w:val="36"/>
          <w:szCs w:val="36"/>
        </w:rPr>
      </w:pPr>
      <w:r>
        <w:rPr>
          <w:rFonts w:ascii="方正小标宋_GBK" w:eastAsia="方正小标宋_GBK"/>
          <w:bCs/>
          <w:sz w:val="36"/>
          <w:szCs w:val="36"/>
        </w:rPr>
        <w:br w:type="page"/>
      </w:r>
    </w:p>
    <w:p>
      <w:pPr>
        <w:spacing w:line="600" w:lineRule="exact"/>
        <w:jc w:val="center"/>
        <w:outlineLvl w:val="0"/>
        <w:rPr>
          <w:rFonts w:hint="eastAsia" w:ascii="方正小标宋_GBK" w:eastAsia="方正小标宋_GBK"/>
          <w:bCs/>
          <w:sz w:val="36"/>
          <w:szCs w:val="36"/>
        </w:rPr>
      </w:pPr>
      <w:r>
        <w:rPr>
          <w:rFonts w:ascii="方正小标宋_GBK" w:eastAsia="方正小标宋_GBK"/>
          <w:bCs/>
          <w:sz w:val="36"/>
          <w:szCs w:val="36"/>
        </w:rPr>
        <w:t>20</w:t>
      </w:r>
      <w:r>
        <w:rPr>
          <w:rFonts w:hint="eastAsia" w:ascii="方正小标宋_GBK" w:eastAsia="方正小标宋_GBK"/>
          <w:bCs/>
          <w:sz w:val="36"/>
          <w:szCs w:val="36"/>
        </w:rPr>
        <w:t>2</w:t>
      </w:r>
      <w:r>
        <w:rPr>
          <w:rFonts w:hint="eastAsia" w:ascii="方正小标宋_GBK" w:eastAsia="方正小标宋_GBK"/>
          <w:bCs/>
          <w:sz w:val="36"/>
          <w:szCs w:val="36"/>
          <w:lang w:val="en-US" w:eastAsia="zh-CN"/>
        </w:rPr>
        <w:t>2</w:t>
      </w:r>
      <w:r>
        <w:rPr>
          <w:rFonts w:hint="eastAsia" w:ascii="方正小标宋_GBK" w:eastAsia="方正小标宋_GBK"/>
          <w:bCs/>
          <w:sz w:val="36"/>
          <w:szCs w:val="36"/>
        </w:rPr>
        <w:t>年度</w:t>
      </w:r>
      <w:r>
        <w:rPr>
          <w:rFonts w:hint="eastAsia" w:ascii="方正小标宋_GBK" w:eastAsia="方正小标宋_GBK"/>
          <w:bCs/>
          <w:sz w:val="36"/>
          <w:szCs w:val="36"/>
          <w:lang w:eastAsia="zh-CN"/>
        </w:rPr>
        <w:t>农产品安全事务专项</w:t>
      </w:r>
      <w:r>
        <w:rPr>
          <w:rFonts w:hint="eastAsia" w:ascii="方正小标宋_GBK" w:eastAsia="方正小标宋_GBK"/>
          <w:bCs/>
          <w:sz w:val="36"/>
          <w:szCs w:val="36"/>
        </w:rPr>
        <w:t>资金绩效自评表</w:t>
      </w:r>
    </w:p>
    <w:p>
      <w:pPr>
        <w:spacing w:line="300" w:lineRule="exact"/>
        <w:jc w:val="both"/>
        <w:outlineLvl w:val="0"/>
        <w:rPr>
          <w:rFonts w:hint="eastAsia" w:ascii="方正小标宋_GBK" w:eastAsia="方正小标宋_GBK"/>
          <w:bCs/>
          <w:sz w:val="44"/>
          <w:szCs w:val="44"/>
        </w:rPr>
      </w:pPr>
    </w:p>
    <w:tbl>
      <w:tblPr>
        <w:tblStyle w:val="6"/>
        <w:tblW w:w="9851" w:type="dxa"/>
        <w:jc w:val="center"/>
        <w:tblLayout w:type="autofit"/>
        <w:tblCellMar>
          <w:top w:w="0" w:type="dxa"/>
          <w:left w:w="108" w:type="dxa"/>
          <w:bottom w:w="0" w:type="dxa"/>
          <w:right w:w="108" w:type="dxa"/>
        </w:tblCellMar>
      </w:tblPr>
      <w:tblGrid>
        <w:gridCol w:w="1077"/>
        <w:gridCol w:w="1069"/>
        <w:gridCol w:w="1070"/>
        <w:gridCol w:w="75"/>
        <w:gridCol w:w="1215"/>
        <w:gridCol w:w="555"/>
        <w:gridCol w:w="600"/>
        <w:gridCol w:w="510"/>
        <w:gridCol w:w="615"/>
        <w:gridCol w:w="435"/>
        <w:gridCol w:w="344"/>
        <w:gridCol w:w="451"/>
        <w:gridCol w:w="480"/>
        <w:gridCol w:w="240"/>
        <w:gridCol w:w="1115"/>
      </w:tblGrid>
      <w:tr>
        <w:tblPrEx>
          <w:tblCellMar>
            <w:top w:w="0" w:type="dxa"/>
            <w:left w:w="108" w:type="dxa"/>
            <w:bottom w:w="0" w:type="dxa"/>
            <w:right w:w="108" w:type="dxa"/>
          </w:tblCellMar>
        </w:tblPrEx>
        <w:trPr>
          <w:trHeight w:val="350"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4" w:type="dxa"/>
            <w:gridSpan w:val="1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农产品安全事务专项</w:t>
            </w:r>
            <w:r>
              <w:rPr>
                <w:rFonts w:hint="eastAsia" w:ascii="Times New Roman" w:hAnsi="Times New Roman" w:eastAsia="仿宋_GB2312" w:cs="Times New Roman"/>
                <w:color w:val="000000"/>
                <w:kern w:val="0"/>
                <w:sz w:val="21"/>
                <w:szCs w:val="21"/>
              </w:rPr>
              <w:t>资金</w:t>
            </w:r>
          </w:p>
        </w:tc>
      </w:tr>
      <w:tr>
        <w:tblPrEx>
          <w:tblCellMar>
            <w:top w:w="0" w:type="dxa"/>
            <w:left w:w="108" w:type="dxa"/>
            <w:bottom w:w="0" w:type="dxa"/>
            <w:right w:w="108" w:type="dxa"/>
          </w:tblCellMar>
        </w:tblPrEx>
        <w:trPr>
          <w:jc w:val="center"/>
        </w:trPr>
        <w:tc>
          <w:tcPr>
            <w:tcW w:w="107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8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cs="Times New Roman"/>
                <w:color w:val="000000"/>
                <w:kern w:val="0"/>
                <w:sz w:val="21"/>
                <w:szCs w:val="21"/>
                <w:lang w:eastAsia="zh-CN"/>
              </w:rPr>
              <w:t>益阳市资阳区人民政府</w:t>
            </w:r>
          </w:p>
        </w:tc>
        <w:tc>
          <w:tcPr>
            <w:tcW w:w="11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065"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cs="Times New Roman"/>
                <w:color w:val="000000"/>
                <w:kern w:val="0"/>
                <w:sz w:val="21"/>
                <w:szCs w:val="21"/>
                <w:lang w:eastAsia="zh-CN"/>
              </w:rPr>
              <w:t>益阳市资阳区市场监督管理局</w:t>
            </w:r>
          </w:p>
        </w:tc>
      </w:tr>
      <w:tr>
        <w:tblPrEx>
          <w:tblCellMar>
            <w:top w:w="0" w:type="dxa"/>
            <w:left w:w="108" w:type="dxa"/>
            <w:bottom w:w="0" w:type="dxa"/>
            <w:right w:w="108" w:type="dxa"/>
          </w:tblCellMar>
        </w:tblPrEx>
        <w:trPr>
          <w:trHeight w:val="405" w:hRule="atLeast"/>
          <w:jc w:val="center"/>
        </w:trPr>
        <w:tc>
          <w:tcPr>
            <w:tcW w:w="107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9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7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9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trHeight w:val="258" w:hRule="atLeast"/>
          <w:jc w:val="center"/>
        </w:trPr>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21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29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cs="Times New Roman"/>
                <w:color w:val="000000"/>
                <w:kern w:val="0"/>
                <w:sz w:val="21"/>
                <w:szCs w:val="21"/>
                <w:lang w:val="en-US" w:eastAsia="zh-CN"/>
              </w:rPr>
              <w:t>40</w:t>
            </w:r>
          </w:p>
        </w:tc>
        <w:tc>
          <w:tcPr>
            <w:tcW w:w="11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40</w:t>
            </w:r>
          </w:p>
        </w:tc>
        <w:tc>
          <w:tcPr>
            <w:tcW w:w="11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40</w:t>
            </w:r>
          </w:p>
        </w:tc>
        <w:tc>
          <w:tcPr>
            <w:tcW w:w="7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9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100%</w:t>
            </w:r>
          </w:p>
        </w:tc>
        <w:tc>
          <w:tcPr>
            <w:tcW w:w="13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100</w:t>
            </w:r>
          </w:p>
        </w:tc>
      </w:tr>
      <w:tr>
        <w:tblPrEx>
          <w:tblCellMar>
            <w:top w:w="0" w:type="dxa"/>
            <w:left w:w="108" w:type="dxa"/>
            <w:bottom w:w="0" w:type="dxa"/>
            <w:right w:w="108" w:type="dxa"/>
          </w:tblCellMar>
        </w:tblPrEx>
        <w:trPr>
          <w:trHeight w:val="255" w:hRule="atLeast"/>
          <w:jc w:val="center"/>
        </w:trPr>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21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29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cs="Times New Roman"/>
                <w:color w:val="000000"/>
                <w:kern w:val="0"/>
                <w:sz w:val="21"/>
                <w:szCs w:val="21"/>
                <w:lang w:val="en-US" w:eastAsia="zh-CN"/>
              </w:rPr>
              <w:t>40</w:t>
            </w:r>
          </w:p>
        </w:tc>
        <w:tc>
          <w:tcPr>
            <w:tcW w:w="11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40</w:t>
            </w:r>
          </w:p>
        </w:tc>
        <w:tc>
          <w:tcPr>
            <w:tcW w:w="11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40</w:t>
            </w:r>
          </w:p>
        </w:tc>
        <w:tc>
          <w:tcPr>
            <w:tcW w:w="7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p>
        </w:tc>
        <w:tc>
          <w:tcPr>
            <w:tcW w:w="9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21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29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7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25" w:hRule="atLeast"/>
          <w:jc w:val="center"/>
        </w:trPr>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21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29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eastAsia="zh-CN"/>
              </w:rPr>
            </w:pPr>
          </w:p>
        </w:tc>
        <w:tc>
          <w:tcPr>
            <w:tcW w:w="77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3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7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84"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19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4584"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一是完成食品安全检测任</w:t>
            </w:r>
            <w:r>
              <w:rPr>
                <w:rFonts w:hint="eastAsia" w:cs="Times New Roman"/>
                <w:color w:val="000000"/>
                <w:kern w:val="0"/>
                <w:sz w:val="21"/>
                <w:szCs w:val="21"/>
                <w:lang w:eastAsia="zh-CN"/>
              </w:rPr>
              <w:t xml:space="preserve">务，提高我区食品安全水平；二是提高食品合格率；三是切实提高食品安全应急处置能力，降低食品安全事故发生率。 </w:t>
            </w:r>
          </w:p>
        </w:tc>
        <w:tc>
          <w:tcPr>
            <w:tcW w:w="419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cs="Times New Roman"/>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rPr>
              <w:t>全区食品安全形势稳中向好，食品市场秩序明显好转，特别是未发生食品安全事故及重大负面舆情</w:t>
            </w:r>
            <w:r>
              <w:rPr>
                <w:rFonts w:hint="eastAsia" w:cs="Times New Roman"/>
                <w:color w:val="000000"/>
                <w:kern w:val="0"/>
                <w:sz w:val="21"/>
                <w:szCs w:val="21"/>
                <w:lang w:eastAsia="zh-CN"/>
              </w:rPr>
              <w:t>。</w:t>
            </w:r>
          </w:p>
        </w:tc>
      </w:tr>
      <w:tr>
        <w:tblPrEx>
          <w:tblCellMar>
            <w:top w:w="0" w:type="dxa"/>
            <w:left w:w="108" w:type="dxa"/>
            <w:bottom w:w="0" w:type="dxa"/>
            <w:right w:w="108" w:type="dxa"/>
          </w:tblCellMar>
        </w:tblPrEx>
        <w:trPr>
          <w:jc w:val="center"/>
        </w:trPr>
        <w:tc>
          <w:tcPr>
            <w:tcW w:w="1077"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6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1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7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7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7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11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restart"/>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w:t>
            </w:r>
            <w:r>
              <w:rPr>
                <w:rFonts w:ascii="Times New Roman" w:hAnsi="Times New Roman" w:eastAsia="仿宋_GB2312" w:cs="Times New Roman"/>
                <w:color w:val="000000"/>
                <w:kern w:val="0"/>
                <w:sz w:val="21"/>
                <w:szCs w:val="21"/>
              </w:rPr>
              <w:t>50分</w:t>
            </w:r>
            <w:r>
              <w:rPr>
                <w:rFonts w:hint="eastAsia" w:ascii="Times New Roman" w:hAnsi="Times New Roman" w:cs="Times New Roman"/>
                <w:color w:val="000000"/>
                <w:kern w:val="0"/>
                <w:sz w:val="21"/>
                <w:szCs w:val="21"/>
                <w:lang w:eastAsia="zh-CN"/>
              </w:rPr>
              <w:t>）</w:t>
            </w:r>
          </w:p>
        </w:tc>
        <w:tc>
          <w:tcPr>
            <w:tcW w:w="1145" w:type="dxa"/>
            <w:gridSpan w:val="2"/>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数量指标</w:t>
            </w: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开展</w:t>
            </w:r>
            <w:r>
              <w:rPr>
                <w:rFonts w:hint="eastAsia" w:cs="Times New Roman"/>
                <w:color w:val="000000"/>
                <w:kern w:val="0"/>
                <w:sz w:val="21"/>
                <w:szCs w:val="21"/>
                <w:lang w:eastAsia="zh-CN"/>
              </w:rPr>
              <w:t>食用农产品</w:t>
            </w:r>
            <w:r>
              <w:rPr>
                <w:rFonts w:hint="eastAsia" w:ascii="Times New Roman" w:hAnsi="Times New Roman" w:eastAsia="仿宋_GB2312" w:cs="Times New Roman"/>
                <w:color w:val="000000"/>
                <w:kern w:val="0"/>
                <w:sz w:val="21"/>
                <w:szCs w:val="21"/>
              </w:rPr>
              <w:t>抽检批次</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≥1000</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1103</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7</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145"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食品安全督查工作</w:t>
            </w:r>
            <w:r>
              <w:rPr>
                <w:rFonts w:hint="eastAsia" w:cs="Times New Roman"/>
                <w:color w:val="000000"/>
                <w:kern w:val="0"/>
                <w:sz w:val="21"/>
                <w:szCs w:val="21"/>
                <w:lang w:eastAsia="zh-CN"/>
              </w:rPr>
              <w:t>次数</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3000</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3180</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7</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145" w:type="dxa"/>
            <w:gridSpan w:val="2"/>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质量指标</w:t>
            </w: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投诉办结率</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100%</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6</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6</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145"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对抽检不合格食品的处置率</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100%</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6</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6</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145" w:type="dxa"/>
            <w:gridSpan w:val="2"/>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时效指标</w:t>
            </w: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年度抽查任务按时完成时间</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2022年12月31日</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按时</w:t>
            </w:r>
            <w:r>
              <w:rPr>
                <w:rFonts w:hint="eastAsia" w:ascii="Times New Roman" w:hAnsi="Times New Roman" w:cs="Times New Roman"/>
                <w:color w:val="000000"/>
                <w:kern w:val="0"/>
                <w:sz w:val="21"/>
                <w:szCs w:val="21"/>
                <w:lang w:val="en-US" w:eastAsia="zh-CN"/>
              </w:rPr>
              <w:t xml:space="preserve">  </w:t>
            </w:r>
            <w:r>
              <w:rPr>
                <w:rFonts w:hint="eastAsia" w:ascii="Times New Roman" w:hAnsi="Times New Roman" w:cs="Times New Roman"/>
                <w:color w:val="000000"/>
                <w:kern w:val="0"/>
                <w:sz w:val="21"/>
                <w:szCs w:val="21"/>
                <w:lang w:eastAsia="zh-CN"/>
              </w:rPr>
              <w:t>完成</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6</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6</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145"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工作整体完成时间</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2022年12月31日</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按时</w:t>
            </w:r>
            <w:r>
              <w:rPr>
                <w:rFonts w:hint="eastAsia" w:ascii="Times New Roman" w:hAnsi="Times New Roman" w:cs="Times New Roman"/>
                <w:color w:val="000000"/>
                <w:kern w:val="0"/>
                <w:sz w:val="21"/>
                <w:szCs w:val="21"/>
                <w:lang w:val="en-US" w:eastAsia="zh-CN"/>
              </w:rPr>
              <w:t xml:space="preserve">  </w:t>
            </w:r>
            <w:r>
              <w:rPr>
                <w:rFonts w:hint="eastAsia" w:ascii="Times New Roman" w:hAnsi="Times New Roman" w:cs="Times New Roman"/>
                <w:color w:val="000000"/>
                <w:kern w:val="0"/>
                <w:sz w:val="21"/>
                <w:szCs w:val="21"/>
                <w:lang w:eastAsia="zh-CN"/>
              </w:rPr>
              <w:t>完成</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6</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6</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145" w:type="dxa"/>
            <w:gridSpan w:val="2"/>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成本指标</w:t>
            </w: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抽检任务每批次抽检成本</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400</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元/批次</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约</w:t>
            </w:r>
            <w:r>
              <w:rPr>
                <w:rFonts w:hint="eastAsia" w:ascii="Times New Roman" w:hAnsi="Times New Roman" w:cs="Times New Roman"/>
                <w:color w:val="000000"/>
                <w:kern w:val="0"/>
                <w:sz w:val="21"/>
                <w:szCs w:val="21"/>
                <w:lang w:val="en-US" w:eastAsia="zh-CN"/>
              </w:rPr>
              <w:t>362.65</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6</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6</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45"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cs="Times New Roman"/>
                <w:color w:val="000000"/>
                <w:kern w:val="0"/>
                <w:sz w:val="21"/>
                <w:szCs w:val="21"/>
                <w:lang w:eastAsia="zh-CN"/>
              </w:rPr>
              <w:t>人员经费</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合理</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合理</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6</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5</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jc w:val="left"/>
              <w:rPr>
                <w:rFonts w:ascii="Times New Roman" w:hAnsi="Times New Roman" w:eastAsia="仿宋_GB2312" w:cs="Times New Roman"/>
                <w:color w:val="000000"/>
                <w:kern w:val="0"/>
                <w:sz w:val="21"/>
                <w:szCs w:val="21"/>
              </w:rPr>
            </w:pP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center"/>
              <w:rPr>
                <w:rFonts w:ascii="Times New Roman" w:hAnsi="Times New Roman" w:eastAsia="仿宋_GB2312" w:cs="Times New Roman"/>
                <w:color w:val="000000"/>
                <w:kern w:val="0"/>
                <w:sz w:val="21"/>
                <w:szCs w:val="21"/>
              </w:rPr>
            </w:pPr>
          </w:p>
        </w:tc>
        <w:tc>
          <w:tcPr>
            <w:tcW w:w="114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经济效益指标</w:t>
            </w: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优化资源配置，提高专项资金使用效益。</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持续优化</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持续</w:t>
            </w:r>
            <w:r>
              <w:rPr>
                <w:rFonts w:hint="eastAsia" w:ascii="Times New Roman" w:hAnsi="Times New Roman" w:cs="Times New Roman"/>
                <w:color w:val="000000"/>
                <w:kern w:val="0"/>
                <w:sz w:val="21"/>
                <w:szCs w:val="21"/>
                <w:lang w:val="en-US" w:eastAsia="zh-CN"/>
              </w:rPr>
              <w:t xml:space="preserve">  </w:t>
            </w:r>
            <w:r>
              <w:rPr>
                <w:rFonts w:hint="eastAsia" w:ascii="Times New Roman" w:hAnsi="Times New Roman" w:cs="Times New Roman"/>
                <w:color w:val="000000"/>
                <w:kern w:val="0"/>
                <w:sz w:val="21"/>
                <w:szCs w:val="21"/>
                <w:lang w:eastAsia="zh-CN"/>
              </w:rPr>
              <w:t>优化</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7</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145"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社会效益指标</w:t>
            </w: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保障食品安全、推动食品消费环境持续向好</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持续优化</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持续</w:t>
            </w:r>
            <w:r>
              <w:rPr>
                <w:rFonts w:hint="eastAsia" w:ascii="Times New Roman" w:hAnsi="Times New Roman" w:cs="Times New Roman"/>
                <w:color w:val="000000"/>
                <w:kern w:val="0"/>
                <w:sz w:val="21"/>
                <w:szCs w:val="21"/>
                <w:lang w:val="en-US" w:eastAsia="zh-CN"/>
              </w:rPr>
              <w:t xml:space="preserve">  </w:t>
            </w:r>
            <w:r>
              <w:rPr>
                <w:rFonts w:hint="eastAsia" w:ascii="Times New Roman" w:hAnsi="Times New Roman" w:cs="Times New Roman"/>
                <w:color w:val="000000"/>
                <w:kern w:val="0"/>
                <w:sz w:val="21"/>
                <w:szCs w:val="21"/>
                <w:lang w:eastAsia="zh-CN"/>
              </w:rPr>
              <w:t>优化</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6</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5</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145"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降低损害消费者经济利益和资源浪费</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降低损害</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降低</w:t>
            </w:r>
            <w:r>
              <w:rPr>
                <w:rFonts w:hint="eastAsia" w:ascii="Times New Roman" w:hAnsi="Times New Roman" w:cs="Times New Roman"/>
                <w:color w:val="000000"/>
                <w:kern w:val="0"/>
                <w:sz w:val="21"/>
                <w:szCs w:val="21"/>
                <w:lang w:val="en-US" w:eastAsia="zh-CN"/>
              </w:rPr>
              <w:t xml:space="preserve">  </w:t>
            </w:r>
            <w:r>
              <w:rPr>
                <w:rFonts w:hint="eastAsia" w:ascii="Times New Roman" w:hAnsi="Times New Roman" w:cs="Times New Roman"/>
                <w:color w:val="000000"/>
                <w:kern w:val="0"/>
                <w:sz w:val="21"/>
                <w:szCs w:val="21"/>
                <w:lang w:eastAsia="zh-CN"/>
              </w:rPr>
              <w:t>损害</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6</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6</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4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可持续影响指标</w:t>
            </w:r>
          </w:p>
        </w:tc>
        <w:tc>
          <w:tcPr>
            <w:tcW w:w="1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食品安全事件应急处置能力</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持续提高</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持续</w:t>
            </w:r>
            <w:r>
              <w:rPr>
                <w:rFonts w:hint="eastAsia" w:ascii="Times New Roman" w:hAnsi="Times New Roman" w:cs="Times New Roman"/>
                <w:color w:val="000000"/>
                <w:kern w:val="0"/>
                <w:sz w:val="21"/>
                <w:szCs w:val="21"/>
                <w:lang w:val="en-US" w:eastAsia="zh-CN"/>
              </w:rPr>
              <w:t xml:space="preserve">  </w:t>
            </w:r>
            <w:r>
              <w:rPr>
                <w:rFonts w:hint="eastAsia" w:ascii="Times New Roman" w:hAnsi="Times New Roman" w:cs="Times New Roman"/>
                <w:color w:val="000000"/>
                <w:kern w:val="0"/>
                <w:sz w:val="21"/>
                <w:szCs w:val="21"/>
                <w:lang w:eastAsia="zh-CN"/>
              </w:rPr>
              <w:t>提高</w:t>
            </w:r>
          </w:p>
        </w:tc>
        <w:tc>
          <w:tcPr>
            <w:tcW w:w="7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6</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trHeight w:val="448" w:hRule="atLeast"/>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4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p>
        </w:tc>
        <w:tc>
          <w:tcPr>
            <w:tcW w:w="177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持续提升食</w:t>
            </w:r>
            <w:r>
              <w:rPr>
                <w:rFonts w:hint="eastAsia" w:cs="Times New Roman"/>
                <w:color w:val="000000"/>
                <w:kern w:val="0"/>
                <w:sz w:val="21"/>
                <w:szCs w:val="21"/>
                <w:lang w:eastAsia="zh-CN"/>
              </w:rPr>
              <w:t>用农产</w:t>
            </w:r>
            <w:r>
              <w:rPr>
                <w:rFonts w:hint="eastAsia" w:ascii="Times New Roman" w:hAnsi="Times New Roman" w:eastAsia="仿宋_GB2312" w:cs="Times New Roman"/>
                <w:color w:val="000000"/>
                <w:kern w:val="0"/>
                <w:sz w:val="21"/>
                <w:szCs w:val="21"/>
              </w:rPr>
              <w:t>品流通安全监管能力和水平</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持续提升</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持续</w:t>
            </w:r>
            <w:r>
              <w:rPr>
                <w:rFonts w:hint="eastAsia" w:ascii="Times New Roman" w:hAnsi="Times New Roman" w:cs="Times New Roman"/>
                <w:color w:val="000000"/>
                <w:kern w:val="0"/>
                <w:sz w:val="21"/>
                <w:szCs w:val="21"/>
                <w:lang w:val="en-US" w:eastAsia="zh-CN"/>
              </w:rPr>
              <w:t xml:space="preserve">  </w:t>
            </w:r>
            <w:r>
              <w:rPr>
                <w:rFonts w:hint="eastAsia" w:ascii="Times New Roman" w:hAnsi="Times New Roman" w:cs="Times New Roman"/>
                <w:color w:val="000000"/>
                <w:kern w:val="0"/>
                <w:sz w:val="21"/>
                <w:szCs w:val="21"/>
                <w:lang w:eastAsia="zh-CN"/>
              </w:rPr>
              <w:t>提升</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7</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145"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服务对象满意度指标</w:t>
            </w:r>
          </w:p>
        </w:tc>
        <w:tc>
          <w:tcPr>
            <w:tcW w:w="1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公众满意度</w:t>
            </w:r>
          </w:p>
        </w:tc>
        <w:tc>
          <w:tcPr>
            <w:tcW w:w="1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90%</w:t>
            </w:r>
          </w:p>
        </w:tc>
        <w:tc>
          <w:tcPr>
            <w:tcW w:w="10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92%</w:t>
            </w:r>
          </w:p>
        </w:tc>
        <w:tc>
          <w:tcPr>
            <w:tcW w:w="7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7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　</w:t>
            </w:r>
            <w:r>
              <w:rPr>
                <w:rFonts w:hint="eastAsia" w:ascii="Times New Roman" w:hAnsi="Times New Roman" w:cs="Times New Roman"/>
                <w:color w:val="000000"/>
                <w:kern w:val="0"/>
                <w:sz w:val="21"/>
                <w:szCs w:val="21"/>
                <w:lang w:val="en-US" w:eastAsia="zh-CN"/>
              </w:rPr>
              <w:t>7</w:t>
            </w:r>
          </w:p>
        </w:tc>
        <w:tc>
          <w:tcPr>
            <w:tcW w:w="11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　</w:t>
            </w:r>
          </w:p>
        </w:tc>
      </w:tr>
      <w:tr>
        <w:tblPrEx>
          <w:tblCellMar>
            <w:top w:w="0" w:type="dxa"/>
            <w:left w:w="108" w:type="dxa"/>
            <w:bottom w:w="0" w:type="dxa"/>
            <w:right w:w="108" w:type="dxa"/>
          </w:tblCellMar>
        </w:tblPrEx>
        <w:trPr>
          <w:jc w:val="center"/>
        </w:trPr>
        <w:tc>
          <w:tcPr>
            <w:tcW w:w="7221" w:type="dxa"/>
            <w:gridSpan w:val="10"/>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795" w:type="dxa"/>
            <w:gridSpan w:val="2"/>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72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cs="Times New Roman"/>
                <w:color w:val="000000"/>
                <w:kern w:val="0"/>
                <w:sz w:val="21"/>
                <w:szCs w:val="21"/>
                <w:lang w:val="en-US" w:eastAsia="zh-CN"/>
              </w:rPr>
              <w:t>97</w:t>
            </w:r>
          </w:p>
        </w:tc>
        <w:tc>
          <w:tcPr>
            <w:tcW w:w="111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pStyle w:val="8"/>
        <w:ind w:left="0" w:leftChars="0" w:firstLine="0" w:firstLineChars="0"/>
        <w:jc w:val="both"/>
        <w:rPr>
          <w:rFonts w:hint="eastAsia"/>
          <w:lang w:eastAsia="zh-CN"/>
        </w:rPr>
      </w:pPr>
      <w:r>
        <w:rPr>
          <w:rFonts w:ascii="Times New Roman" w:hAnsi="Times New Roman" w:eastAsia="仿宋_GB2312" w:cs="Times New Roman"/>
          <w:kern w:val="0"/>
          <w:sz w:val="21"/>
          <w:szCs w:val="21"/>
        </w:rPr>
        <w:t>填表人：</w:t>
      </w:r>
      <w:r>
        <w:rPr>
          <w:rFonts w:hint="eastAsia" w:cs="Times New Roman"/>
          <w:kern w:val="0"/>
          <w:sz w:val="21"/>
          <w:szCs w:val="21"/>
          <w:lang w:eastAsia="zh-CN"/>
        </w:rPr>
        <w:t>郭佳</w:t>
      </w:r>
      <w:r>
        <w:rPr>
          <w:rFonts w:ascii="Times New Roman" w:hAnsi="Times New Roman" w:eastAsia="仿宋_GB2312" w:cs="Times New Roman"/>
          <w:kern w:val="0"/>
          <w:sz w:val="21"/>
          <w:szCs w:val="21"/>
        </w:rPr>
        <w:t xml:space="preserve">   填报日期：</w:t>
      </w:r>
      <w:r>
        <w:rPr>
          <w:rFonts w:hint="eastAsia" w:cs="Times New Roman"/>
          <w:kern w:val="0"/>
          <w:sz w:val="21"/>
          <w:szCs w:val="21"/>
          <w:lang w:val="en-US" w:eastAsia="zh-CN"/>
        </w:rPr>
        <w:t>2023.4.18</w:t>
      </w:r>
      <w:r>
        <w:rPr>
          <w:rFonts w:ascii="Times New Roman" w:hAnsi="Times New Roman" w:eastAsia="仿宋_GB2312" w:cs="Times New Roman"/>
          <w:kern w:val="0"/>
          <w:sz w:val="21"/>
          <w:szCs w:val="21"/>
        </w:rPr>
        <w:t xml:space="preserve">  联系电话：</w:t>
      </w:r>
      <w:r>
        <w:rPr>
          <w:rFonts w:hint="eastAsia" w:cs="Times New Roman"/>
          <w:kern w:val="0"/>
          <w:sz w:val="21"/>
          <w:szCs w:val="21"/>
          <w:lang w:val="en-US" w:eastAsia="zh-CN"/>
        </w:rPr>
        <w:t>13875348305</w:t>
      </w:r>
      <w:r>
        <w:rPr>
          <w:rFonts w:ascii="Times New Roman" w:hAnsi="Times New Roman" w:eastAsia="仿宋_GB2312" w:cs="Times New Roman"/>
          <w:kern w:val="0"/>
          <w:sz w:val="21"/>
          <w:szCs w:val="21"/>
        </w:rPr>
        <w:t xml:space="preserve">  单位负责人签字：</w:t>
      </w:r>
    </w:p>
    <w:sectPr>
      <w:pgSz w:w="11906" w:h="16838"/>
      <w:pgMar w:top="1928" w:right="1531" w:bottom="1134" w:left="1531" w:header="737" w:footer="850" w:gutter="0"/>
      <w:paperSrc/>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Aharoni">
    <w:panose1 w:val="02010803020104030203"/>
    <w:charset w:val="00"/>
    <w:family w:val="auto"/>
    <w:pitch w:val="default"/>
    <w:sig w:usb0="00000801" w:usb1="00000000" w:usb2="00000000" w:usb3="00000000" w:csb0="00000020" w:csb1="002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318C7"/>
    <w:multiLevelType w:val="singleLevel"/>
    <w:tmpl w:val="F4F318C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NzI3OWE0YThjNWMyYWUzZTk4YjJjZDRjZGU4OTcifQ=="/>
  </w:docVars>
  <w:rsids>
    <w:rsidRoot w:val="1F3F2ABD"/>
    <w:rsid w:val="09D6300F"/>
    <w:rsid w:val="118B0F65"/>
    <w:rsid w:val="1D9C4804"/>
    <w:rsid w:val="1F3F2ABD"/>
    <w:rsid w:val="41A95ADB"/>
    <w:rsid w:val="47EA5D49"/>
    <w:rsid w:val="48223734"/>
    <w:rsid w:val="5805028A"/>
    <w:rsid w:val="5D0C5100"/>
    <w:rsid w:val="62EF0E65"/>
    <w:rsid w:val="6C1B73BF"/>
    <w:rsid w:val="725770F5"/>
    <w:rsid w:val="7BAB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style>
  <w:style w:type="paragraph" w:styleId="3">
    <w:name w:val="Body Text Indent"/>
    <w:basedOn w:val="1"/>
    <w:qFormat/>
    <w:uiPriority w:val="0"/>
    <w:pPr>
      <w:ind w:firstLine="632" w:firstLine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新正文"/>
    <w:basedOn w:val="1"/>
    <w:qFormat/>
    <w:uiPriority w:val="99"/>
    <w:pPr>
      <w:spacing w:line="600" w:lineRule="exact"/>
      <w:ind w:firstLine="880"/>
      <w:contextualSpacing/>
    </w:pPr>
  </w:style>
  <w:style w:type="paragraph" w:customStyle="1" w:styleId="9">
    <w:name w:val="Table Paragraph"/>
    <w:basedOn w:val="1"/>
    <w:qFormat/>
    <w:uiPriority w:val="0"/>
    <w:rPr>
      <w:rFonts w:ascii="等线" w:hAnsi="等线" w:cs="等线"/>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2565</Words>
  <Characters>2680</Characters>
  <Lines>0</Lines>
  <Paragraphs>0</Paragraphs>
  <TotalTime>6</TotalTime>
  <ScaleCrop>false</ScaleCrop>
  <LinksUpToDate>false</LinksUpToDate>
  <CharactersWithSpaces>2810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2022-09-21T07:36:00Z</dcterms:created>
  <dc:creator>Administrator</dc:creator>
  <cp:lastModifiedBy>莹莹莹</cp:lastModifiedBy>
  <cp:lastPrinted>2023-04-18T08:08:23Z</cp:lastPrinted>
  <dcterms:modified xsi:type="dcterms:W3CDTF">2023-04-18T08:09:38Z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A142B89763F044B19CD225F2FC03E59C_13</vt:lpwstr>
  </property>
</Properties>
</file>