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36"/>
          <w:szCs w:val="36"/>
        </w:rPr>
      </w:pPr>
      <w:r>
        <w:rPr>
          <w:rFonts w:hint="eastAsia" w:ascii="Times New Roman" w:hAnsi="Times New Roman" w:eastAsia="方正小标宋_GBK" w:cs="Times New Roman"/>
          <w:sz w:val="36"/>
          <w:szCs w:val="36"/>
          <w:lang w:val="en-US" w:eastAsia="zh-CN"/>
        </w:rPr>
        <w:t>2022年度代表工作站</w:t>
      </w:r>
      <w:r>
        <w:rPr>
          <w:rFonts w:hint="eastAsia" w:ascii="Times New Roman" w:hAnsi="Times New Roman" w:eastAsia="方正小标宋_GBK" w:cs="Times New Roman"/>
          <w:sz w:val="36"/>
          <w:szCs w:val="36"/>
          <w:lang w:eastAsia="zh-CN"/>
        </w:rPr>
        <w:t>项目资金</w:t>
      </w:r>
      <w:r>
        <w:rPr>
          <w:rFonts w:ascii="Times New Roman" w:hAnsi="Times New Roman" w:eastAsia="方正小标宋_GBK" w:cs="Times New Roman"/>
          <w:sz w:val="36"/>
          <w:szCs w:val="36"/>
        </w:rPr>
        <w:t>绩效</w:t>
      </w:r>
      <w:r>
        <w:rPr>
          <w:rFonts w:hint="eastAsia" w:ascii="Times New Roman" w:hAnsi="Times New Roman" w:eastAsia="方正小标宋_GBK" w:cs="Times New Roman"/>
          <w:sz w:val="36"/>
          <w:szCs w:val="36"/>
          <w:lang w:eastAsia="zh-CN"/>
        </w:rPr>
        <w:t>自评</w:t>
      </w:r>
      <w:r>
        <w:rPr>
          <w:rFonts w:ascii="Times New Roman" w:hAnsi="Times New Roman" w:eastAsia="方正小标宋_GBK" w:cs="Times New Roman"/>
          <w:sz w:val="36"/>
          <w:szCs w:val="36"/>
        </w:rPr>
        <w:t>报告</w:t>
      </w:r>
    </w:p>
    <w:p>
      <w:pPr>
        <w:adjustRightInd w:val="0"/>
        <w:spacing w:line="600" w:lineRule="exact"/>
        <w:ind w:right="641"/>
        <w:rPr>
          <w:rFonts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黑体" w:hAnsi="黑体" w:eastAsia="黑体" w:cs="黑体"/>
          <w:sz w:val="32"/>
          <w:szCs w:val="32"/>
        </w:rPr>
      </w:pPr>
      <w:r>
        <w:rPr>
          <w:rFonts w:hint="eastAsia" w:ascii="黑体" w:hAnsi="黑体" w:eastAsia="黑体" w:cs="黑体"/>
          <w:sz w:val="32"/>
          <w:szCs w:val="32"/>
        </w:rPr>
        <w:t>一、项目概况</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(一)基本原则</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全员进站、合理编组原则。以所在地的县、乡两级人大代表为基础，将全市各级人大代表依据选举单位和工作、生活地城等情况，合理编组进入代表联络站开展活动。</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分级建设、方便联系原则。构建以代表中心联络站为核心、片区联络点为补充的立体联系网络，方便近距离听取群众意见。</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实用实效、因地制宜原则。代表联络站建设提倡实事求是，不强求“千篇一律”，不搞形式化。</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)建设重点</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完善代表中心联络站。各乡镇、街道在原有基础上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按照“六有”规范进一步完善代表中心联络站，即有工作场所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有标牌标识、有公示信息、有工作制度、有工作计划、有台账记录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w:t>
      </w:r>
      <w:r>
        <w:rPr>
          <w:rFonts w:hint="eastAsia" w:ascii="仿宋_GB2312" w:hAnsi="仿宋_GB2312" w:cs="仿宋_GB2312"/>
          <w:sz w:val="32"/>
          <w:szCs w:val="32"/>
          <w:lang w:eastAsia="zh-CN"/>
        </w:rPr>
        <w:t>区</w:t>
      </w:r>
      <w:r>
        <w:rPr>
          <w:rFonts w:hint="eastAsia" w:ascii="仿宋_GB2312" w:hAnsi="仿宋_GB2312" w:eastAsia="仿宋_GB2312" w:cs="仿宋_GB2312"/>
          <w:sz w:val="32"/>
          <w:szCs w:val="32"/>
        </w:rPr>
        <w:t>各级人大代表均编组进入代表中心联络站</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设立代表片区联络点。在村(居)民居住较为集中的村、社区、小区设立若</w:t>
      </w:r>
      <w:r>
        <w:rPr>
          <w:rFonts w:hint="eastAsia" w:ascii="仿宋_GB2312" w:hAnsi="仿宋_GB2312" w:cs="仿宋_GB2312"/>
          <w:sz w:val="32"/>
          <w:szCs w:val="32"/>
          <w:lang w:eastAsia="zh-CN"/>
        </w:rPr>
        <w:t>干</w:t>
      </w:r>
      <w:r>
        <w:rPr>
          <w:rFonts w:hint="eastAsia" w:ascii="仿宋_GB2312" w:hAnsi="仿宋_GB2312" w:eastAsia="仿宋_GB2312" w:cs="仿宋_GB2312"/>
          <w:sz w:val="32"/>
          <w:szCs w:val="32"/>
        </w:rPr>
        <w:t>个代表片区联络点，中心联络站的代表根据统一安排或自身实际情况，到片区联络点开展活动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密切与群众的联系。</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打造示范性联络站点。结合各地实际，打造2-3个示范性的代表中心联络站和片区联络点,发挥标杆引领和示范带动作用，促进代表联络站点规范化建设。</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)运行使用</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明确代表联络站的作用。代表联络站作为代表联系人民群众的主阵地，主要为代表定期接待、走访调研、座谈交流、履职学习、政策宣传、民生实事项目征集、报告履职情况等提供活动场所。</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健全代表联络站的运行制度。区人大联工委要建立健全代表联络站的管理、活动、学习</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联系选民、接待群众、述职评议、意见处理反馈、台账记录归档等制度，确保代表联络站规范运行、发挥作用。</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黑体" w:hAnsi="黑体" w:eastAsia="黑体" w:cs="黑体"/>
          <w:sz w:val="32"/>
          <w:szCs w:val="32"/>
          <w:lang w:eastAsia="zh-CN"/>
        </w:rPr>
      </w:pPr>
      <w:r>
        <w:rPr>
          <w:rFonts w:hint="eastAsia" w:ascii="黑体" w:hAnsi="黑体" w:eastAsia="黑体" w:cs="黑体"/>
          <w:sz w:val="32"/>
          <w:szCs w:val="32"/>
        </w:rPr>
        <w:t>二、</w:t>
      </w:r>
      <w:r>
        <w:rPr>
          <w:rFonts w:hint="eastAsia" w:ascii="黑体" w:hAnsi="黑体" w:eastAsia="黑体" w:cs="黑体"/>
          <w:sz w:val="32"/>
          <w:szCs w:val="32"/>
          <w:lang w:eastAsia="zh-CN"/>
        </w:rPr>
        <w:t>绩效自评工作开展情况</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绩效评价目的</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本次绩效评价目的是为了为深入贯彻落实</w:t>
      </w:r>
      <w:r>
        <w:rPr>
          <w:rFonts w:hint="eastAsia" w:ascii="仿宋_GB2312" w:hAnsi="仿宋_GB2312" w:cs="仿宋_GB2312"/>
          <w:sz w:val="32"/>
          <w:szCs w:val="32"/>
          <w:lang w:eastAsia="zh-CN"/>
        </w:rPr>
        <w:t>《中华人民共和国</w:t>
      </w:r>
      <w:r>
        <w:rPr>
          <w:rFonts w:hint="eastAsia" w:ascii="仿宋_GB2312" w:hAnsi="仿宋_GB2312" w:eastAsia="仿宋_GB2312" w:cs="仿宋_GB2312"/>
          <w:sz w:val="32"/>
          <w:szCs w:val="32"/>
          <w:lang w:eastAsia="zh-CN"/>
        </w:rPr>
        <w:t>地方</w:t>
      </w:r>
      <w:r>
        <w:rPr>
          <w:rFonts w:hint="eastAsia" w:ascii="仿宋_GB2312" w:hAnsi="仿宋_GB2312" w:cs="仿宋_GB2312"/>
          <w:sz w:val="32"/>
          <w:szCs w:val="32"/>
          <w:lang w:eastAsia="zh-CN"/>
        </w:rPr>
        <w:t>各级人民代表大会和地方各级人民政府</w:t>
      </w:r>
      <w:r>
        <w:rPr>
          <w:rFonts w:hint="eastAsia" w:ascii="仿宋_GB2312" w:hAnsi="仿宋_GB2312" w:eastAsia="仿宋_GB2312" w:cs="仿宋_GB2312"/>
          <w:sz w:val="32"/>
          <w:szCs w:val="32"/>
          <w:lang w:eastAsia="zh-CN"/>
        </w:rPr>
        <w:t>组织法</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要求和中央人大工作会议精神，进一步加强人大代表同人民群众的联系。强化支出责任，客观、公正的评价财政资金使用、项目的实施、制度的建设和取得的成效，总结经验，发现问题，提出改进的意见和建议。</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绩效评价原则</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eastAsia="zh-CN"/>
        </w:rPr>
        <w:t>科学规范原则。绩效评价应当严格执行规定程序，按照科学可行的要求，采取定量与定性分析相结合的方法。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eastAsia="zh-CN"/>
        </w:rPr>
        <w:t>公正公开原则。绩效评价应当符合真实、客观、公正的要求，依法公开接受监督。</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eastAsia="zh-CN"/>
        </w:rPr>
        <w:t>分级分类原则。绩效评价要根据评价对象的特点分类组织实施。</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绩效相关原则。绩效评价应当针对具体支出及其产出绩效进行，评价结果应当清晰反应支出和产出绩效之间的紧密对应关系。</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lang w:eastAsia="zh-CN"/>
        </w:rPr>
        <w:t>绩效评价方法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评价应由购买主体、服务对象及第三方组成的综合性评审机制，对购买服务数量、质量和资金使用绩效等进行考核评审。坚持过程评审与结果评审、短期效果评审与长远效果评审、社会效益评审与经济效益评审相结合，确保评审工作的全面性、客观性和科学性。评价工作小组应坚持简便有效的原则，根据实际情况，采用一种或多种方法进行绩效评价。</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自评采用定量与定性评价相结合的比较法。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val="en-US" w:eastAsia="zh-CN"/>
        </w:rPr>
        <w:t>（四）</w:t>
      </w:r>
      <w:r>
        <w:rPr>
          <w:rFonts w:hint="eastAsia" w:ascii="楷体_GB2312" w:hAnsi="楷体_GB2312" w:eastAsia="楷体_GB2312" w:cs="楷体_GB2312"/>
          <w:b/>
          <w:bCs/>
          <w:sz w:val="32"/>
          <w:szCs w:val="32"/>
          <w:lang w:eastAsia="zh-CN"/>
        </w:rPr>
        <w:t>绩效评价工作过程</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充分认识财政支出项目绩效评价工作的重要和必要性，加强组织领导，落实项目自评工作具体工作人员，深入实地调查、收集整理相关基础数据，落实项目实施、运行及资金使用情况，并对所有数据材料进行汇总、分析，形成绩效自评报告。</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黑体" w:hAnsi="黑体" w:eastAsia="黑体" w:cs="黑体"/>
          <w:sz w:val="32"/>
          <w:szCs w:val="32"/>
          <w:lang w:eastAsia="zh-CN"/>
        </w:rPr>
      </w:pPr>
      <w:r>
        <w:rPr>
          <w:rFonts w:hint="eastAsia" w:ascii="黑体" w:hAnsi="黑体" w:eastAsia="黑体" w:cs="黑体"/>
          <w:sz w:val="32"/>
          <w:szCs w:val="32"/>
        </w:rPr>
        <w:t>三、</w:t>
      </w:r>
      <w:r>
        <w:rPr>
          <w:rFonts w:hint="eastAsia" w:ascii="黑体" w:hAnsi="黑体" w:eastAsia="黑体" w:cs="黑体"/>
          <w:sz w:val="32"/>
          <w:szCs w:val="32"/>
          <w:lang w:eastAsia="zh-CN"/>
        </w:rPr>
        <w:t>综合评价结论</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w:t>
      </w:r>
      <w:r>
        <w:rPr>
          <w:rFonts w:hint="eastAsia" w:ascii="仿宋_GB2312" w:hAnsi="仿宋_GB2312" w:eastAsia="仿宋_GB2312" w:cs="仿宋_GB2312"/>
          <w:sz w:val="32"/>
          <w:szCs w:val="32"/>
        </w:rPr>
        <w:t>自评结论</w:t>
      </w:r>
      <w:r>
        <w:rPr>
          <w:rFonts w:hint="eastAsia" w:ascii="仿宋_GB2312" w:hAnsi="仿宋_GB2312" w:eastAsia="仿宋_GB2312" w:cs="仿宋_GB2312"/>
          <w:sz w:val="32"/>
          <w:szCs w:val="32"/>
          <w:lang w:eastAsia="zh-CN"/>
        </w:rPr>
        <w:t>认为该项目绩效评价等次为优秀,得</w:t>
      </w:r>
      <w:r>
        <w:rPr>
          <w:rFonts w:hint="eastAsia" w:ascii="仿宋_GB2312" w:hAnsi="仿宋_GB2312" w:eastAsia="仿宋_GB2312" w:cs="仿宋_GB2312"/>
          <w:color w:val="auto"/>
          <w:sz w:val="32"/>
          <w:szCs w:val="32"/>
          <w:lang w:eastAsia="zh-CN"/>
        </w:rPr>
        <w:t>分</w:t>
      </w:r>
      <w:r>
        <w:rPr>
          <w:rFonts w:hint="eastAsia" w:ascii="仿宋_GB2312" w:hAnsi="仿宋_GB2312" w:eastAsia="仿宋_GB2312" w:cs="仿宋_GB2312"/>
          <w:color w:val="auto"/>
          <w:sz w:val="32"/>
          <w:szCs w:val="32"/>
          <w:highlight w:val="none"/>
          <w:lang w:eastAsia="zh-CN"/>
        </w:rPr>
        <w:t>9</w:t>
      </w:r>
      <w:r>
        <w:rPr>
          <w:rFonts w:hint="eastAsia" w:ascii="仿宋_GB2312" w:hAnsi="仿宋_GB2312" w:eastAsia="仿宋_GB2312" w:cs="仿宋_GB2312"/>
          <w:color w:val="auto"/>
          <w:sz w:val="32"/>
          <w:szCs w:val="32"/>
          <w:highlight w:val="none"/>
          <w:lang w:val="en-US" w:eastAsia="zh-CN"/>
        </w:rPr>
        <w:t>9.95</w:t>
      </w:r>
      <w:r>
        <w:rPr>
          <w:rFonts w:hint="eastAsia" w:ascii="仿宋_GB2312" w:hAnsi="仿宋_GB2312" w:eastAsia="仿宋_GB2312" w:cs="仿宋_GB2312"/>
          <w:sz w:val="32"/>
          <w:szCs w:val="32"/>
          <w:lang w:eastAsia="zh-CN"/>
        </w:rPr>
        <w:t>分。</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四、绩效目标实现情况分析</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（一）项目资金使用及管理情况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项目资金安排落实、总投入等情况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预算情况如下：</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资金总额-年初预算数</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600000</w:t>
      </w:r>
      <w:r>
        <w:rPr>
          <w:rFonts w:hint="eastAsia" w:ascii="仿宋_GB2312" w:hAnsi="仿宋_GB2312" w:eastAsia="仿宋_GB2312" w:cs="仿宋_GB2312"/>
          <w:i w:val="0"/>
          <w:iCs w:val="0"/>
          <w:caps w:val="0"/>
          <w:color w:val="000000"/>
          <w:spacing w:val="0"/>
          <w:sz w:val="32"/>
          <w:szCs w:val="32"/>
          <w:shd w:val="clear" w:fill="FFFFFF"/>
          <w:vertAlign w:val="baseline"/>
        </w:rPr>
        <w:t>元，资金总额-全年预算数</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600000</w:t>
      </w:r>
      <w:r>
        <w:rPr>
          <w:rFonts w:hint="eastAsia" w:ascii="仿宋_GB2312" w:hAnsi="仿宋_GB2312" w:eastAsia="仿宋_GB2312" w:cs="仿宋_GB2312"/>
          <w:i w:val="0"/>
          <w:iCs w:val="0"/>
          <w:caps w:val="0"/>
          <w:color w:val="000000"/>
          <w:spacing w:val="0"/>
          <w:sz w:val="32"/>
          <w:szCs w:val="32"/>
          <w:shd w:val="clear" w:fill="FFFFFF"/>
          <w:vertAlign w:val="baseline"/>
        </w:rPr>
        <w:t>元；</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财政资金-年初预算数</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600000</w:t>
      </w:r>
      <w:r>
        <w:rPr>
          <w:rFonts w:hint="eastAsia" w:ascii="仿宋_GB2312" w:hAnsi="仿宋_GB2312" w:eastAsia="仿宋_GB2312" w:cs="仿宋_GB2312"/>
          <w:i w:val="0"/>
          <w:iCs w:val="0"/>
          <w:caps w:val="0"/>
          <w:color w:val="000000"/>
          <w:spacing w:val="0"/>
          <w:sz w:val="32"/>
          <w:szCs w:val="32"/>
          <w:shd w:val="clear" w:fill="FFFFFF"/>
          <w:vertAlign w:val="baseline"/>
        </w:rPr>
        <w:t>元财政资金-全年预算数</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600000</w:t>
      </w:r>
      <w:r>
        <w:rPr>
          <w:rFonts w:hint="eastAsia" w:ascii="仿宋_GB2312" w:hAnsi="仿宋_GB2312" w:eastAsia="仿宋_GB2312" w:cs="仿宋_GB2312"/>
          <w:i w:val="0"/>
          <w:iCs w:val="0"/>
          <w:caps w:val="0"/>
          <w:color w:val="000000"/>
          <w:spacing w:val="0"/>
          <w:sz w:val="32"/>
          <w:szCs w:val="32"/>
          <w:shd w:val="clear" w:fill="FFFFFF"/>
          <w:vertAlign w:val="baseline"/>
        </w:rPr>
        <w:t>元；   </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专户-年初预算数0元，专户全年预算数0元，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单位年初预算数0元，单位全年预算数0元。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2</w:t>
      </w:r>
      <w:r>
        <w:rPr>
          <w:rFonts w:hint="eastAsia" w:ascii="仿宋_GB2312" w:hAnsi="仿宋_GB2312" w:cs="仿宋_GB2312"/>
          <w:i w:val="0"/>
          <w:iCs w:val="0"/>
          <w:caps w:val="0"/>
          <w:color w:val="000000"/>
          <w:spacing w:val="0"/>
          <w:sz w:val="32"/>
          <w:szCs w:val="32"/>
          <w:shd w:val="clear" w:fill="FFFFFF"/>
          <w:vertAlign w:val="baseline"/>
          <w:lang w:val="en-US" w:eastAsia="zh-CN"/>
        </w:rPr>
        <w:t>.</w:t>
      </w:r>
      <w:r>
        <w:rPr>
          <w:rFonts w:hint="eastAsia" w:ascii="仿宋_GB2312" w:hAnsi="仿宋_GB2312" w:eastAsia="仿宋_GB2312" w:cs="仿宋_GB2312"/>
          <w:i w:val="0"/>
          <w:iCs w:val="0"/>
          <w:caps w:val="0"/>
          <w:color w:val="000000"/>
          <w:spacing w:val="0"/>
          <w:sz w:val="32"/>
          <w:szCs w:val="32"/>
          <w:shd w:val="clear" w:fill="FFFFFF"/>
          <w:vertAlign w:val="baseline"/>
        </w:rPr>
        <w:t>项目资金实际使用情况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资金执行情况如下：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资金总额-全年执行数</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600000</w:t>
      </w:r>
      <w:r>
        <w:rPr>
          <w:rFonts w:hint="eastAsia" w:ascii="仿宋_GB2312" w:hAnsi="仿宋_GB2312" w:eastAsia="仿宋_GB2312" w:cs="仿宋_GB2312"/>
          <w:i w:val="0"/>
          <w:iCs w:val="0"/>
          <w:caps w:val="0"/>
          <w:color w:val="000000"/>
          <w:spacing w:val="0"/>
          <w:sz w:val="32"/>
          <w:szCs w:val="32"/>
          <w:shd w:val="clear" w:fill="FFFFFF"/>
          <w:vertAlign w:val="baseline"/>
        </w:rPr>
        <w:t>元，资金总额-执行率</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100.00</w:t>
      </w:r>
      <w:r>
        <w:rPr>
          <w:rFonts w:hint="eastAsia" w:ascii="仿宋_GB2312" w:hAnsi="仿宋_GB2312" w:eastAsia="仿宋_GB2312" w:cs="仿宋_GB2312"/>
          <w:i w:val="0"/>
          <w:iCs w:val="0"/>
          <w:caps w:val="0"/>
          <w:color w:val="000000"/>
          <w:spacing w:val="0"/>
          <w:sz w:val="32"/>
          <w:szCs w:val="32"/>
          <w:shd w:val="clear" w:fill="FFFFFF"/>
          <w:vertAlign w:val="baseline"/>
        </w:rPr>
        <w:t>%元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其中：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财政资金-全年执行数</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600000</w:t>
      </w:r>
      <w:r>
        <w:rPr>
          <w:rFonts w:hint="eastAsia" w:ascii="仿宋_GB2312" w:hAnsi="仿宋_GB2312" w:eastAsia="仿宋_GB2312" w:cs="仿宋_GB2312"/>
          <w:i w:val="0"/>
          <w:iCs w:val="0"/>
          <w:caps w:val="0"/>
          <w:color w:val="000000"/>
          <w:spacing w:val="0"/>
          <w:sz w:val="32"/>
          <w:szCs w:val="32"/>
          <w:shd w:val="clear" w:fill="FFFFFF"/>
          <w:vertAlign w:val="baseline"/>
        </w:rPr>
        <w:t>元，财政资金-执行率</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100.00</w:t>
      </w:r>
      <w:r>
        <w:rPr>
          <w:rFonts w:hint="eastAsia" w:ascii="仿宋_GB2312" w:hAnsi="仿宋_GB2312" w:eastAsia="仿宋_GB2312" w:cs="仿宋_GB2312"/>
          <w:i w:val="0"/>
          <w:iCs w:val="0"/>
          <w:caps w:val="0"/>
          <w:color w:val="000000"/>
          <w:spacing w:val="0"/>
          <w:sz w:val="32"/>
          <w:szCs w:val="32"/>
          <w:shd w:val="clear" w:fill="FFFFFF"/>
          <w:vertAlign w:val="baseline"/>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专户全年执行数0元，专户-执行率0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单位全年执行数0元，单位全年执行率0</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3</w:t>
      </w:r>
      <w:r>
        <w:rPr>
          <w:rFonts w:hint="eastAsia" w:ascii="仿宋_GB2312" w:hAnsi="仿宋_GB2312" w:cs="仿宋_GB2312"/>
          <w:i w:val="0"/>
          <w:iCs w:val="0"/>
          <w:caps w:val="0"/>
          <w:color w:val="000000"/>
          <w:spacing w:val="0"/>
          <w:sz w:val="32"/>
          <w:szCs w:val="32"/>
          <w:shd w:val="clear" w:fill="FFFFFF"/>
          <w:vertAlign w:val="baseline"/>
          <w:lang w:val="en-US" w:eastAsia="zh-CN"/>
        </w:rPr>
        <w:t>.</w:t>
      </w:r>
      <w:r>
        <w:rPr>
          <w:rFonts w:hint="eastAsia" w:ascii="仿宋_GB2312" w:hAnsi="仿宋_GB2312" w:eastAsia="仿宋_GB2312" w:cs="仿宋_GB2312"/>
          <w:i w:val="0"/>
          <w:iCs w:val="0"/>
          <w:caps w:val="0"/>
          <w:color w:val="000000"/>
          <w:spacing w:val="0"/>
          <w:sz w:val="32"/>
          <w:szCs w:val="32"/>
          <w:shd w:val="clear" w:fill="FFFFFF"/>
          <w:vertAlign w:val="baseline"/>
        </w:rPr>
        <w:t>项目资金管理情况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在年度预算管理过程中，进一步强化资金的分配、使用、管理等，并在实际工作中不断健全完善管理办法和内控制度，确保资金使用的安全、合规。在预算执行管理方面，切实履行预算管理职责，加强预算执行的监督管理，维护预算的严肃性。按照财政预算执行进度要求，确保专款专用，加快预算执行进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（二）绩效指标完成情况分析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1.项目的经济性分析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（1）项目成本(预算)控制情况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事前做好项目资金测算工作,根据工作需要申请预算安排，做到按需申请。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（2）项目成本(预算)节约情况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本年本项目年</w:t>
      </w:r>
      <w:r>
        <w:rPr>
          <w:rFonts w:hint="eastAsia" w:ascii="仿宋_GB2312" w:hAnsi="仿宋_GB2312" w:eastAsia="仿宋_GB2312" w:cs="仿宋_GB2312"/>
          <w:i w:val="0"/>
          <w:iCs w:val="0"/>
          <w:caps w:val="0"/>
          <w:color w:val="000000"/>
          <w:spacing w:val="0"/>
          <w:sz w:val="32"/>
          <w:szCs w:val="32"/>
          <w:shd w:val="clear" w:fill="FFFFFF"/>
          <w:vertAlign w:val="baseline"/>
          <w:lang w:eastAsia="zh-CN"/>
        </w:rPr>
        <w:t>中追加</w:t>
      </w:r>
      <w:r>
        <w:rPr>
          <w:rFonts w:hint="eastAsia" w:ascii="仿宋_GB2312" w:hAnsi="仿宋_GB2312" w:eastAsia="仿宋_GB2312" w:cs="仿宋_GB2312"/>
          <w:i w:val="0"/>
          <w:iCs w:val="0"/>
          <w:caps w:val="0"/>
          <w:color w:val="000000"/>
          <w:spacing w:val="0"/>
          <w:sz w:val="32"/>
          <w:szCs w:val="32"/>
          <w:shd w:val="clear" w:fill="FFFFFF"/>
          <w:vertAlign w:val="baseline"/>
        </w:rPr>
        <w:t>预算数</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w:t>
      </w:r>
      <w:r>
        <w:rPr>
          <w:rFonts w:hint="eastAsia" w:ascii="仿宋_GB2312" w:hAnsi="仿宋_GB2312" w:eastAsia="仿宋_GB2312" w:cs="仿宋_GB2312"/>
          <w:i w:val="0"/>
          <w:iCs w:val="0"/>
          <w:caps w:val="0"/>
          <w:color w:val="000000"/>
          <w:spacing w:val="0"/>
          <w:sz w:val="32"/>
          <w:szCs w:val="32"/>
          <w:shd w:val="clear" w:fill="FFFFFF"/>
          <w:vertAlign w:val="baseline"/>
        </w:rPr>
        <w:t>0000元，实际支</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600000</w:t>
      </w:r>
      <w:r>
        <w:rPr>
          <w:rFonts w:hint="eastAsia" w:ascii="仿宋_GB2312" w:hAnsi="仿宋_GB2312" w:eastAsia="仿宋_GB2312" w:cs="仿宋_GB2312"/>
          <w:i w:val="0"/>
          <w:iCs w:val="0"/>
          <w:caps w:val="0"/>
          <w:color w:val="000000"/>
          <w:spacing w:val="0"/>
          <w:sz w:val="32"/>
          <w:szCs w:val="32"/>
          <w:shd w:val="clear" w:fill="FFFFFF"/>
          <w:vertAlign w:val="baseline"/>
        </w:rPr>
        <w:t>元，资金使用率</w:t>
      </w:r>
      <w:r>
        <w:rPr>
          <w:rFonts w:hint="eastAsia" w:ascii="仿宋_GB2312" w:hAnsi="仿宋_GB2312" w:eastAsia="仿宋_GB2312" w:cs="仿宋_GB2312"/>
          <w:i w:val="0"/>
          <w:iCs w:val="0"/>
          <w:caps w:val="0"/>
          <w:color w:val="000000"/>
          <w:spacing w:val="0"/>
          <w:sz w:val="32"/>
          <w:szCs w:val="32"/>
          <w:shd w:val="clear" w:fill="FFFFFF"/>
          <w:vertAlign w:val="baseline"/>
          <w:lang w:val="en-US" w:eastAsia="zh-CN"/>
        </w:rPr>
        <w:t>100.00</w:t>
      </w:r>
      <w:r>
        <w:rPr>
          <w:rFonts w:hint="eastAsia" w:ascii="仿宋_GB2312" w:hAnsi="仿宋_GB2312" w:eastAsia="仿宋_GB2312" w:cs="仿宋_GB2312"/>
          <w:i w:val="0"/>
          <w:iCs w:val="0"/>
          <w:caps w:val="0"/>
          <w:color w:val="000000"/>
          <w:spacing w:val="0"/>
          <w:sz w:val="32"/>
          <w:szCs w:val="32"/>
          <w:shd w:val="clear" w:fill="FFFFFF"/>
          <w:vertAlign w:val="baseline"/>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2.项目的效率性分析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（1）项目实施（完成）进度情况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年末完成了全部工作目标。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（2）项目（完成）质量情况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项目资金主要</w:t>
      </w:r>
      <w:r>
        <w:rPr>
          <w:rFonts w:hint="eastAsia" w:ascii="仿宋_GB2312" w:hAnsi="仿宋_GB2312" w:eastAsia="仿宋_GB2312" w:cs="仿宋_GB2312"/>
          <w:i w:val="0"/>
          <w:iCs w:val="0"/>
          <w:caps w:val="0"/>
          <w:color w:val="000000"/>
          <w:spacing w:val="0"/>
          <w:sz w:val="32"/>
          <w:szCs w:val="32"/>
          <w:shd w:val="clear" w:fill="FFFFFF"/>
          <w:vertAlign w:val="baseline"/>
          <w:lang w:eastAsia="zh-CN"/>
        </w:rPr>
        <w:t>用于代表工作站建设</w:t>
      </w:r>
      <w:r>
        <w:rPr>
          <w:rFonts w:hint="eastAsia" w:ascii="仿宋_GB2312" w:hAnsi="仿宋_GB2312" w:eastAsia="仿宋_GB2312" w:cs="仿宋_GB2312"/>
          <w:i w:val="0"/>
          <w:iCs w:val="0"/>
          <w:caps w:val="0"/>
          <w:color w:val="000000"/>
          <w:spacing w:val="0"/>
          <w:sz w:val="32"/>
          <w:szCs w:val="32"/>
          <w:shd w:val="clear" w:fill="FFFFFF"/>
          <w:vertAlign w:val="baseline"/>
        </w:rPr>
        <w:t>等方面，资金使用均按指定用途执行，质量均已达标。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3.项目的效益性分析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（1）项目预期目标完成程度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该项目预期目标已完成。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（2）项目实施对经济和社会的影响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shd w:val="clear" w:fill="FFFFFF"/>
          <w:vertAlign w:val="baseline"/>
          <w:lang w:eastAsia="zh-CN"/>
        </w:rPr>
      </w:pPr>
      <w:r>
        <w:rPr>
          <w:rFonts w:hint="eastAsia" w:ascii="仿宋_GB2312" w:hAnsi="仿宋_GB2312" w:eastAsia="仿宋_GB2312" w:cs="仿宋_GB2312"/>
          <w:i w:val="0"/>
          <w:iCs w:val="0"/>
          <w:caps w:val="0"/>
          <w:color w:val="000000"/>
          <w:spacing w:val="0"/>
          <w:sz w:val="32"/>
          <w:szCs w:val="32"/>
          <w:shd w:val="clear" w:fill="FFFFFF"/>
          <w:vertAlign w:val="baseline"/>
        </w:rPr>
        <w:t>项目资金主要用于</w:t>
      </w:r>
      <w:r>
        <w:rPr>
          <w:rFonts w:hint="eastAsia" w:ascii="仿宋_GB2312" w:hAnsi="仿宋_GB2312" w:eastAsia="仿宋_GB2312" w:cs="仿宋_GB2312"/>
          <w:i w:val="0"/>
          <w:iCs w:val="0"/>
          <w:caps w:val="0"/>
          <w:color w:val="000000"/>
          <w:spacing w:val="0"/>
          <w:sz w:val="32"/>
          <w:szCs w:val="32"/>
          <w:shd w:val="clear" w:fill="FFFFFF"/>
          <w:vertAlign w:val="baseline"/>
          <w:lang w:eastAsia="zh-CN"/>
        </w:rPr>
        <w:t>代表工作站建设，进一步加强人大代表同人民群众的联系。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rPr>
        <w:t>4.项目的可持续性分析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fill="FFFFFF"/>
          <w:vertAlign w:val="baseline"/>
          <w:lang w:eastAsia="zh-CN"/>
        </w:rPr>
        <w:t>代表工作站</w:t>
      </w:r>
      <w:r>
        <w:rPr>
          <w:rFonts w:hint="eastAsia" w:ascii="仿宋_GB2312" w:hAnsi="仿宋_GB2312" w:eastAsia="仿宋_GB2312" w:cs="仿宋_GB2312"/>
          <w:i w:val="0"/>
          <w:iCs w:val="0"/>
          <w:caps w:val="0"/>
          <w:color w:val="000000"/>
          <w:spacing w:val="0"/>
          <w:sz w:val="32"/>
          <w:szCs w:val="32"/>
          <w:shd w:val="clear" w:fill="FFFFFF"/>
          <w:vertAlign w:val="baseline"/>
        </w:rPr>
        <w:t>经费是延续性项目，需要后续的资金支持，为</w:t>
      </w:r>
      <w:r>
        <w:rPr>
          <w:rFonts w:hint="eastAsia" w:ascii="仿宋_GB2312" w:hAnsi="仿宋_GB2312" w:eastAsia="仿宋_GB2312" w:cs="仿宋_GB2312"/>
          <w:i w:val="0"/>
          <w:iCs w:val="0"/>
          <w:caps w:val="0"/>
          <w:color w:val="000000"/>
          <w:spacing w:val="0"/>
          <w:sz w:val="32"/>
          <w:szCs w:val="32"/>
          <w:shd w:val="clear" w:fill="FFFFFF"/>
          <w:vertAlign w:val="baseline"/>
          <w:lang w:eastAsia="zh-CN"/>
        </w:rPr>
        <w:t>代表工作站</w:t>
      </w:r>
      <w:r>
        <w:rPr>
          <w:rFonts w:hint="eastAsia" w:ascii="仿宋_GB2312" w:hAnsi="仿宋_GB2312" w:eastAsia="仿宋_GB2312" w:cs="仿宋_GB2312"/>
          <w:i w:val="0"/>
          <w:iCs w:val="0"/>
          <w:caps w:val="0"/>
          <w:color w:val="000000"/>
          <w:spacing w:val="0"/>
          <w:sz w:val="32"/>
          <w:szCs w:val="32"/>
          <w:shd w:val="clear" w:fill="FFFFFF"/>
          <w:vertAlign w:val="baseline"/>
        </w:rPr>
        <w:t>工作运转提供资金保障。</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五、存在的问题和改进措施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jc w:val="left"/>
        <w:textAlignment w:val="baseline"/>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（一）存在的问题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right="0" w:firstLine="632" w:firstLineChars="200"/>
        <w:textAlignment w:val="baseline"/>
        <w:rPr>
          <w:rFonts w:hint="eastAsia" w:ascii="仿宋_GB2312" w:hAnsi="仿宋_GB2312" w:eastAsia="仿宋_GB2312" w:cs="仿宋_GB2312"/>
          <w:i w:val="0"/>
          <w:iCs w:val="0"/>
          <w:caps w:val="0"/>
          <w:color w:val="000000"/>
          <w:spacing w:val="0"/>
          <w:sz w:val="32"/>
          <w:szCs w:val="32"/>
          <w:lang w:eastAsia="zh-CN"/>
        </w:rPr>
      </w:pPr>
      <w:r>
        <w:rPr>
          <w:rFonts w:hint="eastAsia" w:ascii="仿宋_GB2312" w:hAnsi="仿宋_GB2312" w:eastAsia="仿宋_GB2312" w:cs="仿宋_GB2312"/>
          <w:i w:val="0"/>
          <w:iCs w:val="0"/>
          <w:caps w:val="0"/>
          <w:color w:val="000000"/>
          <w:spacing w:val="0"/>
          <w:sz w:val="32"/>
          <w:szCs w:val="32"/>
          <w:shd w:val="clear" w:fill="FFFFFF"/>
          <w:vertAlign w:val="baseline"/>
          <w:lang w:eastAsia="zh-CN"/>
        </w:rPr>
        <w:t>代表工作站在成立初期</w:t>
      </w:r>
      <w:r>
        <w:rPr>
          <w:rFonts w:hint="eastAsia" w:ascii="仿宋_GB2312" w:hAnsi="仿宋_GB2312" w:eastAsia="仿宋_GB2312" w:cs="仿宋_GB2312"/>
          <w:i w:val="0"/>
          <w:iCs w:val="0"/>
          <w:caps w:val="0"/>
          <w:color w:val="000000"/>
          <w:spacing w:val="0"/>
          <w:sz w:val="32"/>
          <w:szCs w:val="32"/>
          <w:shd w:val="clear" w:fill="FFFFFF"/>
          <w:vertAlign w:val="baseline"/>
        </w:rPr>
        <w:t>相关制度</w:t>
      </w:r>
      <w:r>
        <w:rPr>
          <w:rFonts w:hint="eastAsia" w:ascii="仿宋_GB2312" w:hAnsi="仿宋_GB2312" w:eastAsia="仿宋_GB2312" w:cs="仿宋_GB2312"/>
          <w:i w:val="0"/>
          <w:iCs w:val="0"/>
          <w:caps w:val="0"/>
          <w:color w:val="000000"/>
          <w:spacing w:val="0"/>
          <w:sz w:val="32"/>
          <w:szCs w:val="32"/>
          <w:shd w:val="clear" w:fill="FFFFFF"/>
          <w:vertAlign w:val="baseline"/>
          <w:lang w:eastAsia="zh-CN"/>
        </w:rPr>
        <w:t>不</w:t>
      </w:r>
      <w:r>
        <w:rPr>
          <w:rFonts w:hint="eastAsia" w:ascii="仿宋_GB2312" w:hAnsi="仿宋_GB2312" w:eastAsia="仿宋_GB2312" w:cs="仿宋_GB2312"/>
          <w:i w:val="0"/>
          <w:iCs w:val="0"/>
          <w:caps w:val="0"/>
          <w:color w:val="000000"/>
          <w:spacing w:val="0"/>
          <w:sz w:val="32"/>
          <w:szCs w:val="32"/>
          <w:shd w:val="clear" w:fill="FFFFFF"/>
          <w:vertAlign w:val="baseline"/>
        </w:rPr>
        <w:t>完善</w:t>
      </w:r>
      <w:r>
        <w:rPr>
          <w:rFonts w:hint="eastAsia" w:ascii="仿宋_GB2312" w:hAnsi="仿宋_GB2312" w:eastAsia="仿宋_GB2312" w:cs="仿宋_GB2312"/>
          <w:i w:val="0"/>
          <w:iCs w:val="0"/>
          <w:caps w:val="0"/>
          <w:color w:val="000000"/>
          <w:spacing w:val="0"/>
          <w:sz w:val="32"/>
          <w:szCs w:val="32"/>
          <w:shd w:val="clear" w:fill="FFFFFF"/>
          <w:vertAlign w:val="baseline"/>
          <w:lang w:eastAsia="zh-CN"/>
        </w:rPr>
        <w:t>，</w:t>
      </w:r>
      <w:r>
        <w:rPr>
          <w:rFonts w:hint="eastAsia" w:ascii="仿宋_GB2312" w:hAnsi="仿宋_GB2312" w:eastAsia="仿宋_GB2312" w:cs="仿宋_GB2312"/>
          <w:i w:val="0"/>
          <w:iCs w:val="0"/>
          <w:caps w:val="0"/>
          <w:color w:val="000000"/>
          <w:spacing w:val="0"/>
          <w:sz w:val="32"/>
          <w:szCs w:val="32"/>
          <w:shd w:val="clear" w:fill="FFFFFF"/>
          <w:vertAlign w:val="baseline"/>
        </w:rPr>
        <w:t>项目预算编制细化不够精准，导致项目实施过程需要进行指标调整，影响资金支出进度</w:t>
      </w:r>
      <w:r>
        <w:rPr>
          <w:rFonts w:hint="eastAsia" w:ascii="仿宋_GB2312" w:hAnsi="仿宋_GB2312" w:eastAsia="仿宋_GB2312" w:cs="仿宋_GB2312"/>
          <w:i w:val="0"/>
          <w:iCs w:val="0"/>
          <w:caps w:val="0"/>
          <w:color w:val="000000"/>
          <w:spacing w:val="0"/>
          <w:sz w:val="32"/>
          <w:szCs w:val="32"/>
          <w:shd w:val="clear" w:fill="FFFFFF"/>
          <w:vertAlign w:val="baseline"/>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（二）改进措施</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i w:val="0"/>
          <w:iCs w:val="0"/>
          <w:caps w:val="0"/>
          <w:color w:val="000000"/>
          <w:spacing w:val="0"/>
          <w:sz w:val="32"/>
          <w:szCs w:val="32"/>
          <w:shd w:val="clear" w:fill="FFFFFF"/>
          <w:vertAlign w:val="baseline"/>
        </w:rPr>
      </w:pPr>
      <w:r>
        <w:rPr>
          <w:rFonts w:hint="eastAsia" w:ascii="仿宋_GB2312" w:hAnsi="仿宋_GB2312" w:eastAsia="仿宋_GB2312" w:cs="仿宋_GB2312"/>
          <w:i w:val="0"/>
          <w:iCs w:val="0"/>
          <w:caps w:val="0"/>
          <w:color w:val="000000"/>
          <w:spacing w:val="0"/>
          <w:sz w:val="32"/>
          <w:szCs w:val="32"/>
          <w:shd w:val="clear" w:fill="FFFFFF"/>
          <w:vertAlign w:val="baseline"/>
        </w:rPr>
        <w:t>一是要完善相关制度，强化项目实施过程的管理和监督</w:t>
      </w:r>
      <w:r>
        <w:rPr>
          <w:rFonts w:hint="eastAsia" w:ascii="仿宋_GB2312" w:hAnsi="仿宋_GB2312" w:cs="仿宋_GB2312"/>
          <w:i w:val="0"/>
          <w:iCs w:val="0"/>
          <w:caps w:val="0"/>
          <w:color w:val="000000"/>
          <w:spacing w:val="0"/>
          <w:sz w:val="32"/>
          <w:szCs w:val="32"/>
          <w:shd w:val="clear" w:fill="FFFFFF"/>
          <w:vertAlign w:val="baseline"/>
          <w:lang w:eastAsia="zh-CN"/>
        </w:rPr>
        <w:t>。</w:t>
      </w:r>
      <w:r>
        <w:rPr>
          <w:rFonts w:hint="eastAsia" w:ascii="仿宋_GB2312" w:hAnsi="仿宋_GB2312" w:eastAsia="仿宋_GB2312" w:cs="仿宋_GB2312"/>
          <w:i w:val="0"/>
          <w:iCs w:val="0"/>
          <w:caps w:val="0"/>
          <w:color w:val="000000"/>
          <w:spacing w:val="0"/>
          <w:sz w:val="32"/>
          <w:szCs w:val="32"/>
          <w:shd w:val="clear" w:fill="FFFFFF"/>
          <w:vertAlign w:val="baseline"/>
        </w:rPr>
        <w:t>二是加强资金管理，确保资金使用规范、合法。</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六、绩效自评结果拟应用和公开情况</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(一)绩效自评结果拟应用</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区人大机关将绩效理念和方法融入预算编制、执行、监督全过程，覆盖所有资金，不断优化资源配置，推动资金聚力增效，提高公共服务供给质量。</w:t>
      </w:r>
    </w:p>
    <w:p>
      <w:pPr>
        <w:keepNext w:val="0"/>
        <w:keepLines w:val="0"/>
        <w:pageBreakBefore w:val="0"/>
        <w:kinsoku/>
        <w:wordWrap/>
        <w:overflowPunct/>
        <w:topLinePunct w:val="0"/>
        <w:autoSpaceDE/>
        <w:autoSpaceDN/>
        <w:bidi w:val="0"/>
        <w:adjustRightInd w:val="0"/>
        <w:snapToGrid w:val="0"/>
        <w:spacing w:line="560" w:lineRule="exact"/>
        <w:ind w:firstLine="632"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(二)绩效自评结果公开情况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此次绩效自评报告将在资阳区政府官网上予以全文公布，向社会公开，广泛接受群众监督. </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：项目支出绩效自评表</w:t>
      </w:r>
    </w:p>
    <w:p>
      <w:pPr>
        <w:pStyle w:val="2"/>
        <w:rPr>
          <w:rFonts w:hint="eastAsia"/>
        </w:rPr>
      </w:pPr>
      <w:bookmarkStart w:id="0" w:name="_GoBack"/>
      <w:bookmarkEnd w:id="0"/>
    </w:p>
    <w:p>
      <w:pPr>
        <w:pStyle w:val="2"/>
        <w:ind w:left="0" w:leftChars="0" w:firstLine="0" w:firstLineChars="0"/>
        <w:rPr>
          <w:rFonts w:ascii="Times New Roman"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Times New Roman" w:hAnsi="Times New Roman" w:eastAsia="方正小标宋_GBK" w:cs="Times New Roman"/>
          <w:color w:val="000000"/>
          <w:kern w:val="0"/>
          <w:sz w:val="36"/>
          <w:szCs w:val="36"/>
        </w:rPr>
      </w:pPr>
      <w:r>
        <w:rPr>
          <w:rFonts w:ascii="Times New Roman" w:hAnsi="Times New Roman" w:eastAsia="方正小标宋_GBK" w:cs="Times New Roman"/>
          <w:color w:val="000000"/>
          <w:kern w:val="0"/>
          <w:sz w:val="36"/>
          <w:szCs w:val="36"/>
        </w:rPr>
        <w:t>202</w:t>
      </w:r>
      <w:r>
        <w:rPr>
          <w:rFonts w:hint="eastAsia" w:ascii="Times New Roman" w:hAnsi="Times New Roman" w:eastAsia="方正小标宋_GBK" w:cs="Times New Roman"/>
          <w:color w:val="000000"/>
          <w:kern w:val="0"/>
          <w:sz w:val="36"/>
          <w:szCs w:val="36"/>
          <w:lang w:val="en-US" w:eastAsia="zh-CN"/>
        </w:rPr>
        <w:t>2</w:t>
      </w:r>
      <w:r>
        <w:rPr>
          <w:rFonts w:ascii="Times New Roman" w:hAnsi="Times New Roman" w:eastAsia="方正小标宋_GBK" w:cs="Times New Roman"/>
          <w:color w:val="000000"/>
          <w:kern w:val="0"/>
          <w:sz w:val="36"/>
          <w:szCs w:val="36"/>
        </w:rPr>
        <w:t>年度项目支出绩效自评表</w:t>
      </w:r>
    </w:p>
    <w:tbl>
      <w:tblPr>
        <w:tblStyle w:val="7"/>
        <w:tblW w:w="9851" w:type="dxa"/>
        <w:jc w:val="center"/>
        <w:tblLayout w:type="fixed"/>
        <w:tblCellMar>
          <w:top w:w="0" w:type="dxa"/>
          <w:left w:w="108" w:type="dxa"/>
          <w:bottom w:w="0" w:type="dxa"/>
          <w:right w:w="108" w:type="dxa"/>
        </w:tblCellMar>
      </w:tblPr>
      <w:tblGrid>
        <w:gridCol w:w="1080"/>
        <w:gridCol w:w="1080"/>
        <w:gridCol w:w="1080"/>
        <w:gridCol w:w="1309"/>
        <w:gridCol w:w="249"/>
        <w:gridCol w:w="936"/>
        <w:gridCol w:w="1260"/>
        <w:gridCol w:w="566"/>
        <w:gridCol w:w="873"/>
        <w:gridCol w:w="1418"/>
      </w:tblGrid>
      <w:tr>
        <w:tblPrEx>
          <w:tblCellMar>
            <w:top w:w="0" w:type="dxa"/>
            <w:left w:w="108" w:type="dxa"/>
            <w:bottom w:w="0" w:type="dxa"/>
            <w:right w:w="108" w:type="dxa"/>
          </w:tblCellMar>
        </w:tblPrEx>
        <w:trPr>
          <w:trHeight w:val="3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项目名称</w:t>
            </w:r>
          </w:p>
        </w:tc>
        <w:tc>
          <w:tcPr>
            <w:tcW w:w="8771"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代表工作站</w:t>
            </w:r>
            <w:r>
              <w:rPr>
                <w:rFonts w:hint="eastAsia" w:ascii="Times New Roman" w:hAnsi="Times New Roman" w:eastAsia="仿宋_GB2312" w:cs="Times New Roman"/>
                <w:color w:val="000000"/>
                <w:kern w:val="0"/>
                <w:sz w:val="21"/>
                <w:szCs w:val="21"/>
              </w:rPr>
              <w:t>经费</w:t>
            </w: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trHeight w:val="664" w:hRule="atLeast"/>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主管部门</w:t>
            </w:r>
          </w:p>
        </w:tc>
        <w:tc>
          <w:tcPr>
            <w:tcW w:w="4654"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资阳区人民代表大会常务委员会</w:t>
            </w:r>
          </w:p>
        </w:tc>
        <w:tc>
          <w:tcPr>
            <w:tcW w:w="1260"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实施单位</w:t>
            </w:r>
          </w:p>
        </w:tc>
        <w:tc>
          <w:tcPr>
            <w:tcW w:w="285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资阳区人民代表大会常务委员会</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项目资金</w:t>
            </w:r>
            <w:r>
              <w:rPr>
                <w:rFonts w:ascii="Times New Roman" w:hAnsi="Times New Roman" w:eastAsia="仿宋_GB2312" w:cs="Times New Roman"/>
                <w:color w:val="000000"/>
                <w:kern w:val="0"/>
                <w:sz w:val="21"/>
                <w:szCs w:val="21"/>
              </w:rPr>
              <w:br w:type="textWrapping"/>
            </w:r>
            <w:r>
              <w:rPr>
                <w:rFonts w:ascii="Times New Roman" w:hAnsi="Times New Roman" w:eastAsia="仿宋_GB2312" w:cs="Times New Roman"/>
                <w:color w:val="000000"/>
                <w:kern w:val="0"/>
                <w:sz w:val="21"/>
                <w:szCs w:val="21"/>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年初</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18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全年</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预算数</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全年</w:t>
            </w:r>
          </w:p>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执行数</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执行率</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sz w:val="21"/>
                <w:szCs w:val="21"/>
              </w:rPr>
            </w:pPr>
            <w:r>
              <w:rPr>
                <w:rFonts w:ascii="Times New Roman" w:hAnsi="Times New Roman" w:eastAsia="仿宋_GB2312" w:cs="Times New Roman"/>
                <w:sz w:val="21"/>
                <w:szCs w:val="21"/>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年度资金总额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60</w:t>
            </w:r>
          </w:p>
        </w:tc>
        <w:tc>
          <w:tcPr>
            <w:tcW w:w="118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1</w:t>
            </w:r>
            <w:r>
              <w:rPr>
                <w:rFonts w:hint="eastAsia" w:ascii="Times New Roman" w:hAnsi="Times New Roman" w:cs="Times New Roman"/>
                <w:color w:val="000000"/>
                <w:kern w:val="0"/>
                <w:sz w:val="21"/>
                <w:szCs w:val="21"/>
                <w:lang w:val="en-US" w:eastAsia="zh-CN"/>
              </w:rPr>
              <w:t>0</w:t>
            </w:r>
            <w:r>
              <w:rPr>
                <w:rFonts w:hint="eastAsia" w:ascii="Times New Roman" w:hAnsi="Times New Roman" w:cs="Times New Roman"/>
                <w:color w:val="000000"/>
                <w:kern w:val="0"/>
                <w:sz w:val="21"/>
                <w:szCs w:val="21"/>
                <w:lang w:eastAsia="zh-CN"/>
              </w:rPr>
              <w:t>分</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其中：当年财政拨款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60</w:t>
            </w:r>
          </w:p>
        </w:tc>
        <w:tc>
          <w:tcPr>
            <w:tcW w:w="118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 xml:space="preserve"> 60</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100%</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618" w:firstLineChars="300"/>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上年结转资金　</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0</w:t>
            </w:r>
          </w:p>
        </w:tc>
        <w:tc>
          <w:tcPr>
            <w:tcW w:w="118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0</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0</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618" w:firstLineChars="300"/>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其他资金</w:t>
            </w:r>
          </w:p>
        </w:tc>
        <w:tc>
          <w:tcPr>
            <w:tcW w:w="130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0</w:t>
            </w:r>
          </w:p>
        </w:tc>
        <w:tc>
          <w:tcPr>
            <w:tcW w:w="118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0</w:t>
            </w:r>
          </w:p>
        </w:tc>
        <w:tc>
          <w:tcPr>
            <w:tcW w:w="12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 xml:space="preserve"> 0</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年度总体目标</w:t>
            </w:r>
          </w:p>
        </w:tc>
        <w:tc>
          <w:tcPr>
            <w:tcW w:w="4654" w:type="dxa"/>
            <w:gridSpan w:val="5"/>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预期目标</w:t>
            </w:r>
          </w:p>
        </w:tc>
        <w:tc>
          <w:tcPr>
            <w:tcW w:w="411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4654" w:type="dxa"/>
            <w:gridSpan w:val="5"/>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color w:val="000000"/>
                <w:kern w:val="0"/>
                <w:sz w:val="21"/>
                <w:szCs w:val="21"/>
                <w:lang w:eastAsia="zh-CN"/>
              </w:rPr>
            </w:pPr>
            <w:r>
              <w:rPr>
                <w:rFonts w:ascii="Times New Roman" w:hAnsi="Times New Roman" w:eastAsia="仿宋_GB2312" w:cs="Times New Roman"/>
                <w:color w:val="000000"/>
                <w:kern w:val="0"/>
                <w:sz w:val="21"/>
                <w:szCs w:val="21"/>
              </w:rPr>
              <w:t>　　</w:t>
            </w:r>
            <w:r>
              <w:rPr>
                <w:rFonts w:hint="eastAsia" w:ascii="Times New Roman" w:hAnsi="Times New Roman" w:eastAsia="仿宋_GB2312" w:cs="Times New Roman"/>
                <w:color w:val="000000"/>
                <w:kern w:val="0"/>
                <w:sz w:val="21"/>
                <w:szCs w:val="21"/>
              </w:rPr>
              <w:t>完善代表中心联络站</w:t>
            </w:r>
            <w:r>
              <w:rPr>
                <w:rFonts w:hint="eastAsia" w:ascii="Times New Roman" w:hAnsi="Times New Roman" w:cs="Times New Roman"/>
                <w:color w:val="000000"/>
                <w:kern w:val="0"/>
                <w:sz w:val="21"/>
                <w:szCs w:val="21"/>
                <w:lang w:eastAsia="zh-CN"/>
              </w:rPr>
              <w:t>；</w:t>
            </w:r>
            <w:r>
              <w:rPr>
                <w:rFonts w:hint="eastAsia" w:ascii="Times New Roman" w:hAnsi="Times New Roman" w:eastAsia="仿宋_GB2312" w:cs="Times New Roman"/>
                <w:color w:val="000000"/>
                <w:kern w:val="0"/>
                <w:sz w:val="21"/>
                <w:szCs w:val="21"/>
              </w:rPr>
              <w:t>设立代表片区联络点</w:t>
            </w:r>
            <w:r>
              <w:rPr>
                <w:rFonts w:hint="eastAsia" w:ascii="Times New Roman" w:hAnsi="Times New Roman" w:cs="Times New Roman"/>
                <w:color w:val="000000"/>
                <w:kern w:val="0"/>
                <w:sz w:val="21"/>
                <w:szCs w:val="21"/>
                <w:lang w:eastAsia="zh-CN"/>
              </w:rPr>
              <w:t>；</w:t>
            </w:r>
            <w:r>
              <w:rPr>
                <w:rFonts w:hint="eastAsia" w:ascii="Times New Roman" w:hAnsi="Times New Roman" w:eastAsia="仿宋_GB2312" w:cs="Times New Roman"/>
                <w:color w:val="000000"/>
                <w:kern w:val="0"/>
                <w:sz w:val="21"/>
                <w:szCs w:val="21"/>
              </w:rPr>
              <w:t>打造示范性联络站点</w:t>
            </w:r>
            <w:r>
              <w:rPr>
                <w:rFonts w:hint="eastAsia" w:ascii="Times New Roman" w:hAnsi="Times New Roman" w:cs="Times New Roman"/>
                <w:color w:val="000000"/>
                <w:kern w:val="0"/>
                <w:sz w:val="21"/>
                <w:szCs w:val="21"/>
                <w:lang w:eastAsia="zh-CN"/>
              </w:rPr>
              <w:t>。</w:t>
            </w:r>
          </w:p>
        </w:tc>
        <w:tc>
          <w:tcPr>
            <w:tcW w:w="411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eastAsia="仿宋_GB2312" w:cs="Times New Roman"/>
                <w:color w:val="000000"/>
                <w:kern w:val="0"/>
                <w:sz w:val="21"/>
                <w:szCs w:val="21"/>
              </w:rPr>
              <w:t>全部完成了工作目标</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绩</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二级指标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三级指标</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年度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指标值</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实际</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完成值</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得分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偏差原因</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分析及</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改进措施</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产出指标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数量指标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新建代表工作站</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eastAsia="zh-CN"/>
              </w:rPr>
              <w:t>≥</w:t>
            </w:r>
            <w:r>
              <w:rPr>
                <w:rFonts w:hint="eastAsia" w:ascii="Times New Roman" w:hAnsi="Times New Roman" w:cs="Times New Roman"/>
                <w:color w:val="000000"/>
                <w:kern w:val="0"/>
                <w:sz w:val="21"/>
                <w:szCs w:val="21"/>
                <w:lang w:val="en-US" w:eastAsia="zh-CN"/>
              </w:rPr>
              <w:t>5</w:t>
            </w:r>
            <w:r>
              <w:rPr>
                <w:rFonts w:hint="eastAsia" w:ascii="Times New Roman" w:hAnsi="Times New Roman" w:cs="Times New Roman"/>
                <w:color w:val="000000"/>
                <w:kern w:val="0"/>
                <w:sz w:val="21"/>
                <w:szCs w:val="21"/>
                <w:lang w:eastAsia="zh-CN"/>
              </w:rPr>
              <w:t>个</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在原有9个人大代表联络站的基础上</w:t>
            </w:r>
            <w:r>
              <w:rPr>
                <w:rFonts w:hint="eastAsia" w:ascii="Times New Roman" w:hAnsi="Times New Roman" w:cs="Times New Roman"/>
                <w:color w:val="000000"/>
                <w:kern w:val="0"/>
                <w:sz w:val="21"/>
                <w:szCs w:val="21"/>
                <w:lang w:eastAsia="zh-CN"/>
              </w:rPr>
              <w:t>新建</w:t>
            </w:r>
            <w:r>
              <w:rPr>
                <w:rFonts w:hint="eastAsia" w:ascii="Times New Roman" w:hAnsi="Times New Roman" w:cs="Times New Roman"/>
                <w:color w:val="000000"/>
                <w:kern w:val="0"/>
                <w:sz w:val="21"/>
                <w:szCs w:val="21"/>
                <w:lang w:val="en-US" w:eastAsia="zh-CN"/>
              </w:rPr>
              <w:t>11</w:t>
            </w:r>
            <w:r>
              <w:rPr>
                <w:rFonts w:hint="eastAsia" w:ascii="Times New Roman" w:hAnsi="Times New Roman" w:cs="Times New Roman"/>
                <w:color w:val="000000"/>
                <w:kern w:val="0"/>
                <w:sz w:val="21"/>
                <w:szCs w:val="21"/>
                <w:lang w:eastAsia="zh-CN"/>
              </w:rPr>
              <w:t>个，</w:t>
            </w:r>
            <w:r>
              <w:rPr>
                <w:rFonts w:hint="eastAsia" w:ascii="Times New Roman" w:hAnsi="Times New Roman" w:cs="Times New Roman"/>
                <w:color w:val="000000"/>
                <w:kern w:val="0"/>
                <w:sz w:val="21"/>
                <w:szCs w:val="21"/>
                <w:lang w:val="en-US" w:eastAsia="zh-CN"/>
              </w:rPr>
              <w:t>目前共有20个</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质量指标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提高</w:t>
            </w:r>
            <w:r>
              <w:rPr>
                <w:rFonts w:hint="eastAsia" w:ascii="Times New Roman" w:hAnsi="Times New Roman" w:cs="Times New Roman"/>
                <w:color w:val="000000"/>
                <w:kern w:val="0"/>
                <w:sz w:val="21"/>
                <w:szCs w:val="21"/>
                <w:lang w:eastAsia="zh-CN"/>
              </w:rPr>
              <w:t>代表工作站</w:t>
            </w:r>
            <w:r>
              <w:rPr>
                <w:rFonts w:hint="eastAsia" w:ascii="Times New Roman" w:hAnsi="Times New Roman" w:eastAsia="仿宋_GB2312" w:cs="Times New Roman"/>
                <w:color w:val="000000"/>
                <w:kern w:val="0"/>
                <w:sz w:val="21"/>
                <w:szCs w:val="21"/>
              </w:rPr>
              <w:t>业务工作效率</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90%</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时效指标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工作完成率</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95%</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96%</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成本指标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本着节约的原则，严格按照规定的标准列支各项经费</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60</w:t>
            </w:r>
            <w:r>
              <w:rPr>
                <w:rFonts w:hint="eastAsia" w:ascii="Times New Roman" w:hAnsi="Times New Roman" w:eastAsia="仿宋_GB2312" w:cs="Times New Roman"/>
                <w:color w:val="000000"/>
                <w:kern w:val="0"/>
                <w:sz w:val="21"/>
                <w:szCs w:val="21"/>
              </w:rPr>
              <w:t>万元</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100%</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12.5分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lang w:val="en-US" w:eastAsia="zh-CN" w:bidi="ar-SA"/>
              </w:rPr>
            </w:pPr>
            <w:r>
              <w:rPr>
                <w:rFonts w:hint="eastAsia" w:ascii="Times New Roman" w:hAnsi="Times New Roman" w:cs="Times New Roman"/>
                <w:color w:val="000000"/>
                <w:kern w:val="0"/>
                <w:sz w:val="21"/>
                <w:szCs w:val="21"/>
                <w:lang w:val="en-US" w:eastAsia="zh-CN"/>
              </w:rPr>
              <w:t>12.5分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效益指标</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4</w:t>
            </w:r>
            <w:r>
              <w:rPr>
                <w:rFonts w:ascii="Times New Roman" w:hAnsi="Times New Roman" w:eastAsia="仿宋_GB2312" w:cs="Times New Roman"/>
                <w:color w:val="000000"/>
                <w:kern w:val="0"/>
                <w:sz w:val="21"/>
                <w:szCs w:val="21"/>
              </w:rPr>
              <w:t>0分）</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经济效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加强代表与群众之间的联系，高效推动全区经济发展</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rPr>
            </w:pPr>
            <w:r>
              <w:rPr>
                <w:rFonts w:ascii="Times New Roman" w:hAnsi="Times New Roman" w:eastAsia="仿宋_GB2312" w:cs="Times New Roman"/>
                <w:color w:val="000000"/>
                <w:kern w:val="0"/>
                <w:sz w:val="21"/>
                <w:szCs w:val="21"/>
              </w:rPr>
              <w:t>　</w:t>
            </w: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89%</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9.95分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社会效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rPr>
              <w:t>充分发挥代表联络站作为人大代表联系群众的有效载体和基础依托作用，畅通社情民意反映和表达渠道，进一步密切人大代表与人民群众的联系。</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92%</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生态效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益指标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可持续影响指标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eastAsia="zh-CN"/>
              </w:rPr>
              <w:t>紧紧联系群众，群众反馈的</w:t>
            </w:r>
            <w:r>
              <w:rPr>
                <w:rFonts w:hint="eastAsia" w:ascii="Times New Roman" w:hAnsi="Times New Roman" w:eastAsia="仿宋_GB2312" w:cs="Times New Roman"/>
                <w:color w:val="000000"/>
                <w:kern w:val="0"/>
                <w:sz w:val="21"/>
                <w:szCs w:val="21"/>
              </w:rPr>
              <w:t>主要困难和问题，提出推进我区可持续性发展对策与建议</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92%</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10分</w:t>
            </w:r>
            <w:r>
              <w:rPr>
                <w:rFonts w:ascii="Times New Roman" w:hAnsi="Times New Roman" w:eastAsia="仿宋_GB2312" w:cs="Times New Roman"/>
                <w:color w:val="000000"/>
                <w:kern w:val="0"/>
                <w:sz w:val="21"/>
                <w:szCs w:val="21"/>
              </w:rPr>
              <w:t>　</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cs="Times New Roman"/>
                <w:color w:val="000000"/>
                <w:kern w:val="0"/>
                <w:sz w:val="21"/>
                <w:szCs w:val="21"/>
                <w:lang w:eastAsia="zh-CN"/>
              </w:rPr>
              <w:t>-</w:t>
            </w:r>
          </w:p>
        </w:tc>
      </w:tr>
      <w:tr>
        <w:tblPrEx>
          <w:tblCellMar>
            <w:top w:w="0" w:type="dxa"/>
            <w:left w:w="108" w:type="dxa"/>
            <w:bottom w:w="0" w:type="dxa"/>
            <w:right w:w="108" w:type="dxa"/>
          </w:tblCellMar>
        </w:tblPrEx>
        <w:trPr>
          <w:trHeight w:val="79"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服务对象满意度指标</w:t>
            </w:r>
          </w:p>
        </w:tc>
        <w:tc>
          <w:tcPr>
            <w:tcW w:w="15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rPr>
              <w:t>群众</w:t>
            </w:r>
            <w:r>
              <w:rPr>
                <w:rFonts w:hint="eastAsia" w:ascii="Times New Roman" w:hAnsi="Times New Roman" w:cs="Times New Roman"/>
                <w:color w:val="000000"/>
                <w:kern w:val="0"/>
                <w:sz w:val="21"/>
                <w:szCs w:val="21"/>
                <w:lang w:val="en-US" w:eastAsia="zh-CN"/>
              </w:rPr>
              <w:t>满意度</w:t>
            </w:r>
          </w:p>
        </w:tc>
        <w:tc>
          <w:tcPr>
            <w:tcW w:w="9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hint="eastAsia" w:ascii="Times New Roman" w:hAnsi="Times New Roman" w:eastAsia="仿宋_GB2312" w:cs="Times New Roman"/>
                <w:color w:val="000000"/>
                <w:kern w:val="0"/>
                <w:sz w:val="21"/>
                <w:szCs w:val="21"/>
              </w:rPr>
              <w:t>≥</w:t>
            </w:r>
            <w:r>
              <w:rPr>
                <w:rFonts w:hint="eastAsia" w:ascii="Times New Roman" w:hAnsi="Times New Roman" w:cs="Times New Roman"/>
                <w:color w:val="000000"/>
                <w:kern w:val="0"/>
                <w:sz w:val="21"/>
                <w:szCs w:val="21"/>
                <w:lang w:val="en-US" w:eastAsia="zh-CN"/>
              </w:rPr>
              <w:t>90%</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000000"/>
                <w:kern w:val="0"/>
                <w:sz w:val="21"/>
                <w:szCs w:val="21"/>
                <w:lang w:val="en-US" w:eastAsia="zh-CN"/>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96%</w:t>
            </w:r>
          </w:p>
        </w:tc>
        <w:tc>
          <w:tcPr>
            <w:tcW w:w="5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hint="eastAsia" w:ascii="Times New Roman" w:hAnsi="Times New Roman" w:cs="Times New Roman"/>
                <w:color w:val="000000"/>
                <w:kern w:val="0"/>
                <w:sz w:val="21"/>
                <w:szCs w:val="21"/>
                <w:lang w:val="en-US" w:eastAsia="zh-CN"/>
              </w:rPr>
              <w:t>10分</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10分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w:t>
            </w:r>
          </w:p>
        </w:tc>
      </w:tr>
      <w:tr>
        <w:tblPrEx>
          <w:tblCellMar>
            <w:top w:w="0" w:type="dxa"/>
            <w:left w:w="108" w:type="dxa"/>
            <w:bottom w:w="0" w:type="dxa"/>
            <w:right w:w="108" w:type="dxa"/>
          </w:tblCellMar>
        </w:tblPrEx>
        <w:trPr>
          <w:jc w:val="center"/>
        </w:trPr>
        <w:tc>
          <w:tcPr>
            <w:tcW w:w="6994" w:type="dxa"/>
            <w:gridSpan w:val="7"/>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总分</w:t>
            </w:r>
          </w:p>
        </w:tc>
        <w:tc>
          <w:tcPr>
            <w:tcW w:w="56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cs="Times New Roman"/>
                <w:color w:val="000000"/>
                <w:kern w:val="0"/>
                <w:sz w:val="21"/>
                <w:szCs w:val="21"/>
                <w:lang w:val="en-US" w:eastAsia="zh-CN"/>
              </w:rPr>
              <w:t>100分</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r>
              <w:rPr>
                <w:rFonts w:hint="eastAsia" w:ascii="Times New Roman" w:hAnsi="Times New Roman" w:cs="Times New Roman"/>
                <w:color w:val="000000"/>
                <w:kern w:val="0"/>
                <w:sz w:val="21"/>
                <w:szCs w:val="21"/>
                <w:lang w:val="en-US" w:eastAsia="zh-CN"/>
              </w:rPr>
              <w:t>99.95</w:t>
            </w:r>
            <w:r>
              <w:rPr>
                <w:rFonts w:hint="eastAsia" w:ascii="Times New Roman" w:hAnsi="Times New Roman" w:cs="Times New Roman"/>
                <w:color w:val="000000"/>
                <w:kern w:val="0"/>
                <w:sz w:val="21"/>
                <w:szCs w:val="21"/>
                <w:lang w:eastAsia="zh-CN"/>
              </w:rPr>
              <w:t>分</w:t>
            </w:r>
          </w:p>
        </w:tc>
        <w:tc>
          <w:tcPr>
            <w:tcW w:w="14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　</w:t>
            </w:r>
          </w:p>
        </w:tc>
      </w:tr>
    </w:tbl>
    <w:p>
      <w:pPr>
        <w:widowControl/>
        <w:spacing w:line="600" w:lineRule="exact"/>
        <w:jc w:val="left"/>
        <w:rPr>
          <w:color w:val="000000" w:themeColor="text1"/>
          <w14:textFill>
            <w14:solidFill>
              <w14:schemeClr w14:val="tx1"/>
            </w14:solidFill>
          </w14:textFill>
        </w:rPr>
      </w:pPr>
      <w:r>
        <w:rPr>
          <w:rFonts w:ascii="Times New Roman" w:hAnsi="Times New Roman" w:eastAsia="仿宋_GB2312" w:cs="Times New Roman"/>
          <w:color w:val="000000" w:themeColor="text1"/>
          <w:kern w:val="0"/>
          <w:sz w:val="21"/>
          <w:szCs w:val="21"/>
          <w14:textFill>
            <w14:solidFill>
              <w14:schemeClr w14:val="tx1"/>
            </w14:solidFill>
          </w14:textFill>
        </w:rPr>
        <w:t>填表人：</w:t>
      </w:r>
      <w:r>
        <w:rPr>
          <w:rFonts w:hint="eastAsia" w:ascii="Times New Roman" w:hAnsi="Times New Roman" w:cs="Times New Roman"/>
          <w:color w:val="000000" w:themeColor="text1"/>
          <w:kern w:val="0"/>
          <w:sz w:val="21"/>
          <w:szCs w:val="21"/>
          <w:lang w:eastAsia="zh-CN"/>
          <w14:textFill>
            <w14:solidFill>
              <w14:schemeClr w14:val="tx1"/>
            </w14:solidFill>
          </w14:textFill>
        </w:rPr>
        <w:t>段诗涵</w:t>
      </w:r>
      <w:r>
        <w:rPr>
          <w:rFonts w:ascii="Times New Roman" w:hAnsi="Times New Roman" w:eastAsia="仿宋_GB2312" w:cs="Times New Roman"/>
          <w:color w:val="000000" w:themeColor="text1"/>
          <w:kern w:val="0"/>
          <w:sz w:val="21"/>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 w:val="21"/>
          <w:szCs w:val="21"/>
          <w14:textFill>
            <w14:solidFill>
              <w14:schemeClr w14:val="tx1"/>
            </w14:solidFill>
          </w14:textFill>
        </w:rPr>
        <w:t>填报日期：</w:t>
      </w:r>
      <w:r>
        <w:rPr>
          <w:rFonts w:hint="eastAsia" w:ascii="Times New Roman" w:hAnsi="Times New Roman" w:cs="Times New Roman"/>
          <w:color w:val="000000" w:themeColor="text1"/>
          <w:kern w:val="0"/>
          <w:sz w:val="21"/>
          <w:szCs w:val="21"/>
          <w:lang w:val="en-US" w:eastAsia="zh-CN"/>
          <w14:textFill>
            <w14:solidFill>
              <w14:schemeClr w14:val="tx1"/>
            </w14:solidFill>
          </w14:textFill>
        </w:rPr>
        <w:t>2023.4.18</w:t>
      </w:r>
      <w:r>
        <w:rPr>
          <w:rFonts w:ascii="Times New Roman" w:hAnsi="Times New Roman" w:eastAsia="仿宋_GB2312" w:cs="Times New Roman"/>
          <w:color w:val="000000" w:themeColor="text1"/>
          <w:kern w:val="0"/>
          <w:sz w:val="21"/>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 w:val="21"/>
          <w:szCs w:val="21"/>
          <w14:textFill>
            <w14:solidFill>
              <w14:schemeClr w14:val="tx1"/>
            </w14:solidFill>
          </w14:textFill>
        </w:rPr>
        <w:t>联系电话：</w:t>
      </w: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19117927779   </w:t>
      </w:r>
      <w:r>
        <w:rPr>
          <w:rFonts w:ascii="Times New Roman" w:hAnsi="Times New Roman" w:eastAsia="仿宋_GB2312" w:cs="Times New Roman"/>
          <w:color w:val="000000" w:themeColor="text1"/>
          <w:kern w:val="0"/>
          <w:sz w:val="21"/>
          <w:szCs w:val="21"/>
          <w14:textFill>
            <w14:solidFill>
              <w14:schemeClr w14:val="tx1"/>
            </w14:solidFill>
          </w14:textFill>
        </w:rPr>
        <w:t>单位负责人签字：</w:t>
      </w:r>
    </w:p>
    <w:p>
      <w:pPr>
        <w:widowControl/>
        <w:spacing w:line="600" w:lineRule="exact"/>
        <w:ind w:firstLine="645"/>
        <w:jc w:val="left"/>
      </w:pPr>
    </w:p>
    <w:sectPr>
      <w:footerReference r:id="rId3" w:type="default"/>
      <w:footerReference r:id="rId4" w:type="even"/>
      <w:pgSz w:w="11907" w:h="16840"/>
      <w:pgMar w:top="2041" w:right="1531" w:bottom="1871" w:left="1531" w:header="851" w:footer="1304" w:gutter="0"/>
      <w:pgBorders>
        <w:top w:val="none" w:sz="0" w:space="0"/>
        <w:left w:val="none" w:sz="0" w:space="0"/>
        <w:bottom w:val="none" w:sz="0" w:space="0"/>
        <w:right w:val="none" w:sz="0" w:space="0"/>
      </w:pgBorders>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right="335"/>
      <w:rPr>
        <w:rStyle w:val="9"/>
        <w:rFonts w:hint="eastAsia" w:ascii="宋体" w:hAnsi="宋体" w:eastAsia="宋体"/>
        <w:sz w:val="28"/>
      </w:rPr>
    </w:pPr>
    <w:r>
      <w:rPr>
        <w:rStyle w:val="9"/>
        <w:rFonts w:hint="eastAsia" w:ascii="宋体" w:hAnsi="宋体" w:eastAsia="宋体"/>
        <w:sz w:val="28"/>
      </w:rPr>
      <w:t>—</w:t>
    </w:r>
    <w:r>
      <w:rPr>
        <w:rFonts w:ascii="宋体" w:hAnsi="宋体" w:eastAsia="宋体"/>
        <w:sz w:val="28"/>
      </w:rPr>
      <w:fldChar w:fldCharType="begin"/>
    </w:r>
    <w:r>
      <w:rPr>
        <w:rStyle w:val="9"/>
        <w:rFonts w:ascii="宋体" w:hAnsi="宋体" w:eastAsia="宋体"/>
        <w:sz w:val="28"/>
      </w:rPr>
      <w:instrText xml:space="preserve">PAGE  </w:instrText>
    </w:r>
    <w:r>
      <w:rPr>
        <w:rFonts w:ascii="宋体" w:hAnsi="宋体" w:eastAsia="宋体"/>
        <w:sz w:val="28"/>
      </w:rPr>
      <w:fldChar w:fldCharType="separate"/>
    </w:r>
    <w:r>
      <w:rPr>
        <w:rStyle w:val="9"/>
        <w:rFonts w:ascii="宋体" w:hAnsi="宋体" w:eastAsia="宋体"/>
        <w:sz w:val="28"/>
      </w:rPr>
      <w:t>3</w:t>
    </w:r>
    <w:r>
      <w:rPr>
        <w:rFonts w:ascii="宋体" w:hAnsi="宋体" w:eastAsia="宋体"/>
        <w:sz w:val="28"/>
      </w:rPr>
      <w:fldChar w:fldCharType="end"/>
    </w:r>
    <w:r>
      <w:rPr>
        <w:rStyle w:val="9"/>
        <w:rFonts w:hint="eastAsia" w:ascii="宋体" w:hAnsi="宋体" w:eastAsia="宋体"/>
        <w:sz w:val="28"/>
      </w:rPr>
      <w:t>—</w:t>
    </w:r>
  </w:p>
  <w:p>
    <w:pPr>
      <w:pStyle w:val="5"/>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335"/>
      <w:rPr>
        <w:rStyle w:val="9"/>
        <w:rFonts w:hint="eastAsia" w:ascii="宋体" w:hAnsi="宋体" w:eastAsia="宋体"/>
        <w:sz w:val="28"/>
      </w:rPr>
    </w:pPr>
    <w:r>
      <w:rPr>
        <w:rStyle w:val="9"/>
        <w:rFonts w:hint="eastAsia" w:ascii="宋体" w:hAnsi="宋体" w:eastAsia="宋体"/>
        <w:sz w:val="28"/>
      </w:rPr>
      <w:t>—</w:t>
    </w:r>
    <w:r>
      <w:rPr>
        <w:rFonts w:ascii="宋体" w:hAnsi="宋体" w:eastAsia="宋体"/>
        <w:sz w:val="28"/>
      </w:rPr>
      <w:fldChar w:fldCharType="begin"/>
    </w:r>
    <w:r>
      <w:rPr>
        <w:rStyle w:val="9"/>
        <w:rFonts w:ascii="宋体" w:hAnsi="宋体" w:eastAsia="宋体"/>
        <w:sz w:val="28"/>
      </w:rPr>
      <w:instrText xml:space="preserve">PAGE  </w:instrText>
    </w:r>
    <w:r>
      <w:rPr>
        <w:rFonts w:ascii="宋体" w:hAnsi="宋体" w:eastAsia="宋体"/>
        <w:sz w:val="28"/>
      </w:rPr>
      <w:fldChar w:fldCharType="separate"/>
    </w:r>
    <w:r>
      <w:rPr>
        <w:rStyle w:val="9"/>
        <w:rFonts w:ascii="宋体" w:hAnsi="宋体" w:eastAsia="宋体"/>
        <w:sz w:val="28"/>
      </w:rPr>
      <w:t>4</w:t>
    </w:r>
    <w:r>
      <w:rPr>
        <w:rFonts w:ascii="宋体" w:hAnsi="宋体" w:eastAsia="宋体"/>
        <w:sz w:val="28"/>
      </w:rPr>
      <w:fldChar w:fldCharType="end"/>
    </w:r>
    <w:r>
      <w:rPr>
        <w:rStyle w:val="9"/>
        <w:rFonts w:hint="eastAsia" w:ascii="宋体" w:hAnsi="宋体" w:eastAsia="宋体"/>
        <w:sz w:val="28"/>
      </w:rPr>
      <w:t>—</w:t>
    </w:r>
  </w:p>
  <w:p>
    <w:pPr>
      <w:pStyle w:val="5"/>
      <w:ind w:left="300" w:right="360" w:firstLine="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yZTNkZjcxNTAxNTFkMmQxZDU0ZjUwMWU0ZGNmOTYifQ=="/>
  </w:docVars>
  <w:rsids>
    <w:rsidRoot w:val="00000000"/>
    <w:rsid w:val="01264FE9"/>
    <w:rsid w:val="19AF6752"/>
    <w:rsid w:val="1A8E3885"/>
    <w:rsid w:val="288C15FF"/>
    <w:rsid w:val="2C2D7BBC"/>
    <w:rsid w:val="2CDD401E"/>
    <w:rsid w:val="36531B9E"/>
    <w:rsid w:val="3ADF7F71"/>
    <w:rsid w:val="5D1B1D59"/>
    <w:rsid w:val="63C8153B"/>
    <w:rsid w:val="69221AB3"/>
    <w:rsid w:val="793136A5"/>
    <w:rsid w:val="7FBD1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99"/>
    <w:pPr>
      <w:ind w:firstLine="200" w:firstLineChars="200"/>
    </w:pPr>
  </w:style>
  <w:style w:type="paragraph" w:styleId="3">
    <w:name w:val="Body Text Indent"/>
    <w:basedOn w:val="1"/>
    <w:qFormat/>
    <w:uiPriority w:val="99"/>
    <w:pPr>
      <w:spacing w:after="120"/>
      <w:ind w:left="200" w:leftChars="200"/>
    </w:pPr>
  </w:style>
  <w:style w:type="paragraph" w:styleId="4">
    <w:name w:val="Body Text"/>
    <w:basedOn w:val="1"/>
    <w:next w:val="1"/>
    <w:qFormat/>
    <w:uiPriority w:val="99"/>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3068</Words>
  <Characters>3263</Characters>
  <Lines>0</Lines>
  <Paragraphs>0</Paragraphs>
  <TotalTime>1</TotalTime>
  <ScaleCrop>false</ScaleCrop>
  <LinksUpToDate>false</LinksUpToDate>
  <CharactersWithSpaces>3331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2023-04-18T08:10:00Z</dcterms:created>
  <dc:creator>admin</dc:creator>
  <cp:lastModifiedBy>D</cp:lastModifiedBy>
  <cp:lastPrinted>2023-05-04T08:33:00Z</cp:lastPrinted>
  <dcterms:modified xsi:type="dcterms:W3CDTF">2023-05-05T08:15:05Z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36995DCADFA94AF08D261C8EB4D9E42B_13</vt:lpwstr>
  </property>
</Properties>
</file>