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_GBK" w:cs="Times New Roman"/>
          <w:sz w:val="40"/>
          <w:szCs w:val="40"/>
        </w:rPr>
      </w:pPr>
      <w:r>
        <w:rPr>
          <w:rFonts w:hint="eastAsia" w:ascii="Times New Roman" w:hAnsi="Times New Roman" w:eastAsia="方正小标宋_GBK" w:cs="Times New Roman"/>
          <w:sz w:val="40"/>
          <w:szCs w:val="40"/>
          <w:lang w:val="en-US" w:eastAsia="zh-CN"/>
        </w:rPr>
        <w:t>2022年度人代会经费</w:t>
      </w:r>
      <w:r>
        <w:rPr>
          <w:rFonts w:hint="eastAsia" w:ascii="Times New Roman" w:hAnsi="Times New Roman" w:eastAsia="方正小标宋_GBK" w:cs="Times New Roman"/>
          <w:sz w:val="40"/>
          <w:szCs w:val="40"/>
          <w:lang w:eastAsia="zh-CN"/>
        </w:rPr>
        <w:t>项目资金</w:t>
      </w:r>
      <w:r>
        <w:rPr>
          <w:rFonts w:ascii="Times New Roman" w:hAnsi="Times New Roman" w:eastAsia="方正小标宋_GBK" w:cs="Times New Roman"/>
          <w:sz w:val="40"/>
          <w:szCs w:val="40"/>
        </w:rPr>
        <w:t>绩效</w:t>
      </w:r>
      <w:r>
        <w:rPr>
          <w:rFonts w:hint="eastAsia" w:ascii="Times New Roman" w:hAnsi="Times New Roman" w:eastAsia="方正小标宋_GBK" w:cs="Times New Roman"/>
          <w:sz w:val="40"/>
          <w:szCs w:val="40"/>
          <w:lang w:eastAsia="zh-CN"/>
        </w:rPr>
        <w:t>自评</w:t>
      </w:r>
      <w:r>
        <w:rPr>
          <w:rFonts w:ascii="Times New Roman" w:hAnsi="Times New Roman" w:eastAsia="方正小标宋_GBK" w:cs="Times New Roman"/>
          <w:sz w:val="40"/>
          <w:szCs w:val="40"/>
        </w:rPr>
        <w:t>报告</w:t>
      </w:r>
    </w:p>
    <w:p>
      <w:pPr>
        <w:adjustRightInd w:val="0"/>
        <w:spacing w:line="600" w:lineRule="exact"/>
        <w:ind w:right="641"/>
        <w:rPr>
          <w:rFonts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ascii="Times New Roman" w:hAnsi="Times New Roman" w:eastAsia="黑体" w:cs="Times New Roman"/>
          <w:sz w:val="32"/>
          <w:szCs w:val="32"/>
        </w:rPr>
      </w:pPr>
      <w:r>
        <w:rPr>
          <w:rFonts w:ascii="Times New Roman" w:hAnsi="Times New Roman" w:eastAsia="黑体" w:cs="Times New Roman"/>
          <w:sz w:val="32"/>
          <w:szCs w:val="32"/>
        </w:rPr>
        <w:t>一、项目概况</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lang w:eastAsia="zh-CN"/>
        </w:rPr>
      </w:pPr>
      <w:r>
        <w:rPr>
          <w:rFonts w:hint="eastAsia" w:ascii="楷体_GB2312" w:hAnsi="楷体_GB2312" w:eastAsia="楷体_GB2312" w:cs="楷体_GB2312"/>
          <w:lang w:eastAsia="zh-CN"/>
        </w:rPr>
        <w:t>（一）项目基本情况</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lang w:eastAsia="zh-CN"/>
        </w:rPr>
      </w:pPr>
      <w:r>
        <w:rPr>
          <w:rFonts w:hint="eastAsia"/>
          <w:lang w:eastAsia="zh-CN"/>
        </w:rPr>
        <w:t>根据《组织法》规定，地方各级人民代表大会是地方国家权力机关，县级以上各级人民代表大会设立常务委员会，对地方各级人民代表大会负责并报告工作，有明确的职权。地方各级人民代表大会每年举行一次会议，设区人大会议经费。</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lang w:eastAsia="zh-CN"/>
        </w:rPr>
      </w:pPr>
      <w:r>
        <w:rPr>
          <w:rFonts w:hint="eastAsia" w:ascii="楷体_GB2312" w:hAnsi="楷体_GB2312" w:eastAsia="楷体_GB2312" w:cs="楷体_GB2312"/>
          <w:lang w:eastAsia="zh-CN"/>
        </w:rPr>
        <w:t>（二）项目年度预算绩效目标和绩效指标设定情况</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lang w:eastAsia="zh-CN"/>
        </w:rPr>
      </w:pPr>
      <w:r>
        <w:rPr>
          <w:rFonts w:hint="eastAsia"/>
          <w:lang w:eastAsia="zh-CN"/>
        </w:rPr>
        <w:t>为确保区人民代表大会的顺利召开，2022年申请区人大会议经费</w:t>
      </w:r>
      <w:r>
        <w:rPr>
          <w:rFonts w:hint="eastAsia"/>
          <w:lang w:val="en-US" w:eastAsia="zh-CN"/>
        </w:rPr>
        <w:t>60</w:t>
      </w:r>
      <w:r>
        <w:rPr>
          <w:rFonts w:hint="eastAsia"/>
          <w:lang w:eastAsia="zh-CN"/>
        </w:rPr>
        <w:t>万元，用于益阳市资阳区</w:t>
      </w:r>
      <w:r>
        <w:rPr>
          <w:rFonts w:hint="eastAsia" w:ascii="仿宋_GB2312" w:hAnsi="微软雅黑" w:eastAsia="仿宋_GB2312" w:cs="仿宋_GB2312"/>
          <w:i w:val="0"/>
          <w:iCs w:val="0"/>
          <w:caps w:val="0"/>
          <w:color w:val="000000"/>
          <w:spacing w:val="0"/>
          <w:sz w:val="31"/>
          <w:szCs w:val="31"/>
          <w:shd w:val="clear" w:fill="FFFFFF"/>
          <w:vertAlign w:val="baseline"/>
          <w:lang w:eastAsia="zh-CN"/>
        </w:rPr>
        <w:t>区</w:t>
      </w:r>
      <w:r>
        <w:rPr>
          <w:rFonts w:hint="eastAsia" w:ascii="仿宋_GB2312" w:hAnsi="微软雅黑" w:eastAsia="仿宋_GB2312" w:cs="仿宋_GB2312"/>
          <w:i w:val="0"/>
          <w:iCs w:val="0"/>
          <w:caps w:val="0"/>
          <w:color w:val="000000"/>
          <w:spacing w:val="0"/>
          <w:sz w:val="31"/>
          <w:szCs w:val="31"/>
          <w:shd w:val="clear" w:fill="FFFFFF"/>
          <w:vertAlign w:val="baseline"/>
        </w:rPr>
        <w:t>第六届第</w:t>
      </w:r>
      <w:r>
        <w:rPr>
          <w:rFonts w:hint="eastAsia" w:ascii="仿宋_GB2312" w:hAnsi="微软雅黑" w:eastAsia="仿宋_GB2312" w:cs="仿宋_GB2312"/>
          <w:i w:val="0"/>
          <w:iCs w:val="0"/>
          <w:caps w:val="0"/>
          <w:color w:val="000000"/>
          <w:spacing w:val="0"/>
          <w:sz w:val="31"/>
          <w:szCs w:val="31"/>
          <w:shd w:val="clear" w:fill="FFFFFF"/>
          <w:vertAlign w:val="baseline"/>
          <w:lang w:eastAsia="zh-CN"/>
        </w:rPr>
        <w:t>二</w:t>
      </w:r>
      <w:r>
        <w:rPr>
          <w:rFonts w:hint="eastAsia" w:ascii="仿宋_GB2312" w:hAnsi="微软雅黑" w:eastAsia="仿宋_GB2312" w:cs="仿宋_GB2312"/>
          <w:i w:val="0"/>
          <w:iCs w:val="0"/>
          <w:caps w:val="0"/>
          <w:color w:val="000000"/>
          <w:spacing w:val="0"/>
          <w:sz w:val="31"/>
          <w:szCs w:val="31"/>
          <w:shd w:val="clear" w:fill="FFFFFF"/>
          <w:vertAlign w:val="baseline"/>
        </w:rPr>
        <w:t>次人民代表大会</w:t>
      </w:r>
      <w:r>
        <w:rPr>
          <w:rFonts w:hint="eastAsia"/>
          <w:lang w:eastAsia="zh-CN"/>
        </w:rPr>
        <w:t>支出。区人大代表大会依法行使职权，紧紧围绕省委、市委及区委中心服务大局，突出重点，不断提高会议效率和质量，科学决策，保证宪法、法律和行政法规和上级人民代表大会及其常委会决议的遵守和执行，依法维护好广大人民群众的根本利益。保障省委、市委及区委的决策和部署得到正确的实施，助推资阳区经济发展和社会稳定。</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Times New Roman" w:hAnsi="Times New Roman" w:eastAsia="黑体" w:cs="Times New Roman"/>
          <w:sz w:val="32"/>
          <w:szCs w:val="32"/>
          <w:lang w:eastAsia="zh-CN"/>
        </w:rPr>
      </w:pPr>
      <w:r>
        <w:rPr>
          <w:rFonts w:ascii="Times New Roman" w:hAnsi="Times New Roman" w:eastAsia="黑体" w:cs="Times New Roman"/>
          <w:sz w:val="32"/>
          <w:szCs w:val="32"/>
        </w:rPr>
        <w:t>二、</w:t>
      </w:r>
      <w:r>
        <w:rPr>
          <w:rFonts w:hint="eastAsia" w:ascii="Times New Roman" w:hAnsi="Times New Roman" w:eastAsia="黑体" w:cs="Times New Roman"/>
          <w:sz w:val="32"/>
          <w:szCs w:val="32"/>
          <w:lang w:eastAsia="zh-CN"/>
        </w:rPr>
        <w:t>绩效自评工作开展情况</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lang w:eastAsia="zh-CN"/>
        </w:rPr>
      </w:pPr>
      <w:r>
        <w:rPr>
          <w:rFonts w:hint="eastAsia" w:ascii="楷体_GB2312" w:hAnsi="楷体_GB2312" w:eastAsia="楷体_GB2312" w:cs="楷体_GB2312"/>
          <w:lang w:eastAsia="zh-CN"/>
        </w:rPr>
        <w:t>(一)绩效评价目的</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lang w:eastAsia="zh-CN"/>
        </w:rPr>
      </w:pPr>
      <w:r>
        <w:rPr>
          <w:rFonts w:hint="eastAsia"/>
          <w:lang w:eastAsia="zh-CN"/>
        </w:rPr>
        <w:t>本次绩效评价目的是为了深入贯彻落实地方组织法要求和中央人大工作会议精神，确保区人民代表大会的顺利召开，进一步加强人大代表同人民群众的联系，助推资阳区经济发展和社会稳定。强化支出责任，客观、公正的评价财政资金使用、项目的实施、制度的建设和取得的成效，总结经验，发现问题，提出改进的意见和建议。</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lang w:eastAsia="zh-CN"/>
        </w:rPr>
      </w:pPr>
      <w:r>
        <w:rPr>
          <w:rFonts w:hint="eastAsia" w:ascii="楷体_GB2312" w:hAnsi="楷体_GB2312" w:eastAsia="楷体_GB2312" w:cs="楷体_GB2312"/>
          <w:lang w:eastAsia="zh-CN"/>
        </w:rPr>
        <w:t>(二)绩效评价原则</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lang w:eastAsia="zh-CN"/>
        </w:rPr>
      </w:pPr>
      <w:r>
        <w:rPr>
          <w:rFonts w:hint="eastAsia"/>
          <w:lang w:val="en-US" w:eastAsia="zh-CN"/>
        </w:rPr>
        <w:t>1、</w:t>
      </w:r>
      <w:r>
        <w:rPr>
          <w:rFonts w:hint="eastAsia"/>
          <w:lang w:eastAsia="zh-CN"/>
        </w:rPr>
        <w:t>科学规范原则。绩效评价应当严格执行规定程序，按照科学可行的要求，采取定量与定性分析相结合的方法。</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lang w:eastAsia="zh-CN"/>
        </w:rPr>
      </w:pPr>
      <w:r>
        <w:rPr>
          <w:rFonts w:hint="eastAsia"/>
          <w:lang w:val="en-US" w:eastAsia="zh-CN"/>
        </w:rPr>
        <w:t>2、</w:t>
      </w:r>
      <w:r>
        <w:rPr>
          <w:rFonts w:hint="eastAsia"/>
          <w:lang w:eastAsia="zh-CN"/>
        </w:rPr>
        <w:t>公正公开原则。绩效评价应当符合真实、客观、公正的要求，依法公开接受监督。</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lang w:eastAsia="zh-CN"/>
        </w:rPr>
      </w:pPr>
      <w:r>
        <w:rPr>
          <w:rFonts w:hint="eastAsia"/>
          <w:lang w:val="en-US" w:eastAsia="zh-CN"/>
        </w:rPr>
        <w:t>3、</w:t>
      </w:r>
      <w:r>
        <w:rPr>
          <w:rFonts w:hint="eastAsia"/>
          <w:lang w:eastAsia="zh-CN"/>
        </w:rPr>
        <w:t>分级分类原则。绩效评价要根据评价对象的特点分类组织实施。</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lang w:eastAsia="zh-CN"/>
        </w:rPr>
      </w:pPr>
      <w:r>
        <w:rPr>
          <w:rFonts w:hint="eastAsia"/>
          <w:lang w:val="en-US" w:eastAsia="zh-CN"/>
        </w:rPr>
        <w:t>4、</w:t>
      </w:r>
      <w:r>
        <w:rPr>
          <w:rFonts w:hint="eastAsia"/>
          <w:lang w:eastAsia="zh-CN"/>
        </w:rPr>
        <w:t>绩效相关原则。绩效评价应当针对具体支出及其产出绩效进行，评价结果应当清晰反应支出和产出绩效之间的紧密对应关系。</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lang w:eastAsia="zh-CN"/>
        </w:rPr>
      </w:pPr>
      <w:r>
        <w:rPr>
          <w:rFonts w:hint="eastAsia" w:ascii="楷体_GB2312" w:hAnsi="楷体_GB2312" w:eastAsia="楷体_GB2312" w:cs="楷体_GB2312"/>
          <w:lang w:val="en-US" w:eastAsia="zh-CN"/>
        </w:rPr>
        <w:t>（三）</w:t>
      </w:r>
      <w:r>
        <w:rPr>
          <w:rFonts w:hint="eastAsia" w:ascii="楷体_GB2312" w:hAnsi="楷体_GB2312" w:eastAsia="楷体_GB2312" w:cs="楷体_GB2312"/>
          <w:lang w:eastAsia="zh-CN"/>
        </w:rPr>
        <w:t>绩效评价方法</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lang w:eastAsia="zh-CN"/>
        </w:rPr>
      </w:pPr>
      <w:r>
        <w:rPr>
          <w:rFonts w:hint="eastAsia"/>
          <w:lang w:eastAsia="zh-CN"/>
        </w:rPr>
        <w:t>绩效评价应由购买主体、服务对象及第三方组成的综合性评审机制，对购买服务数量、质量和资金使用绩效等进行考核评审。坚持过程评审与结果评审、短期效果与长远效果评审、社会效益评审与经济效益评审相结合，确保评审工作的全面性、客观性和科学性。评价工作应坚持简便有效的原则，根据实际情况，采用一种或多种方法进行绩效评价。自评采用定量与定性评价相结合的比较法。</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lang w:eastAsia="zh-CN"/>
        </w:rPr>
      </w:pPr>
      <w:r>
        <w:rPr>
          <w:rFonts w:hint="eastAsia" w:ascii="楷体_GB2312" w:hAnsi="楷体_GB2312" w:eastAsia="楷体_GB2312" w:cs="楷体_GB2312"/>
          <w:lang w:val="en-US" w:eastAsia="zh-CN"/>
        </w:rPr>
        <w:t>（四）</w:t>
      </w:r>
      <w:r>
        <w:rPr>
          <w:rFonts w:hint="eastAsia" w:ascii="楷体_GB2312" w:hAnsi="楷体_GB2312" w:eastAsia="楷体_GB2312" w:cs="楷体_GB2312"/>
          <w:lang w:eastAsia="zh-CN"/>
        </w:rPr>
        <w:t>绩效评价工作过程</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lang w:eastAsia="zh-CN"/>
        </w:rPr>
      </w:pPr>
      <w:r>
        <w:rPr>
          <w:rFonts w:hint="eastAsia"/>
          <w:lang w:eastAsia="zh-CN"/>
        </w:rPr>
        <w:t>我单位充分认识财政支出项目绩效评价工作的重要和必要性，加强组织领导，落实项目自评工作具体工作人员，确保绩效自评工作顺利进行。深入实地调查、收集整理相关基础数据，落实项目实施、运行及资金使用情况，并对所有数据材料进行汇总、分析，形成绩效自评报告。</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Times New Roman" w:hAnsi="Times New Roman" w:eastAsia="黑体" w:cs="Times New Roman"/>
          <w:sz w:val="32"/>
          <w:szCs w:val="32"/>
          <w:lang w:eastAsia="zh-CN"/>
        </w:rPr>
      </w:pPr>
      <w:r>
        <w:rPr>
          <w:rFonts w:ascii="Times New Roman" w:hAnsi="Times New Roman" w:eastAsia="黑体" w:cs="Times New Roman"/>
          <w:sz w:val="32"/>
          <w:szCs w:val="32"/>
        </w:rPr>
        <w:t>三、</w:t>
      </w:r>
      <w:r>
        <w:rPr>
          <w:rFonts w:hint="eastAsia" w:ascii="Times New Roman" w:hAnsi="Times New Roman" w:eastAsia="黑体" w:cs="Times New Roman"/>
          <w:sz w:val="32"/>
          <w:szCs w:val="32"/>
          <w:lang w:eastAsia="zh-CN"/>
        </w:rPr>
        <w:t>综合评价结论</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我</w:t>
      </w:r>
      <w:r>
        <w:rPr>
          <w:rFonts w:hint="eastAsia" w:ascii="Times New Roman" w:hAnsi="Times New Roman" w:cs="Times New Roman"/>
          <w:sz w:val="32"/>
          <w:szCs w:val="32"/>
          <w:lang w:eastAsia="zh-CN"/>
        </w:rPr>
        <w:t>单位</w:t>
      </w:r>
      <w:r>
        <w:rPr>
          <w:rFonts w:hint="eastAsia" w:ascii="仿宋_GB2312" w:hAnsi="仿宋"/>
          <w:szCs w:val="32"/>
        </w:rPr>
        <w:t>自评结论</w:t>
      </w:r>
      <w:r>
        <w:rPr>
          <w:rFonts w:hint="eastAsia" w:ascii="Times New Roman" w:hAnsi="Times New Roman" w:eastAsia="仿宋_GB2312" w:cs="Times New Roman"/>
          <w:sz w:val="32"/>
          <w:szCs w:val="32"/>
          <w:lang w:eastAsia="zh-CN"/>
        </w:rPr>
        <w:t>认为该项目绩效评价等次为</w:t>
      </w:r>
      <w:r>
        <w:rPr>
          <w:rFonts w:hint="eastAsia" w:ascii="Times New Roman" w:hAnsi="Times New Roman" w:cs="Times New Roman"/>
          <w:sz w:val="32"/>
          <w:szCs w:val="32"/>
          <w:lang w:eastAsia="zh-CN"/>
        </w:rPr>
        <w:t>优秀</w:t>
      </w:r>
      <w:r>
        <w:rPr>
          <w:rFonts w:hint="eastAsia" w:ascii="Times New Roman" w:hAnsi="Times New Roman" w:eastAsia="仿宋_GB2312" w:cs="Times New Roman"/>
          <w:sz w:val="32"/>
          <w:szCs w:val="32"/>
          <w:lang w:eastAsia="zh-CN"/>
        </w:rPr>
        <w:t>,得</w:t>
      </w:r>
      <w:r>
        <w:rPr>
          <w:rFonts w:hint="eastAsia" w:ascii="Times New Roman" w:hAnsi="Times New Roman" w:eastAsia="仿宋_GB2312" w:cs="Times New Roman"/>
          <w:color w:val="auto"/>
          <w:sz w:val="32"/>
          <w:szCs w:val="32"/>
          <w:lang w:eastAsia="zh-CN"/>
        </w:rPr>
        <w:t>分</w:t>
      </w:r>
      <w:r>
        <w:rPr>
          <w:rFonts w:hint="eastAsia" w:ascii="Times New Roman" w:hAnsi="Times New Roman" w:cs="Times New Roman"/>
          <w:color w:val="auto"/>
          <w:sz w:val="32"/>
          <w:szCs w:val="32"/>
          <w:highlight w:val="none"/>
          <w:lang w:val="en-US" w:eastAsia="zh-CN"/>
        </w:rPr>
        <w:t>99.6</w:t>
      </w:r>
      <w:r>
        <w:rPr>
          <w:rFonts w:hint="eastAsia" w:ascii="Times New Roman" w:hAnsi="Times New Roman" w:eastAsia="仿宋_GB2312" w:cs="Times New Roman"/>
          <w:sz w:val="32"/>
          <w:szCs w:val="32"/>
          <w:lang w:eastAsia="zh-CN"/>
        </w:rPr>
        <w:t>分。</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四、绩效目标实现情况分析</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微软雅黑" w:hAnsi="微软雅黑" w:eastAsia="微软雅黑" w:cs="微软雅黑"/>
          <w:b w:val="0"/>
          <w:bCs/>
          <w:i w:val="0"/>
          <w:iCs w:val="0"/>
          <w:caps w:val="0"/>
          <w:color w:val="000000"/>
          <w:spacing w:val="0"/>
          <w:sz w:val="32"/>
          <w:szCs w:val="32"/>
        </w:rPr>
      </w:pPr>
      <w:r>
        <w:rPr>
          <w:rFonts w:hint="eastAsia" w:ascii="楷体_GB2312" w:hAnsi="Times New Roman" w:eastAsia="楷体_GB2312" w:cs="Times New Roman"/>
          <w:b w:val="0"/>
          <w:bCs/>
          <w:kern w:val="2"/>
          <w:sz w:val="32"/>
          <w:szCs w:val="32"/>
          <w:lang w:val="en-US" w:eastAsia="zh-CN" w:bidi="ar-SA"/>
        </w:rPr>
        <w:t>（一）项目资金使用及管理情况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45"/>
        <w:textAlignment w:val="baseline"/>
        <w:rPr>
          <w:rFonts w:hint="eastAsia" w:ascii="微软雅黑" w:hAnsi="微软雅黑" w:eastAsia="微软雅黑" w:cs="微软雅黑"/>
          <w:i w:val="0"/>
          <w:iCs w:val="0"/>
          <w:caps w:val="0"/>
          <w:color w:val="000000"/>
          <w:spacing w:val="0"/>
          <w:sz w:val="21"/>
          <w:szCs w:val="21"/>
        </w:rPr>
      </w:pPr>
      <w:r>
        <w:rPr>
          <w:rFonts w:hint="eastAsia" w:ascii="Times New Roman" w:hAnsi="Times New Roman" w:eastAsia="仿宋_GB2312" w:cs="Times New Roman"/>
          <w:kern w:val="2"/>
          <w:sz w:val="32"/>
          <w:szCs w:val="32"/>
          <w:lang w:val="en-US" w:eastAsia="zh-CN" w:bidi="ar-SA"/>
        </w:rPr>
        <w:t>1、项目资金安排落实、总投入等情况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45"/>
        <w:textAlignment w:val="baseline"/>
        <w:rPr>
          <w:rFonts w:hint="eastAsia" w:ascii="微软雅黑" w:hAnsi="微软雅黑" w:eastAsia="微软雅黑" w:cs="微软雅黑"/>
          <w:i w:val="0"/>
          <w:iCs w:val="0"/>
          <w:caps w:val="0"/>
          <w:color w:val="000000"/>
          <w:spacing w:val="0"/>
          <w:sz w:val="21"/>
          <w:szCs w:val="21"/>
        </w:rPr>
      </w:pPr>
      <w:r>
        <w:rPr>
          <w:rFonts w:hint="default" w:ascii="仿宋_GB2312" w:hAnsi="微软雅黑" w:eastAsia="仿宋_GB2312" w:cs="仿宋_GB2312"/>
          <w:i w:val="0"/>
          <w:iCs w:val="0"/>
          <w:caps w:val="0"/>
          <w:color w:val="000000"/>
          <w:spacing w:val="0"/>
          <w:sz w:val="31"/>
          <w:szCs w:val="31"/>
          <w:shd w:val="clear" w:fill="FFFFFF"/>
          <w:vertAlign w:val="baseline"/>
        </w:rPr>
        <w:t>预算情况如下：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165"/>
        <w:textAlignment w:val="baseline"/>
        <w:rPr>
          <w:rFonts w:hint="eastAsia" w:ascii="微软雅黑" w:hAnsi="微软雅黑" w:eastAsia="微软雅黑" w:cs="微软雅黑"/>
          <w:i w:val="0"/>
          <w:iCs w:val="0"/>
          <w:caps w:val="0"/>
          <w:color w:val="000000"/>
          <w:spacing w:val="0"/>
          <w:sz w:val="21"/>
          <w:szCs w:val="21"/>
        </w:rPr>
      </w:pPr>
      <w:r>
        <w:rPr>
          <w:rFonts w:hint="default" w:ascii="仿宋_GB2312" w:hAnsi="微软雅黑" w:eastAsia="仿宋_GB2312" w:cs="仿宋_GB2312"/>
          <w:i w:val="0"/>
          <w:iCs w:val="0"/>
          <w:caps w:val="0"/>
          <w:color w:val="000000"/>
          <w:spacing w:val="0"/>
          <w:sz w:val="31"/>
          <w:szCs w:val="31"/>
          <w:shd w:val="clear" w:fill="FFFFFF"/>
          <w:vertAlign w:val="baseline"/>
        </w:rPr>
        <w:t>   资金总额-年初预算数</w:t>
      </w:r>
      <w:r>
        <w:rPr>
          <w:rFonts w:hint="eastAsia" w:ascii="仿宋_GB2312" w:hAnsi="微软雅黑" w:eastAsia="仿宋_GB2312" w:cs="仿宋_GB2312"/>
          <w:i w:val="0"/>
          <w:iCs w:val="0"/>
          <w:caps w:val="0"/>
          <w:color w:val="000000"/>
          <w:spacing w:val="0"/>
          <w:sz w:val="31"/>
          <w:szCs w:val="31"/>
          <w:shd w:val="clear" w:fill="FFFFFF"/>
          <w:vertAlign w:val="baseline"/>
          <w:lang w:val="en-US" w:eastAsia="zh-CN"/>
        </w:rPr>
        <w:t>600000</w:t>
      </w:r>
      <w:r>
        <w:rPr>
          <w:rFonts w:hint="default" w:ascii="仿宋_GB2312" w:hAnsi="微软雅黑" w:eastAsia="仿宋_GB2312" w:cs="仿宋_GB2312"/>
          <w:i w:val="0"/>
          <w:iCs w:val="0"/>
          <w:caps w:val="0"/>
          <w:color w:val="000000"/>
          <w:spacing w:val="0"/>
          <w:sz w:val="31"/>
          <w:szCs w:val="31"/>
          <w:shd w:val="clear" w:fill="FFFFFF"/>
          <w:vertAlign w:val="baseline"/>
        </w:rPr>
        <w:t>元，资金总额-全年预算数</w:t>
      </w:r>
      <w:r>
        <w:rPr>
          <w:rFonts w:hint="eastAsia" w:ascii="仿宋_GB2312" w:hAnsi="微软雅黑" w:eastAsia="仿宋_GB2312" w:cs="仿宋_GB2312"/>
          <w:i w:val="0"/>
          <w:iCs w:val="0"/>
          <w:caps w:val="0"/>
          <w:color w:val="000000"/>
          <w:spacing w:val="0"/>
          <w:sz w:val="31"/>
          <w:szCs w:val="31"/>
          <w:shd w:val="clear" w:fill="FFFFFF"/>
          <w:vertAlign w:val="baseline"/>
          <w:lang w:val="en-US" w:eastAsia="zh-CN"/>
        </w:rPr>
        <w:t>600000</w:t>
      </w:r>
      <w:r>
        <w:rPr>
          <w:rFonts w:hint="default" w:ascii="仿宋_GB2312" w:hAnsi="微软雅黑" w:eastAsia="仿宋_GB2312" w:cs="仿宋_GB2312"/>
          <w:i w:val="0"/>
          <w:iCs w:val="0"/>
          <w:caps w:val="0"/>
          <w:color w:val="000000"/>
          <w:spacing w:val="0"/>
          <w:sz w:val="31"/>
          <w:szCs w:val="31"/>
          <w:shd w:val="clear" w:fill="FFFFFF"/>
          <w:vertAlign w:val="baseline"/>
        </w:rPr>
        <w:t>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165"/>
        <w:textAlignment w:val="baseline"/>
        <w:rPr>
          <w:rFonts w:hint="eastAsia" w:ascii="微软雅黑" w:hAnsi="微软雅黑" w:eastAsia="微软雅黑" w:cs="微软雅黑"/>
          <w:i w:val="0"/>
          <w:iCs w:val="0"/>
          <w:caps w:val="0"/>
          <w:color w:val="000000"/>
          <w:spacing w:val="0"/>
          <w:sz w:val="21"/>
          <w:szCs w:val="21"/>
        </w:rPr>
      </w:pPr>
      <w:r>
        <w:rPr>
          <w:rFonts w:hint="default" w:ascii="仿宋_GB2312" w:hAnsi="微软雅黑" w:eastAsia="仿宋_GB2312" w:cs="仿宋_GB2312"/>
          <w:i w:val="0"/>
          <w:iCs w:val="0"/>
          <w:caps w:val="0"/>
          <w:color w:val="000000"/>
          <w:spacing w:val="0"/>
          <w:sz w:val="31"/>
          <w:szCs w:val="31"/>
          <w:shd w:val="clear" w:fill="FFFFFF"/>
          <w:vertAlign w:val="baseline"/>
        </w:rPr>
        <w:t>   财政资金-年初预算数</w:t>
      </w:r>
      <w:r>
        <w:rPr>
          <w:rFonts w:hint="eastAsia" w:ascii="仿宋_GB2312" w:hAnsi="微软雅黑" w:eastAsia="仿宋_GB2312" w:cs="仿宋_GB2312"/>
          <w:i w:val="0"/>
          <w:iCs w:val="0"/>
          <w:caps w:val="0"/>
          <w:color w:val="000000"/>
          <w:spacing w:val="0"/>
          <w:sz w:val="31"/>
          <w:szCs w:val="31"/>
          <w:shd w:val="clear" w:fill="FFFFFF"/>
          <w:vertAlign w:val="baseline"/>
          <w:lang w:val="en-US" w:eastAsia="zh-CN"/>
        </w:rPr>
        <w:t>600000</w:t>
      </w:r>
      <w:r>
        <w:rPr>
          <w:rFonts w:hint="default" w:ascii="仿宋_GB2312" w:hAnsi="微软雅黑" w:eastAsia="仿宋_GB2312" w:cs="仿宋_GB2312"/>
          <w:i w:val="0"/>
          <w:iCs w:val="0"/>
          <w:caps w:val="0"/>
          <w:color w:val="000000"/>
          <w:spacing w:val="0"/>
          <w:sz w:val="31"/>
          <w:szCs w:val="31"/>
          <w:shd w:val="clear" w:fill="FFFFFF"/>
          <w:vertAlign w:val="baseline"/>
        </w:rPr>
        <w:t>元财政资金-全年预算数</w:t>
      </w:r>
      <w:r>
        <w:rPr>
          <w:rFonts w:hint="eastAsia" w:ascii="仿宋_GB2312" w:hAnsi="微软雅黑" w:eastAsia="仿宋_GB2312" w:cs="仿宋_GB2312"/>
          <w:i w:val="0"/>
          <w:iCs w:val="0"/>
          <w:caps w:val="0"/>
          <w:color w:val="000000"/>
          <w:spacing w:val="0"/>
          <w:sz w:val="31"/>
          <w:szCs w:val="31"/>
          <w:shd w:val="clear" w:fill="FFFFFF"/>
          <w:vertAlign w:val="baseline"/>
          <w:lang w:val="en-US" w:eastAsia="zh-CN"/>
        </w:rPr>
        <w:t>600000</w:t>
      </w:r>
      <w:r>
        <w:rPr>
          <w:rFonts w:hint="default" w:ascii="仿宋_GB2312" w:hAnsi="微软雅黑" w:eastAsia="仿宋_GB2312" w:cs="仿宋_GB2312"/>
          <w:i w:val="0"/>
          <w:iCs w:val="0"/>
          <w:caps w:val="0"/>
          <w:color w:val="000000"/>
          <w:spacing w:val="0"/>
          <w:sz w:val="31"/>
          <w:szCs w:val="31"/>
          <w:shd w:val="clear" w:fill="FFFFFF"/>
          <w:vertAlign w:val="baseline"/>
        </w:rPr>
        <w:t>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165"/>
        <w:textAlignment w:val="baseline"/>
        <w:rPr>
          <w:rFonts w:hint="eastAsia" w:ascii="微软雅黑" w:hAnsi="微软雅黑" w:eastAsia="微软雅黑" w:cs="微软雅黑"/>
          <w:i w:val="0"/>
          <w:iCs w:val="0"/>
          <w:caps w:val="0"/>
          <w:color w:val="000000"/>
          <w:spacing w:val="0"/>
          <w:sz w:val="21"/>
          <w:szCs w:val="21"/>
        </w:rPr>
      </w:pPr>
      <w:r>
        <w:rPr>
          <w:rFonts w:hint="default" w:ascii="仿宋_GB2312" w:hAnsi="微软雅黑" w:eastAsia="仿宋_GB2312" w:cs="仿宋_GB2312"/>
          <w:i w:val="0"/>
          <w:iCs w:val="0"/>
          <w:caps w:val="0"/>
          <w:color w:val="000000"/>
          <w:spacing w:val="0"/>
          <w:sz w:val="31"/>
          <w:szCs w:val="31"/>
          <w:shd w:val="clear" w:fill="FFFFFF"/>
          <w:vertAlign w:val="baseline"/>
        </w:rPr>
        <w:t>   专户-年初预算数0元，专户全年预算数0元，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165"/>
        <w:textAlignment w:val="baseline"/>
        <w:rPr>
          <w:rFonts w:hint="eastAsia" w:ascii="微软雅黑" w:hAnsi="微软雅黑" w:eastAsia="微软雅黑" w:cs="微软雅黑"/>
          <w:i w:val="0"/>
          <w:iCs w:val="0"/>
          <w:caps w:val="0"/>
          <w:color w:val="000000"/>
          <w:spacing w:val="0"/>
          <w:sz w:val="21"/>
          <w:szCs w:val="21"/>
        </w:rPr>
      </w:pPr>
      <w:r>
        <w:rPr>
          <w:rFonts w:hint="default" w:ascii="仿宋_GB2312" w:hAnsi="微软雅黑" w:eastAsia="仿宋_GB2312" w:cs="仿宋_GB2312"/>
          <w:i w:val="0"/>
          <w:iCs w:val="0"/>
          <w:caps w:val="0"/>
          <w:color w:val="000000"/>
          <w:spacing w:val="0"/>
          <w:sz w:val="31"/>
          <w:szCs w:val="31"/>
          <w:shd w:val="clear" w:fill="FFFFFF"/>
          <w:vertAlign w:val="baseline"/>
        </w:rPr>
        <w:t>   单位年初预算数0元，单位全年预算数0元。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45"/>
        <w:textAlignment w:val="baseline"/>
        <w:rPr>
          <w:rFonts w:hint="eastAsia" w:ascii="微软雅黑" w:hAnsi="微软雅黑" w:eastAsia="微软雅黑" w:cs="微软雅黑"/>
          <w:i w:val="0"/>
          <w:iCs w:val="0"/>
          <w:caps w:val="0"/>
          <w:color w:val="000000"/>
          <w:spacing w:val="0"/>
          <w:sz w:val="21"/>
          <w:szCs w:val="21"/>
        </w:rPr>
      </w:pPr>
      <w:r>
        <w:rPr>
          <w:rFonts w:hint="eastAsia" w:ascii="楷体" w:hAnsi="楷体" w:eastAsia="楷体" w:cs="楷体"/>
          <w:i w:val="0"/>
          <w:iCs w:val="0"/>
          <w:caps w:val="0"/>
          <w:color w:val="000000"/>
          <w:spacing w:val="0"/>
          <w:sz w:val="31"/>
          <w:szCs w:val="31"/>
          <w:shd w:val="clear" w:fill="FFFFFF"/>
          <w:vertAlign w:val="baseline"/>
          <w:lang w:val="en-US" w:eastAsia="zh-CN"/>
        </w:rPr>
        <w:t>2、</w:t>
      </w:r>
      <w:r>
        <w:rPr>
          <w:rFonts w:hint="eastAsia" w:ascii="楷体" w:hAnsi="楷体" w:eastAsia="楷体" w:cs="楷体"/>
          <w:i w:val="0"/>
          <w:iCs w:val="0"/>
          <w:caps w:val="0"/>
          <w:color w:val="000000"/>
          <w:spacing w:val="0"/>
          <w:sz w:val="31"/>
          <w:szCs w:val="31"/>
          <w:shd w:val="clear" w:fill="FFFFFF"/>
          <w:vertAlign w:val="baseline"/>
        </w:rPr>
        <w:t>项目资金实际使用情况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45"/>
        <w:textAlignment w:val="baseline"/>
        <w:rPr>
          <w:rFonts w:hint="eastAsia" w:ascii="微软雅黑" w:hAnsi="微软雅黑" w:eastAsia="微软雅黑" w:cs="微软雅黑"/>
          <w:i w:val="0"/>
          <w:iCs w:val="0"/>
          <w:caps w:val="0"/>
          <w:color w:val="000000"/>
          <w:spacing w:val="0"/>
          <w:sz w:val="21"/>
          <w:szCs w:val="21"/>
        </w:rPr>
      </w:pPr>
      <w:r>
        <w:rPr>
          <w:rFonts w:hint="default" w:ascii="仿宋_GB2312" w:hAnsi="微软雅黑" w:eastAsia="仿宋_GB2312" w:cs="仿宋_GB2312"/>
          <w:i w:val="0"/>
          <w:iCs w:val="0"/>
          <w:caps w:val="0"/>
          <w:color w:val="000000"/>
          <w:spacing w:val="0"/>
          <w:sz w:val="31"/>
          <w:szCs w:val="31"/>
          <w:shd w:val="clear" w:fill="FFFFFF"/>
          <w:vertAlign w:val="baseline"/>
        </w:rPr>
        <w:t>资金执行情况如下：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165"/>
        <w:textAlignment w:val="baseline"/>
        <w:rPr>
          <w:rFonts w:hint="eastAsia" w:ascii="微软雅黑" w:hAnsi="微软雅黑" w:eastAsia="微软雅黑" w:cs="微软雅黑"/>
          <w:i w:val="0"/>
          <w:iCs w:val="0"/>
          <w:caps w:val="0"/>
          <w:color w:val="000000"/>
          <w:spacing w:val="0"/>
          <w:sz w:val="21"/>
          <w:szCs w:val="21"/>
        </w:rPr>
      </w:pPr>
      <w:r>
        <w:rPr>
          <w:rFonts w:hint="default" w:ascii="仿宋_GB2312" w:hAnsi="微软雅黑" w:eastAsia="仿宋_GB2312" w:cs="仿宋_GB2312"/>
          <w:i w:val="0"/>
          <w:iCs w:val="0"/>
          <w:caps w:val="0"/>
          <w:color w:val="000000"/>
          <w:spacing w:val="0"/>
          <w:sz w:val="31"/>
          <w:szCs w:val="31"/>
          <w:shd w:val="clear" w:fill="FFFFFF"/>
          <w:vertAlign w:val="baseline"/>
        </w:rPr>
        <w:t>   资金总额-全年执行数</w:t>
      </w:r>
      <w:r>
        <w:rPr>
          <w:rFonts w:hint="eastAsia" w:ascii="仿宋_GB2312" w:hAnsi="微软雅黑" w:eastAsia="仿宋_GB2312" w:cs="仿宋_GB2312"/>
          <w:i w:val="0"/>
          <w:iCs w:val="0"/>
          <w:caps w:val="0"/>
          <w:color w:val="000000"/>
          <w:spacing w:val="0"/>
          <w:sz w:val="31"/>
          <w:szCs w:val="31"/>
          <w:shd w:val="clear" w:fill="FFFFFF"/>
          <w:vertAlign w:val="baseline"/>
          <w:lang w:val="en-US" w:eastAsia="zh-CN"/>
        </w:rPr>
        <w:t>600000</w:t>
      </w:r>
      <w:r>
        <w:rPr>
          <w:rFonts w:hint="default" w:ascii="仿宋_GB2312" w:hAnsi="微软雅黑" w:eastAsia="仿宋_GB2312" w:cs="仿宋_GB2312"/>
          <w:i w:val="0"/>
          <w:iCs w:val="0"/>
          <w:caps w:val="0"/>
          <w:color w:val="000000"/>
          <w:spacing w:val="0"/>
          <w:sz w:val="31"/>
          <w:szCs w:val="31"/>
          <w:shd w:val="clear" w:fill="FFFFFF"/>
          <w:vertAlign w:val="baseline"/>
        </w:rPr>
        <w:t>元，资金总额-执行率</w:t>
      </w:r>
      <w:r>
        <w:rPr>
          <w:rFonts w:hint="eastAsia" w:ascii="仿宋_GB2312" w:hAnsi="微软雅黑" w:eastAsia="仿宋_GB2312" w:cs="仿宋_GB2312"/>
          <w:i w:val="0"/>
          <w:iCs w:val="0"/>
          <w:caps w:val="0"/>
          <w:color w:val="000000"/>
          <w:spacing w:val="0"/>
          <w:sz w:val="31"/>
          <w:szCs w:val="31"/>
          <w:shd w:val="clear" w:fill="FFFFFF"/>
          <w:vertAlign w:val="baseline"/>
          <w:lang w:val="en-US" w:eastAsia="zh-CN"/>
        </w:rPr>
        <w:t>100.00</w:t>
      </w:r>
      <w:r>
        <w:rPr>
          <w:rFonts w:hint="default" w:ascii="仿宋_GB2312" w:hAnsi="微软雅黑" w:eastAsia="仿宋_GB2312" w:cs="仿宋_GB2312"/>
          <w:i w:val="0"/>
          <w:iCs w:val="0"/>
          <w:caps w:val="0"/>
          <w:color w:val="000000"/>
          <w:spacing w:val="0"/>
          <w:sz w:val="31"/>
          <w:szCs w:val="31"/>
          <w:shd w:val="clear" w:fill="FFFFFF"/>
          <w:vertAlign w:val="baseline"/>
        </w:rPr>
        <w:t>%元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165"/>
        <w:textAlignment w:val="baseline"/>
        <w:rPr>
          <w:rFonts w:hint="eastAsia" w:ascii="微软雅黑" w:hAnsi="微软雅黑" w:eastAsia="微软雅黑" w:cs="微软雅黑"/>
          <w:i w:val="0"/>
          <w:iCs w:val="0"/>
          <w:caps w:val="0"/>
          <w:color w:val="000000"/>
          <w:spacing w:val="0"/>
          <w:sz w:val="21"/>
          <w:szCs w:val="21"/>
        </w:rPr>
      </w:pPr>
      <w:r>
        <w:rPr>
          <w:rFonts w:hint="default" w:ascii="仿宋_GB2312" w:hAnsi="微软雅黑" w:eastAsia="仿宋_GB2312" w:cs="仿宋_GB2312"/>
          <w:i w:val="0"/>
          <w:iCs w:val="0"/>
          <w:caps w:val="0"/>
          <w:color w:val="000000"/>
          <w:spacing w:val="0"/>
          <w:sz w:val="31"/>
          <w:szCs w:val="31"/>
          <w:shd w:val="clear" w:fill="FFFFFF"/>
          <w:vertAlign w:val="baseline"/>
        </w:rPr>
        <w:t>   其中：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165"/>
        <w:textAlignment w:val="baseline"/>
        <w:rPr>
          <w:rFonts w:hint="eastAsia" w:ascii="微软雅黑" w:hAnsi="微软雅黑" w:eastAsia="微软雅黑" w:cs="微软雅黑"/>
          <w:i w:val="0"/>
          <w:iCs w:val="0"/>
          <w:caps w:val="0"/>
          <w:color w:val="000000"/>
          <w:spacing w:val="0"/>
          <w:sz w:val="21"/>
          <w:szCs w:val="21"/>
        </w:rPr>
      </w:pPr>
      <w:r>
        <w:rPr>
          <w:rFonts w:hint="default" w:ascii="仿宋_GB2312" w:hAnsi="微软雅黑" w:eastAsia="仿宋_GB2312" w:cs="仿宋_GB2312"/>
          <w:i w:val="0"/>
          <w:iCs w:val="0"/>
          <w:caps w:val="0"/>
          <w:color w:val="000000"/>
          <w:spacing w:val="0"/>
          <w:sz w:val="31"/>
          <w:szCs w:val="31"/>
          <w:shd w:val="clear" w:fill="FFFFFF"/>
          <w:vertAlign w:val="baseline"/>
        </w:rPr>
        <w:t>   财政资金-全年执行数</w:t>
      </w:r>
      <w:r>
        <w:rPr>
          <w:rFonts w:hint="eastAsia" w:ascii="仿宋_GB2312" w:hAnsi="微软雅黑" w:eastAsia="仿宋_GB2312" w:cs="仿宋_GB2312"/>
          <w:i w:val="0"/>
          <w:iCs w:val="0"/>
          <w:caps w:val="0"/>
          <w:color w:val="000000"/>
          <w:spacing w:val="0"/>
          <w:sz w:val="31"/>
          <w:szCs w:val="31"/>
          <w:shd w:val="clear" w:fill="FFFFFF"/>
          <w:vertAlign w:val="baseline"/>
          <w:lang w:val="en-US" w:eastAsia="zh-CN"/>
        </w:rPr>
        <w:t>600000</w:t>
      </w:r>
      <w:r>
        <w:rPr>
          <w:rFonts w:hint="default" w:ascii="仿宋_GB2312" w:hAnsi="微软雅黑" w:eastAsia="仿宋_GB2312" w:cs="仿宋_GB2312"/>
          <w:i w:val="0"/>
          <w:iCs w:val="0"/>
          <w:caps w:val="0"/>
          <w:color w:val="000000"/>
          <w:spacing w:val="0"/>
          <w:sz w:val="31"/>
          <w:szCs w:val="31"/>
          <w:shd w:val="clear" w:fill="FFFFFF"/>
          <w:vertAlign w:val="baseline"/>
        </w:rPr>
        <w:t>元，财政资金-执行率</w:t>
      </w:r>
      <w:r>
        <w:rPr>
          <w:rFonts w:hint="eastAsia" w:ascii="仿宋_GB2312" w:hAnsi="微软雅黑" w:eastAsia="仿宋_GB2312" w:cs="仿宋_GB2312"/>
          <w:i w:val="0"/>
          <w:iCs w:val="0"/>
          <w:caps w:val="0"/>
          <w:color w:val="000000"/>
          <w:spacing w:val="0"/>
          <w:sz w:val="31"/>
          <w:szCs w:val="31"/>
          <w:shd w:val="clear" w:fill="FFFFFF"/>
          <w:vertAlign w:val="baseline"/>
          <w:lang w:val="en-US" w:eastAsia="zh-CN"/>
        </w:rPr>
        <w:t>100.00</w:t>
      </w:r>
      <w:r>
        <w:rPr>
          <w:rFonts w:hint="default" w:ascii="仿宋_GB2312" w:hAnsi="微软雅黑" w:eastAsia="仿宋_GB2312" w:cs="仿宋_GB2312"/>
          <w:i w:val="0"/>
          <w:iCs w:val="0"/>
          <w:caps w:val="0"/>
          <w:color w:val="000000"/>
          <w:spacing w:val="0"/>
          <w:sz w:val="31"/>
          <w:szCs w:val="31"/>
          <w:shd w:val="clear" w:fill="FFFFFF"/>
          <w:vertAlign w:val="baseline"/>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165"/>
        <w:textAlignment w:val="baseline"/>
        <w:rPr>
          <w:rFonts w:hint="eastAsia" w:ascii="微软雅黑" w:hAnsi="微软雅黑" w:eastAsia="微软雅黑" w:cs="微软雅黑"/>
          <w:i w:val="0"/>
          <w:iCs w:val="0"/>
          <w:caps w:val="0"/>
          <w:color w:val="000000"/>
          <w:spacing w:val="0"/>
          <w:sz w:val="21"/>
          <w:szCs w:val="21"/>
        </w:rPr>
      </w:pPr>
      <w:r>
        <w:rPr>
          <w:rFonts w:hint="default" w:ascii="仿宋_GB2312" w:hAnsi="微软雅黑" w:eastAsia="仿宋_GB2312" w:cs="仿宋_GB2312"/>
          <w:i w:val="0"/>
          <w:iCs w:val="0"/>
          <w:caps w:val="0"/>
          <w:color w:val="000000"/>
          <w:spacing w:val="0"/>
          <w:sz w:val="31"/>
          <w:szCs w:val="31"/>
          <w:shd w:val="clear" w:fill="FFFFFF"/>
          <w:vertAlign w:val="baseline"/>
        </w:rPr>
        <w:t>   专户全年执行数0元，专户-执行率0</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165"/>
        <w:textAlignment w:val="baseline"/>
        <w:rPr>
          <w:rFonts w:hint="eastAsia" w:ascii="微软雅黑" w:hAnsi="微软雅黑" w:eastAsia="微软雅黑" w:cs="微软雅黑"/>
          <w:i w:val="0"/>
          <w:iCs w:val="0"/>
          <w:caps w:val="0"/>
          <w:color w:val="000000"/>
          <w:spacing w:val="0"/>
          <w:sz w:val="21"/>
          <w:szCs w:val="21"/>
        </w:rPr>
      </w:pPr>
      <w:r>
        <w:rPr>
          <w:rFonts w:hint="default" w:ascii="仿宋_GB2312" w:hAnsi="微软雅黑" w:eastAsia="仿宋_GB2312" w:cs="仿宋_GB2312"/>
          <w:i w:val="0"/>
          <w:iCs w:val="0"/>
          <w:caps w:val="0"/>
          <w:color w:val="000000"/>
          <w:spacing w:val="0"/>
          <w:sz w:val="31"/>
          <w:szCs w:val="31"/>
          <w:shd w:val="clear" w:fill="FFFFFF"/>
          <w:vertAlign w:val="baseline"/>
        </w:rPr>
        <w:t>   单位全年执行数0元，单位全年执行率0</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12" w:firstLineChars="200"/>
        <w:textAlignment w:val="baseline"/>
        <w:rPr>
          <w:rFonts w:hint="eastAsia" w:ascii="微软雅黑" w:hAnsi="微软雅黑" w:eastAsia="微软雅黑" w:cs="微软雅黑"/>
          <w:i w:val="0"/>
          <w:iCs w:val="0"/>
          <w:caps w:val="0"/>
          <w:color w:val="000000"/>
          <w:spacing w:val="0"/>
          <w:sz w:val="21"/>
          <w:szCs w:val="21"/>
        </w:rPr>
      </w:pPr>
      <w:r>
        <w:rPr>
          <w:rFonts w:hint="eastAsia" w:ascii="楷体" w:hAnsi="楷体" w:eastAsia="楷体" w:cs="楷体"/>
          <w:i w:val="0"/>
          <w:iCs w:val="0"/>
          <w:caps w:val="0"/>
          <w:color w:val="000000"/>
          <w:spacing w:val="0"/>
          <w:sz w:val="31"/>
          <w:szCs w:val="31"/>
          <w:shd w:val="clear" w:fill="FFFFFF"/>
          <w:vertAlign w:val="baseline"/>
          <w:lang w:val="en-US" w:eastAsia="zh-CN"/>
        </w:rPr>
        <w:t>3、</w:t>
      </w:r>
      <w:r>
        <w:rPr>
          <w:rFonts w:hint="eastAsia" w:ascii="楷体" w:hAnsi="楷体" w:eastAsia="楷体" w:cs="楷体"/>
          <w:i w:val="0"/>
          <w:iCs w:val="0"/>
          <w:caps w:val="0"/>
          <w:color w:val="000000"/>
          <w:spacing w:val="0"/>
          <w:sz w:val="31"/>
          <w:szCs w:val="31"/>
          <w:shd w:val="clear" w:fill="FFFFFF"/>
          <w:vertAlign w:val="baseline"/>
        </w:rPr>
        <w:t>项目资金管理情况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12" w:firstLineChars="200"/>
        <w:textAlignment w:val="baseline"/>
        <w:rPr>
          <w:rFonts w:hint="default" w:ascii="仿宋_GB2312" w:hAnsi="微软雅黑" w:eastAsia="仿宋_GB2312" w:cs="仿宋_GB2312"/>
          <w:i w:val="0"/>
          <w:iCs w:val="0"/>
          <w:caps w:val="0"/>
          <w:color w:val="000000"/>
          <w:spacing w:val="0"/>
          <w:sz w:val="31"/>
          <w:szCs w:val="31"/>
          <w:shd w:val="clear" w:fill="FFFFFF"/>
          <w:vertAlign w:val="baseline"/>
        </w:rPr>
      </w:pPr>
      <w:r>
        <w:rPr>
          <w:rFonts w:hint="default" w:ascii="仿宋_GB2312" w:hAnsi="微软雅黑" w:eastAsia="仿宋_GB2312" w:cs="仿宋_GB2312"/>
          <w:i w:val="0"/>
          <w:iCs w:val="0"/>
          <w:caps w:val="0"/>
          <w:color w:val="000000"/>
          <w:spacing w:val="0"/>
          <w:sz w:val="31"/>
          <w:szCs w:val="31"/>
          <w:shd w:val="clear" w:fill="FFFFFF"/>
          <w:vertAlign w:val="baseline"/>
        </w:rPr>
        <w:t>提高工作质量和效率，在</w:t>
      </w:r>
      <w:r>
        <w:rPr>
          <w:rFonts w:hint="eastAsia" w:ascii="仿宋_GB2312" w:hAnsi="微软雅黑" w:eastAsia="仿宋_GB2312" w:cs="仿宋_GB2312"/>
          <w:i w:val="0"/>
          <w:iCs w:val="0"/>
          <w:caps w:val="0"/>
          <w:color w:val="000000"/>
          <w:spacing w:val="0"/>
          <w:sz w:val="31"/>
          <w:szCs w:val="31"/>
          <w:shd w:val="clear" w:fill="FFFFFF"/>
          <w:vertAlign w:val="baseline"/>
          <w:lang w:eastAsia="zh-CN"/>
        </w:rPr>
        <w:t>区</w:t>
      </w:r>
      <w:r>
        <w:rPr>
          <w:rFonts w:hint="default" w:ascii="仿宋_GB2312" w:hAnsi="微软雅黑" w:eastAsia="仿宋_GB2312" w:cs="仿宋_GB2312"/>
          <w:i w:val="0"/>
          <w:iCs w:val="0"/>
          <w:caps w:val="0"/>
          <w:color w:val="000000"/>
          <w:spacing w:val="0"/>
          <w:sz w:val="31"/>
          <w:szCs w:val="31"/>
          <w:shd w:val="clear" w:fill="FFFFFF"/>
          <w:vertAlign w:val="baseline"/>
        </w:rPr>
        <w:t>人大常委的统一领导</w:t>
      </w:r>
      <w:r>
        <w:rPr>
          <w:rFonts w:hint="eastAsia" w:ascii="仿宋_GB2312" w:hAnsi="微软雅黑" w:cs="仿宋_GB2312"/>
          <w:i w:val="0"/>
          <w:iCs w:val="0"/>
          <w:caps w:val="0"/>
          <w:color w:val="000000"/>
          <w:spacing w:val="0"/>
          <w:sz w:val="31"/>
          <w:szCs w:val="31"/>
          <w:shd w:val="clear" w:fill="FFFFFF"/>
          <w:vertAlign w:val="baseline"/>
          <w:lang w:eastAsia="zh-CN"/>
        </w:rPr>
        <w:t>下</w:t>
      </w:r>
      <w:r>
        <w:rPr>
          <w:rFonts w:hint="default" w:ascii="仿宋_GB2312" w:hAnsi="微软雅黑" w:eastAsia="仿宋_GB2312" w:cs="仿宋_GB2312"/>
          <w:i w:val="0"/>
          <w:iCs w:val="0"/>
          <w:caps w:val="0"/>
          <w:color w:val="000000"/>
          <w:spacing w:val="0"/>
          <w:sz w:val="31"/>
          <w:szCs w:val="31"/>
          <w:shd w:val="clear" w:fill="FFFFFF"/>
          <w:vertAlign w:val="baseline"/>
        </w:rPr>
        <w:t>,</w:t>
      </w:r>
      <w:r>
        <w:rPr>
          <w:rFonts w:hint="eastAsia" w:ascii="仿宋_GB2312" w:hAnsi="微软雅黑" w:eastAsia="仿宋_GB2312" w:cs="仿宋_GB2312"/>
          <w:i w:val="0"/>
          <w:iCs w:val="0"/>
          <w:caps w:val="0"/>
          <w:color w:val="000000"/>
          <w:spacing w:val="0"/>
          <w:sz w:val="31"/>
          <w:szCs w:val="31"/>
          <w:shd w:val="clear" w:fill="FFFFFF"/>
          <w:vertAlign w:val="baseline"/>
          <w:lang w:eastAsia="zh-CN"/>
        </w:rPr>
        <w:t>区</w:t>
      </w:r>
      <w:r>
        <w:rPr>
          <w:rFonts w:hint="default" w:ascii="仿宋_GB2312" w:hAnsi="微软雅黑" w:eastAsia="仿宋_GB2312" w:cs="仿宋_GB2312"/>
          <w:i w:val="0"/>
          <w:iCs w:val="0"/>
          <w:caps w:val="0"/>
          <w:color w:val="000000"/>
          <w:spacing w:val="0"/>
          <w:sz w:val="31"/>
          <w:szCs w:val="31"/>
          <w:shd w:val="clear" w:fill="FFFFFF"/>
          <w:vertAlign w:val="baseline"/>
        </w:rPr>
        <w:t>人大</w:t>
      </w:r>
      <w:r>
        <w:rPr>
          <w:rFonts w:hint="eastAsia" w:ascii="仿宋_GB2312" w:hAnsi="微软雅黑" w:eastAsia="仿宋_GB2312" w:cs="仿宋_GB2312"/>
          <w:i w:val="0"/>
          <w:iCs w:val="0"/>
          <w:caps w:val="0"/>
          <w:color w:val="000000"/>
          <w:spacing w:val="0"/>
          <w:sz w:val="31"/>
          <w:szCs w:val="31"/>
          <w:shd w:val="clear" w:fill="FFFFFF"/>
          <w:vertAlign w:val="baseline"/>
          <w:lang w:eastAsia="zh-CN"/>
        </w:rPr>
        <w:t>办</w:t>
      </w:r>
      <w:r>
        <w:rPr>
          <w:rFonts w:hint="eastAsia" w:ascii="仿宋_GB2312" w:hAnsi="微软雅黑" w:cs="仿宋_GB2312"/>
          <w:i w:val="0"/>
          <w:iCs w:val="0"/>
          <w:caps w:val="0"/>
          <w:color w:val="000000"/>
          <w:spacing w:val="0"/>
          <w:sz w:val="31"/>
          <w:szCs w:val="31"/>
          <w:shd w:val="clear" w:fill="FFFFFF"/>
          <w:vertAlign w:val="baseline"/>
          <w:lang w:eastAsia="zh-CN"/>
        </w:rPr>
        <w:t>具体</w:t>
      </w:r>
      <w:r>
        <w:rPr>
          <w:rFonts w:hint="default" w:ascii="仿宋_GB2312" w:hAnsi="微软雅黑" w:eastAsia="仿宋_GB2312" w:cs="仿宋_GB2312"/>
          <w:i w:val="0"/>
          <w:iCs w:val="0"/>
          <w:caps w:val="0"/>
          <w:color w:val="000000"/>
          <w:spacing w:val="0"/>
          <w:sz w:val="31"/>
          <w:szCs w:val="31"/>
          <w:shd w:val="clear" w:fill="FFFFFF"/>
          <w:vertAlign w:val="baseline"/>
        </w:rPr>
        <w:t>负责和协调下，会计跟进业务监督，</w:t>
      </w:r>
      <w:r>
        <w:rPr>
          <w:rFonts w:hint="eastAsia" w:ascii="仿宋_GB2312" w:hAnsi="微软雅黑" w:eastAsia="仿宋_GB2312" w:cs="仿宋_GB2312"/>
          <w:i w:val="0"/>
          <w:iCs w:val="0"/>
          <w:caps w:val="0"/>
          <w:color w:val="000000"/>
          <w:spacing w:val="0"/>
          <w:sz w:val="31"/>
          <w:szCs w:val="31"/>
          <w:shd w:val="clear" w:fill="FFFFFF"/>
          <w:vertAlign w:val="baseline"/>
          <w:lang w:eastAsia="zh-CN"/>
        </w:rPr>
        <w:t>区</w:t>
      </w:r>
      <w:r>
        <w:rPr>
          <w:rFonts w:hint="default" w:ascii="仿宋_GB2312" w:hAnsi="微软雅黑" w:eastAsia="仿宋_GB2312" w:cs="仿宋_GB2312"/>
          <w:i w:val="0"/>
          <w:iCs w:val="0"/>
          <w:caps w:val="0"/>
          <w:color w:val="000000"/>
          <w:spacing w:val="0"/>
          <w:sz w:val="31"/>
          <w:szCs w:val="31"/>
          <w:shd w:val="clear" w:fill="FFFFFF"/>
          <w:vertAlign w:val="baseline"/>
        </w:rPr>
        <w:t>人大会议各筹备组各司其职，认真负责，密切配合，确保高质量完成</w:t>
      </w:r>
      <w:r>
        <w:rPr>
          <w:rFonts w:hint="eastAsia" w:ascii="仿宋_GB2312" w:hAnsi="微软雅黑" w:eastAsia="仿宋_GB2312" w:cs="仿宋_GB2312"/>
          <w:i w:val="0"/>
          <w:iCs w:val="0"/>
          <w:caps w:val="0"/>
          <w:color w:val="000000"/>
          <w:spacing w:val="0"/>
          <w:sz w:val="31"/>
          <w:szCs w:val="31"/>
          <w:shd w:val="clear" w:fill="FFFFFF"/>
          <w:vertAlign w:val="baseline"/>
          <w:lang w:eastAsia="zh-CN"/>
        </w:rPr>
        <w:t>资阳区</w:t>
      </w:r>
      <w:r>
        <w:rPr>
          <w:rFonts w:hint="eastAsia" w:ascii="仿宋_GB2312" w:hAnsi="微软雅黑" w:eastAsia="仿宋_GB2312" w:cs="仿宋_GB2312"/>
          <w:i w:val="0"/>
          <w:iCs w:val="0"/>
          <w:caps w:val="0"/>
          <w:color w:val="000000"/>
          <w:spacing w:val="0"/>
          <w:sz w:val="31"/>
          <w:szCs w:val="31"/>
          <w:shd w:val="clear" w:fill="FFFFFF"/>
          <w:vertAlign w:val="baseline"/>
        </w:rPr>
        <w:t>第六届第</w:t>
      </w:r>
      <w:r>
        <w:rPr>
          <w:rFonts w:hint="eastAsia" w:ascii="仿宋_GB2312" w:hAnsi="微软雅黑" w:eastAsia="仿宋_GB2312" w:cs="仿宋_GB2312"/>
          <w:i w:val="0"/>
          <w:iCs w:val="0"/>
          <w:caps w:val="0"/>
          <w:color w:val="000000"/>
          <w:spacing w:val="0"/>
          <w:sz w:val="31"/>
          <w:szCs w:val="31"/>
          <w:shd w:val="clear" w:fill="FFFFFF"/>
          <w:vertAlign w:val="baseline"/>
          <w:lang w:eastAsia="zh-CN"/>
        </w:rPr>
        <w:t>二</w:t>
      </w:r>
      <w:r>
        <w:rPr>
          <w:rFonts w:hint="eastAsia" w:ascii="仿宋_GB2312" w:hAnsi="微软雅黑" w:eastAsia="仿宋_GB2312" w:cs="仿宋_GB2312"/>
          <w:i w:val="0"/>
          <w:iCs w:val="0"/>
          <w:caps w:val="0"/>
          <w:color w:val="000000"/>
          <w:spacing w:val="0"/>
          <w:sz w:val="31"/>
          <w:szCs w:val="31"/>
          <w:shd w:val="clear" w:fill="FFFFFF"/>
          <w:vertAlign w:val="baseline"/>
        </w:rPr>
        <w:t>次人民代表大会</w:t>
      </w:r>
      <w:r>
        <w:rPr>
          <w:rFonts w:hint="default" w:ascii="仿宋_GB2312" w:hAnsi="微软雅黑" w:eastAsia="仿宋_GB2312" w:cs="仿宋_GB2312"/>
          <w:i w:val="0"/>
          <w:iCs w:val="0"/>
          <w:caps w:val="0"/>
          <w:color w:val="000000"/>
          <w:spacing w:val="0"/>
          <w:sz w:val="31"/>
          <w:szCs w:val="31"/>
          <w:shd w:val="clear" w:fill="FFFFFF"/>
          <w:vertAlign w:val="baseline"/>
        </w:rPr>
        <w:t>的顺利召开。</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default" w:ascii="楷体_GB2312" w:hAnsi="Times New Roman" w:eastAsia="楷体_GB2312" w:cs="Times New Roman"/>
          <w:b w:val="0"/>
          <w:bCs/>
          <w:kern w:val="2"/>
          <w:sz w:val="32"/>
          <w:szCs w:val="32"/>
          <w:lang w:val="en-US" w:eastAsia="zh-CN" w:bidi="ar-SA"/>
        </w:rPr>
      </w:pPr>
      <w:r>
        <w:rPr>
          <w:rFonts w:hint="eastAsia" w:ascii="楷体_GB2312" w:hAnsi="Times New Roman" w:eastAsia="楷体_GB2312" w:cs="Times New Roman"/>
          <w:b w:val="0"/>
          <w:bCs/>
          <w:kern w:val="2"/>
          <w:sz w:val="32"/>
          <w:szCs w:val="32"/>
          <w:lang w:val="en-US" w:eastAsia="zh-CN" w:bidi="ar-SA"/>
        </w:rPr>
        <w:t>（二）绩效指标完成情况分析</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12" w:firstLineChars="200"/>
        <w:textAlignment w:val="baseline"/>
        <w:rPr>
          <w:rFonts w:ascii="仿宋_GB2312" w:hAnsi="微软雅黑" w:eastAsia="仿宋_GB2312" w:cs="仿宋_GB2312"/>
          <w:i w:val="0"/>
          <w:iCs w:val="0"/>
          <w:caps w:val="0"/>
          <w:color w:val="000000"/>
          <w:spacing w:val="0"/>
          <w:sz w:val="31"/>
          <w:szCs w:val="31"/>
          <w:highlight w:val="none"/>
          <w:shd w:val="clear" w:fill="FFFFFF"/>
          <w:vertAlign w:val="baseline"/>
        </w:rPr>
      </w:pPr>
      <w:r>
        <w:rPr>
          <w:rFonts w:ascii="仿宋_GB2312" w:hAnsi="微软雅黑" w:eastAsia="仿宋_GB2312" w:cs="仿宋_GB2312"/>
          <w:i w:val="0"/>
          <w:iCs w:val="0"/>
          <w:caps w:val="0"/>
          <w:color w:val="000000"/>
          <w:spacing w:val="0"/>
          <w:sz w:val="31"/>
          <w:szCs w:val="31"/>
          <w:shd w:val="clear" w:fill="FFFFFF"/>
          <w:vertAlign w:val="baseline"/>
        </w:rPr>
        <w:t>1.项目预算批复的绩效指标完成情况分析。</w:t>
      </w:r>
      <w:r>
        <w:rPr>
          <w:rFonts w:hint="eastAsia" w:ascii="仿宋_GB2312" w:hAnsi="微软雅黑" w:cs="仿宋_GB2312"/>
          <w:i w:val="0"/>
          <w:iCs w:val="0"/>
          <w:caps w:val="0"/>
          <w:color w:val="000000"/>
          <w:spacing w:val="0"/>
          <w:sz w:val="31"/>
          <w:szCs w:val="31"/>
          <w:shd w:val="clear" w:fill="FFFFFF"/>
          <w:vertAlign w:val="baseline"/>
          <w:lang w:eastAsia="zh-CN"/>
        </w:rPr>
        <w:t>区</w:t>
      </w:r>
      <w:r>
        <w:rPr>
          <w:rFonts w:ascii="仿宋_GB2312" w:hAnsi="微软雅黑" w:eastAsia="仿宋_GB2312" w:cs="仿宋_GB2312"/>
          <w:i w:val="0"/>
          <w:iCs w:val="0"/>
          <w:caps w:val="0"/>
          <w:color w:val="000000"/>
          <w:spacing w:val="0"/>
          <w:sz w:val="31"/>
          <w:szCs w:val="31"/>
          <w:shd w:val="clear" w:fill="FFFFFF"/>
          <w:vertAlign w:val="baseline"/>
        </w:rPr>
        <w:t>人大会议经费2022年预算</w:t>
      </w:r>
      <w:r>
        <w:rPr>
          <w:rFonts w:hint="eastAsia" w:ascii="仿宋_GB2312" w:hAnsi="微软雅黑" w:cs="仿宋_GB2312"/>
          <w:i w:val="0"/>
          <w:iCs w:val="0"/>
          <w:caps w:val="0"/>
          <w:color w:val="000000"/>
          <w:spacing w:val="0"/>
          <w:sz w:val="31"/>
          <w:szCs w:val="31"/>
          <w:shd w:val="clear" w:fill="FFFFFF"/>
          <w:vertAlign w:val="baseline"/>
          <w:lang w:val="en-US" w:eastAsia="zh-CN"/>
        </w:rPr>
        <w:t>60</w:t>
      </w:r>
      <w:r>
        <w:rPr>
          <w:rFonts w:ascii="仿宋_GB2312" w:hAnsi="微软雅黑" w:eastAsia="仿宋_GB2312" w:cs="仿宋_GB2312"/>
          <w:i w:val="0"/>
          <w:iCs w:val="0"/>
          <w:caps w:val="0"/>
          <w:color w:val="000000"/>
          <w:spacing w:val="0"/>
          <w:sz w:val="31"/>
          <w:szCs w:val="31"/>
          <w:shd w:val="clear" w:fill="FFFFFF"/>
          <w:vertAlign w:val="baseline"/>
        </w:rPr>
        <w:t>万元财政及时到账</w:t>
      </w:r>
      <w:r>
        <w:rPr>
          <w:rFonts w:ascii="仿宋_GB2312" w:hAnsi="微软雅黑" w:eastAsia="仿宋_GB2312" w:cs="仿宋_GB2312"/>
          <w:i w:val="0"/>
          <w:iCs w:val="0"/>
          <w:caps w:val="0"/>
          <w:color w:val="000000"/>
          <w:spacing w:val="0"/>
          <w:sz w:val="31"/>
          <w:szCs w:val="31"/>
          <w:highlight w:val="none"/>
          <w:shd w:val="clear" w:fill="FFFFFF"/>
          <w:vertAlign w:val="baseline"/>
        </w:rPr>
        <w:t>，项目支出</w:t>
      </w:r>
      <w:r>
        <w:rPr>
          <w:rFonts w:hint="eastAsia" w:ascii="仿宋_GB2312" w:hAnsi="微软雅黑" w:cs="仿宋_GB2312"/>
          <w:i w:val="0"/>
          <w:iCs w:val="0"/>
          <w:caps w:val="0"/>
          <w:color w:val="000000"/>
          <w:spacing w:val="0"/>
          <w:sz w:val="31"/>
          <w:szCs w:val="31"/>
          <w:highlight w:val="none"/>
          <w:shd w:val="clear" w:fill="FFFFFF"/>
          <w:vertAlign w:val="baseline"/>
          <w:lang w:val="en-US" w:eastAsia="zh-CN"/>
        </w:rPr>
        <w:t>60</w:t>
      </w:r>
      <w:r>
        <w:rPr>
          <w:rFonts w:ascii="仿宋_GB2312" w:hAnsi="微软雅黑" w:eastAsia="仿宋_GB2312" w:cs="仿宋_GB2312"/>
          <w:i w:val="0"/>
          <w:iCs w:val="0"/>
          <w:caps w:val="0"/>
          <w:color w:val="000000"/>
          <w:spacing w:val="0"/>
          <w:sz w:val="31"/>
          <w:szCs w:val="31"/>
          <w:highlight w:val="none"/>
          <w:shd w:val="clear" w:fill="FFFFFF"/>
          <w:vertAlign w:val="baseline"/>
        </w:rPr>
        <w:t>万元，预算完成率</w:t>
      </w:r>
      <w:r>
        <w:rPr>
          <w:rFonts w:hint="eastAsia" w:ascii="仿宋_GB2312" w:hAnsi="微软雅黑" w:cs="仿宋_GB2312"/>
          <w:i w:val="0"/>
          <w:iCs w:val="0"/>
          <w:caps w:val="0"/>
          <w:color w:val="000000"/>
          <w:spacing w:val="0"/>
          <w:sz w:val="31"/>
          <w:szCs w:val="31"/>
          <w:highlight w:val="none"/>
          <w:shd w:val="clear" w:fill="FFFFFF"/>
          <w:vertAlign w:val="baseline"/>
          <w:lang w:val="en-US" w:eastAsia="zh-CN"/>
        </w:rPr>
        <w:t>100.00</w:t>
      </w:r>
      <w:r>
        <w:rPr>
          <w:rFonts w:ascii="仿宋_GB2312" w:hAnsi="微软雅黑" w:eastAsia="仿宋_GB2312" w:cs="仿宋_GB2312"/>
          <w:i w:val="0"/>
          <w:iCs w:val="0"/>
          <w:caps w:val="0"/>
          <w:color w:val="000000"/>
          <w:spacing w:val="0"/>
          <w:sz w:val="31"/>
          <w:szCs w:val="31"/>
          <w:highlight w:val="none"/>
          <w:shd w:val="clear" w:fill="FFFFFF"/>
          <w:vertAlign w:val="baseline"/>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12" w:firstLineChars="200"/>
        <w:textAlignment w:val="baseline"/>
        <w:rPr>
          <w:rFonts w:hint="eastAsia" w:ascii="仿宋_GB2312" w:hAnsi="微软雅黑" w:eastAsia="仿宋_GB2312" w:cs="仿宋_GB2312"/>
          <w:i w:val="0"/>
          <w:iCs w:val="0"/>
          <w:caps w:val="0"/>
          <w:color w:val="000000"/>
          <w:spacing w:val="0"/>
          <w:sz w:val="31"/>
          <w:szCs w:val="31"/>
          <w:shd w:val="clear" w:fill="FFFFFF"/>
          <w:vertAlign w:val="baseline"/>
        </w:rPr>
      </w:pPr>
      <w:r>
        <w:rPr>
          <w:rFonts w:ascii="仿宋_GB2312" w:hAnsi="微软雅黑" w:eastAsia="仿宋_GB2312" w:cs="仿宋_GB2312"/>
          <w:i w:val="0"/>
          <w:iCs w:val="0"/>
          <w:caps w:val="0"/>
          <w:color w:val="000000"/>
          <w:spacing w:val="0"/>
          <w:sz w:val="31"/>
          <w:szCs w:val="31"/>
          <w:shd w:val="clear" w:fill="FFFFFF"/>
          <w:vertAlign w:val="baseline"/>
        </w:rPr>
        <w:t>2.项目的经济性分析。2022年</w:t>
      </w:r>
      <w:r>
        <w:rPr>
          <w:rFonts w:hint="eastAsia" w:ascii="仿宋_GB2312" w:hAnsi="微软雅黑" w:cs="仿宋_GB2312"/>
          <w:i w:val="0"/>
          <w:iCs w:val="0"/>
          <w:caps w:val="0"/>
          <w:color w:val="000000"/>
          <w:spacing w:val="0"/>
          <w:sz w:val="31"/>
          <w:szCs w:val="31"/>
          <w:shd w:val="clear" w:fill="FFFFFF"/>
          <w:vertAlign w:val="baseline"/>
          <w:lang w:eastAsia="zh-CN"/>
        </w:rPr>
        <w:t>区</w:t>
      </w:r>
      <w:r>
        <w:rPr>
          <w:rFonts w:ascii="仿宋_GB2312" w:hAnsi="微软雅黑" w:eastAsia="仿宋_GB2312" w:cs="仿宋_GB2312"/>
          <w:i w:val="0"/>
          <w:iCs w:val="0"/>
          <w:caps w:val="0"/>
          <w:color w:val="000000"/>
          <w:spacing w:val="0"/>
          <w:sz w:val="31"/>
          <w:szCs w:val="31"/>
          <w:shd w:val="clear" w:fill="FFFFFF"/>
          <w:vertAlign w:val="baseline"/>
        </w:rPr>
        <w:t>人大会议经费</w:t>
      </w:r>
      <w:r>
        <w:rPr>
          <w:rFonts w:hint="eastAsia" w:ascii="仿宋_GB2312" w:hAnsi="微软雅黑" w:cs="仿宋_GB2312"/>
          <w:i w:val="0"/>
          <w:iCs w:val="0"/>
          <w:caps w:val="0"/>
          <w:color w:val="000000"/>
          <w:spacing w:val="0"/>
          <w:sz w:val="31"/>
          <w:szCs w:val="31"/>
          <w:shd w:val="clear" w:fill="FFFFFF"/>
          <w:vertAlign w:val="baseline"/>
          <w:lang w:val="en-US" w:eastAsia="zh-CN"/>
        </w:rPr>
        <w:t>60</w:t>
      </w:r>
      <w:r>
        <w:rPr>
          <w:rFonts w:ascii="仿宋_GB2312" w:hAnsi="微软雅黑" w:eastAsia="仿宋_GB2312" w:cs="仿宋_GB2312"/>
          <w:i w:val="0"/>
          <w:iCs w:val="0"/>
          <w:caps w:val="0"/>
          <w:color w:val="000000"/>
          <w:spacing w:val="0"/>
          <w:sz w:val="31"/>
          <w:szCs w:val="31"/>
          <w:shd w:val="clear" w:fill="FFFFFF"/>
          <w:vertAlign w:val="baseline"/>
        </w:rPr>
        <w:t>万元项目经费是符合宪法法律的规定要求；是坚持好、发展好、完善好人民代表大会制度，加快推进基层民主法制建设的内在必然要求；是加快</w:t>
      </w:r>
      <w:r>
        <w:rPr>
          <w:rFonts w:hint="eastAsia" w:ascii="仿宋_GB2312" w:hAnsi="微软雅黑" w:cs="仿宋_GB2312"/>
          <w:i w:val="0"/>
          <w:iCs w:val="0"/>
          <w:caps w:val="0"/>
          <w:color w:val="000000"/>
          <w:spacing w:val="0"/>
          <w:sz w:val="31"/>
          <w:szCs w:val="31"/>
          <w:shd w:val="clear" w:fill="FFFFFF"/>
          <w:vertAlign w:val="baseline"/>
          <w:lang w:eastAsia="zh-CN"/>
        </w:rPr>
        <w:t>资阳区</w:t>
      </w:r>
      <w:r>
        <w:rPr>
          <w:rFonts w:ascii="仿宋_GB2312" w:hAnsi="微软雅黑" w:eastAsia="仿宋_GB2312" w:cs="仿宋_GB2312"/>
          <w:i w:val="0"/>
          <w:iCs w:val="0"/>
          <w:caps w:val="0"/>
          <w:color w:val="000000"/>
          <w:spacing w:val="0"/>
          <w:sz w:val="31"/>
          <w:szCs w:val="31"/>
          <w:shd w:val="clear" w:fill="FFFFFF"/>
          <w:vertAlign w:val="baseline"/>
        </w:rPr>
        <w:t>科学发展、快速发展、绿色发展及和谐发展的法定依据。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12" w:firstLineChars="200"/>
        <w:textAlignment w:val="baseline"/>
        <w:rPr>
          <w:rFonts w:hint="eastAsia" w:ascii="仿宋_GB2312" w:hAnsi="微软雅黑" w:eastAsia="仿宋_GB2312" w:cs="仿宋_GB2312"/>
          <w:i w:val="0"/>
          <w:iCs w:val="0"/>
          <w:caps w:val="0"/>
          <w:color w:val="000000"/>
          <w:spacing w:val="0"/>
          <w:sz w:val="31"/>
          <w:szCs w:val="31"/>
          <w:shd w:val="clear" w:fill="FFFFFF"/>
          <w:vertAlign w:val="baseline"/>
          <w:lang w:eastAsia="zh-CN"/>
        </w:rPr>
      </w:pPr>
      <w:r>
        <w:rPr>
          <w:rFonts w:ascii="仿宋_GB2312" w:hAnsi="微软雅黑" w:eastAsia="仿宋_GB2312" w:cs="仿宋_GB2312"/>
          <w:i w:val="0"/>
          <w:iCs w:val="0"/>
          <w:caps w:val="0"/>
          <w:color w:val="000000"/>
          <w:spacing w:val="0"/>
          <w:sz w:val="31"/>
          <w:szCs w:val="31"/>
          <w:shd w:val="clear" w:fill="FFFFFF"/>
          <w:vertAlign w:val="baseline"/>
        </w:rPr>
        <w:t>3.项目的效率性分析。在</w:t>
      </w:r>
      <w:r>
        <w:rPr>
          <w:rFonts w:hint="eastAsia" w:ascii="仿宋_GB2312" w:hAnsi="微软雅黑" w:cs="仿宋_GB2312"/>
          <w:i w:val="0"/>
          <w:iCs w:val="0"/>
          <w:caps w:val="0"/>
          <w:color w:val="000000"/>
          <w:spacing w:val="0"/>
          <w:sz w:val="31"/>
          <w:szCs w:val="31"/>
          <w:shd w:val="clear" w:fill="FFFFFF"/>
          <w:vertAlign w:val="baseline"/>
          <w:lang w:eastAsia="zh-CN"/>
        </w:rPr>
        <w:t>区</w:t>
      </w:r>
      <w:r>
        <w:rPr>
          <w:rFonts w:ascii="仿宋_GB2312" w:hAnsi="微软雅黑" w:eastAsia="仿宋_GB2312" w:cs="仿宋_GB2312"/>
          <w:i w:val="0"/>
          <w:iCs w:val="0"/>
          <w:caps w:val="0"/>
          <w:color w:val="000000"/>
          <w:spacing w:val="0"/>
          <w:sz w:val="31"/>
          <w:szCs w:val="31"/>
          <w:shd w:val="clear" w:fill="FFFFFF"/>
          <w:vertAlign w:val="baseline"/>
        </w:rPr>
        <w:t>人大常委会的领导下，按年度工作计划安排，会议各筹备组分工明确，责任明确，各负其责，齐心协力，相互配合，严格管理，确保工作到位、人员到位、责任到位、资金到位</w:t>
      </w:r>
      <w:r>
        <w:rPr>
          <w:rFonts w:hint="eastAsia" w:ascii="仿宋_GB2312" w:hAnsi="微软雅黑" w:cs="仿宋_GB2312"/>
          <w:i w:val="0"/>
          <w:iCs w:val="0"/>
          <w:caps w:val="0"/>
          <w:color w:val="000000"/>
          <w:spacing w:val="0"/>
          <w:sz w:val="31"/>
          <w:szCs w:val="31"/>
          <w:shd w:val="clear" w:fill="FFFFFF"/>
          <w:vertAlign w:val="baseline"/>
          <w:lang w:eastAsia="zh-CN"/>
        </w:rPr>
        <w:t>，</w:t>
      </w:r>
      <w:r>
        <w:rPr>
          <w:rFonts w:ascii="仿宋_GB2312" w:hAnsi="微软雅黑" w:eastAsia="仿宋_GB2312" w:cs="仿宋_GB2312"/>
          <w:i w:val="0"/>
          <w:iCs w:val="0"/>
          <w:caps w:val="0"/>
          <w:color w:val="000000"/>
          <w:spacing w:val="0"/>
          <w:sz w:val="31"/>
          <w:szCs w:val="31"/>
          <w:shd w:val="clear" w:fill="FFFFFF"/>
          <w:vertAlign w:val="baseline"/>
        </w:rPr>
        <w:t>保障了</w:t>
      </w:r>
      <w:r>
        <w:rPr>
          <w:rFonts w:hint="eastAsia" w:ascii="仿宋_GB2312" w:hAnsi="微软雅黑" w:eastAsia="仿宋_GB2312" w:cs="仿宋_GB2312"/>
          <w:i w:val="0"/>
          <w:iCs w:val="0"/>
          <w:caps w:val="0"/>
          <w:color w:val="000000"/>
          <w:spacing w:val="0"/>
          <w:sz w:val="31"/>
          <w:szCs w:val="31"/>
          <w:shd w:val="clear" w:fill="FFFFFF"/>
          <w:vertAlign w:val="baseline"/>
          <w:lang w:eastAsia="zh-CN"/>
        </w:rPr>
        <w:t>区</w:t>
      </w:r>
      <w:r>
        <w:rPr>
          <w:rFonts w:hint="eastAsia" w:ascii="仿宋_GB2312" w:hAnsi="微软雅黑" w:eastAsia="仿宋_GB2312" w:cs="仿宋_GB2312"/>
          <w:i w:val="0"/>
          <w:iCs w:val="0"/>
          <w:caps w:val="0"/>
          <w:color w:val="000000"/>
          <w:spacing w:val="0"/>
          <w:sz w:val="31"/>
          <w:szCs w:val="31"/>
          <w:shd w:val="clear" w:fill="FFFFFF"/>
          <w:vertAlign w:val="baseline"/>
        </w:rPr>
        <w:t>第六届第</w:t>
      </w:r>
      <w:r>
        <w:rPr>
          <w:rFonts w:hint="eastAsia" w:ascii="仿宋_GB2312" w:hAnsi="微软雅黑" w:eastAsia="仿宋_GB2312" w:cs="仿宋_GB2312"/>
          <w:i w:val="0"/>
          <w:iCs w:val="0"/>
          <w:caps w:val="0"/>
          <w:color w:val="000000"/>
          <w:spacing w:val="0"/>
          <w:sz w:val="31"/>
          <w:szCs w:val="31"/>
          <w:shd w:val="clear" w:fill="FFFFFF"/>
          <w:vertAlign w:val="baseline"/>
          <w:lang w:eastAsia="zh-CN"/>
        </w:rPr>
        <w:t>二</w:t>
      </w:r>
      <w:r>
        <w:rPr>
          <w:rFonts w:hint="eastAsia" w:ascii="仿宋_GB2312" w:hAnsi="微软雅黑" w:eastAsia="仿宋_GB2312" w:cs="仿宋_GB2312"/>
          <w:i w:val="0"/>
          <w:iCs w:val="0"/>
          <w:caps w:val="0"/>
          <w:color w:val="000000"/>
          <w:spacing w:val="0"/>
          <w:sz w:val="31"/>
          <w:szCs w:val="31"/>
          <w:shd w:val="clear" w:fill="FFFFFF"/>
          <w:vertAlign w:val="baseline"/>
        </w:rPr>
        <w:t>次人民代表大会</w:t>
      </w:r>
      <w:r>
        <w:rPr>
          <w:rFonts w:ascii="仿宋_GB2312" w:hAnsi="微软雅黑" w:eastAsia="仿宋_GB2312" w:cs="仿宋_GB2312"/>
          <w:i w:val="0"/>
          <w:iCs w:val="0"/>
          <w:caps w:val="0"/>
          <w:color w:val="000000"/>
          <w:spacing w:val="0"/>
          <w:sz w:val="31"/>
          <w:szCs w:val="31"/>
          <w:shd w:val="clear" w:fill="FFFFFF"/>
          <w:vertAlign w:val="baseline"/>
        </w:rPr>
        <w:t>的顺利召开</w:t>
      </w:r>
      <w:r>
        <w:rPr>
          <w:rFonts w:hint="eastAsia" w:ascii="仿宋_GB2312" w:hAnsi="微软雅黑" w:cs="仿宋_GB2312"/>
          <w:i w:val="0"/>
          <w:iCs w:val="0"/>
          <w:caps w:val="0"/>
          <w:color w:val="000000"/>
          <w:spacing w:val="0"/>
          <w:sz w:val="31"/>
          <w:szCs w:val="31"/>
          <w:shd w:val="clear" w:fill="FFFFFF"/>
          <w:vertAlign w:val="baseline"/>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12" w:firstLineChars="200"/>
        <w:textAlignment w:val="baseline"/>
        <w:rPr>
          <w:rFonts w:hint="eastAsia" w:ascii="仿宋_GB2312" w:hAnsi="微软雅黑" w:eastAsia="仿宋_GB2312" w:cs="仿宋_GB2312"/>
          <w:i w:val="0"/>
          <w:iCs w:val="0"/>
          <w:caps w:val="0"/>
          <w:color w:val="000000"/>
          <w:spacing w:val="0"/>
          <w:sz w:val="31"/>
          <w:szCs w:val="31"/>
          <w:shd w:val="clear" w:fill="FFFFFF"/>
          <w:vertAlign w:val="baseline"/>
        </w:rPr>
      </w:pPr>
      <w:r>
        <w:rPr>
          <w:rFonts w:ascii="仿宋_GB2312" w:hAnsi="微软雅黑" w:eastAsia="仿宋_GB2312" w:cs="仿宋_GB2312"/>
          <w:i w:val="0"/>
          <w:iCs w:val="0"/>
          <w:caps w:val="0"/>
          <w:color w:val="000000"/>
          <w:spacing w:val="0"/>
          <w:sz w:val="31"/>
          <w:szCs w:val="31"/>
          <w:shd w:val="clear" w:fill="FFFFFF"/>
          <w:vertAlign w:val="baseline"/>
        </w:rPr>
        <w:t>4.项目的效益性分析。2022年</w:t>
      </w:r>
      <w:r>
        <w:rPr>
          <w:rFonts w:hint="eastAsia" w:ascii="仿宋_GB2312" w:hAnsi="微软雅黑" w:cs="仿宋_GB2312"/>
          <w:i w:val="0"/>
          <w:iCs w:val="0"/>
          <w:caps w:val="0"/>
          <w:color w:val="000000"/>
          <w:spacing w:val="0"/>
          <w:sz w:val="31"/>
          <w:szCs w:val="31"/>
          <w:shd w:val="clear" w:fill="FFFFFF"/>
          <w:vertAlign w:val="baseline"/>
          <w:lang w:eastAsia="zh-CN"/>
        </w:rPr>
        <w:t>区</w:t>
      </w:r>
      <w:r>
        <w:rPr>
          <w:rFonts w:ascii="仿宋_GB2312" w:hAnsi="微软雅黑" w:eastAsia="仿宋_GB2312" w:cs="仿宋_GB2312"/>
          <w:i w:val="0"/>
          <w:iCs w:val="0"/>
          <w:caps w:val="0"/>
          <w:color w:val="000000"/>
          <w:spacing w:val="0"/>
          <w:sz w:val="31"/>
          <w:szCs w:val="31"/>
          <w:shd w:val="clear" w:fill="FFFFFF"/>
          <w:vertAlign w:val="baseline"/>
        </w:rPr>
        <w:t>人大会议经费</w:t>
      </w:r>
      <w:r>
        <w:rPr>
          <w:rFonts w:hint="eastAsia" w:ascii="仿宋_GB2312" w:hAnsi="微软雅黑" w:cs="仿宋_GB2312"/>
          <w:i w:val="0"/>
          <w:iCs w:val="0"/>
          <w:caps w:val="0"/>
          <w:color w:val="000000"/>
          <w:spacing w:val="0"/>
          <w:sz w:val="31"/>
          <w:szCs w:val="31"/>
          <w:shd w:val="clear" w:fill="FFFFFF"/>
          <w:vertAlign w:val="baseline"/>
          <w:lang w:val="en-US" w:eastAsia="zh-CN"/>
        </w:rPr>
        <w:t>60</w:t>
      </w:r>
      <w:r>
        <w:rPr>
          <w:rFonts w:ascii="仿宋_GB2312" w:hAnsi="微软雅黑" w:eastAsia="仿宋_GB2312" w:cs="仿宋_GB2312"/>
          <w:i w:val="0"/>
          <w:iCs w:val="0"/>
          <w:caps w:val="0"/>
          <w:color w:val="000000"/>
          <w:spacing w:val="0"/>
          <w:sz w:val="31"/>
          <w:szCs w:val="31"/>
          <w:shd w:val="clear" w:fill="FFFFFF"/>
          <w:vertAlign w:val="baseline"/>
        </w:rPr>
        <w:t>万元项目经费资金落实到位，推动落实好</w:t>
      </w:r>
      <w:r>
        <w:rPr>
          <w:rFonts w:hint="eastAsia" w:ascii="仿宋_GB2312" w:hAnsi="微软雅黑" w:eastAsia="仿宋_GB2312" w:cs="仿宋_GB2312"/>
          <w:i w:val="0"/>
          <w:iCs w:val="0"/>
          <w:caps w:val="0"/>
          <w:color w:val="000000"/>
          <w:spacing w:val="0"/>
          <w:sz w:val="31"/>
          <w:szCs w:val="31"/>
          <w:shd w:val="clear" w:fill="FFFFFF"/>
          <w:vertAlign w:val="baseline"/>
          <w:lang w:eastAsia="zh-CN"/>
        </w:rPr>
        <w:t>区</w:t>
      </w:r>
      <w:r>
        <w:rPr>
          <w:rFonts w:hint="eastAsia" w:ascii="仿宋_GB2312" w:hAnsi="微软雅黑" w:eastAsia="仿宋_GB2312" w:cs="仿宋_GB2312"/>
          <w:i w:val="0"/>
          <w:iCs w:val="0"/>
          <w:caps w:val="0"/>
          <w:color w:val="000000"/>
          <w:spacing w:val="0"/>
          <w:sz w:val="31"/>
          <w:szCs w:val="31"/>
          <w:shd w:val="clear" w:fill="FFFFFF"/>
          <w:vertAlign w:val="baseline"/>
        </w:rPr>
        <w:t>第六届第</w:t>
      </w:r>
      <w:r>
        <w:rPr>
          <w:rFonts w:hint="eastAsia" w:ascii="仿宋_GB2312" w:hAnsi="微软雅黑" w:eastAsia="仿宋_GB2312" w:cs="仿宋_GB2312"/>
          <w:i w:val="0"/>
          <w:iCs w:val="0"/>
          <w:caps w:val="0"/>
          <w:color w:val="000000"/>
          <w:spacing w:val="0"/>
          <w:sz w:val="31"/>
          <w:szCs w:val="31"/>
          <w:shd w:val="clear" w:fill="FFFFFF"/>
          <w:vertAlign w:val="baseline"/>
          <w:lang w:eastAsia="zh-CN"/>
        </w:rPr>
        <w:t>二</w:t>
      </w:r>
      <w:r>
        <w:rPr>
          <w:rFonts w:hint="eastAsia" w:ascii="仿宋_GB2312" w:hAnsi="微软雅黑" w:eastAsia="仿宋_GB2312" w:cs="仿宋_GB2312"/>
          <w:i w:val="0"/>
          <w:iCs w:val="0"/>
          <w:caps w:val="0"/>
          <w:color w:val="000000"/>
          <w:spacing w:val="0"/>
          <w:sz w:val="31"/>
          <w:szCs w:val="31"/>
          <w:shd w:val="clear" w:fill="FFFFFF"/>
          <w:vertAlign w:val="baseline"/>
        </w:rPr>
        <w:t>次人民代表大会</w:t>
      </w:r>
      <w:r>
        <w:rPr>
          <w:rFonts w:hint="eastAsia" w:ascii="仿宋_GB2312" w:hAnsi="微软雅黑" w:cs="仿宋_GB2312"/>
          <w:i w:val="0"/>
          <w:iCs w:val="0"/>
          <w:caps w:val="0"/>
          <w:color w:val="000000"/>
          <w:spacing w:val="0"/>
          <w:sz w:val="31"/>
          <w:szCs w:val="31"/>
          <w:shd w:val="clear" w:fill="FFFFFF"/>
          <w:vertAlign w:val="baseline"/>
          <w:lang w:eastAsia="zh-CN"/>
        </w:rPr>
        <w:t>确</w:t>
      </w:r>
      <w:r>
        <w:rPr>
          <w:rFonts w:ascii="仿宋_GB2312" w:hAnsi="微软雅黑" w:eastAsia="仿宋_GB2312" w:cs="仿宋_GB2312"/>
          <w:i w:val="0"/>
          <w:iCs w:val="0"/>
          <w:caps w:val="0"/>
          <w:color w:val="000000"/>
          <w:spacing w:val="0"/>
          <w:sz w:val="31"/>
          <w:szCs w:val="31"/>
          <w:shd w:val="clear" w:fill="FFFFFF"/>
          <w:vertAlign w:val="baseline"/>
        </w:rPr>
        <w:t>定的各项指标、目标和措施，监督与支持</w:t>
      </w:r>
      <w:r>
        <w:rPr>
          <w:rFonts w:hint="eastAsia" w:ascii="仿宋_GB2312" w:hAnsi="微软雅黑" w:cs="仿宋_GB2312"/>
          <w:i w:val="0"/>
          <w:iCs w:val="0"/>
          <w:caps w:val="0"/>
          <w:color w:val="000000"/>
          <w:spacing w:val="0"/>
          <w:sz w:val="31"/>
          <w:szCs w:val="31"/>
          <w:shd w:val="clear" w:fill="FFFFFF"/>
          <w:vertAlign w:val="baseline"/>
          <w:lang w:eastAsia="zh-CN"/>
        </w:rPr>
        <w:t>“</w:t>
      </w:r>
      <w:r>
        <w:rPr>
          <w:rFonts w:ascii="仿宋_GB2312" w:hAnsi="微软雅黑" w:eastAsia="仿宋_GB2312" w:cs="仿宋_GB2312"/>
          <w:i w:val="0"/>
          <w:iCs w:val="0"/>
          <w:caps w:val="0"/>
          <w:color w:val="000000"/>
          <w:spacing w:val="0"/>
          <w:sz w:val="31"/>
          <w:szCs w:val="31"/>
          <w:shd w:val="clear" w:fill="FFFFFF"/>
          <w:vertAlign w:val="baseline"/>
        </w:rPr>
        <w:t>一府一委两院</w:t>
      </w:r>
      <w:r>
        <w:rPr>
          <w:rFonts w:hint="eastAsia" w:ascii="仿宋_GB2312" w:hAnsi="微软雅黑" w:cs="仿宋_GB2312"/>
          <w:i w:val="0"/>
          <w:iCs w:val="0"/>
          <w:caps w:val="0"/>
          <w:color w:val="000000"/>
          <w:spacing w:val="0"/>
          <w:sz w:val="31"/>
          <w:szCs w:val="31"/>
          <w:shd w:val="clear" w:fill="FFFFFF"/>
          <w:vertAlign w:val="baseline"/>
          <w:lang w:eastAsia="zh-CN"/>
        </w:rPr>
        <w:t>”</w:t>
      </w:r>
      <w:r>
        <w:rPr>
          <w:rFonts w:ascii="仿宋_GB2312" w:hAnsi="微软雅黑" w:eastAsia="仿宋_GB2312" w:cs="仿宋_GB2312"/>
          <w:i w:val="0"/>
          <w:iCs w:val="0"/>
          <w:caps w:val="0"/>
          <w:color w:val="000000"/>
          <w:spacing w:val="0"/>
          <w:sz w:val="31"/>
          <w:szCs w:val="31"/>
          <w:shd w:val="clear" w:fill="FFFFFF"/>
          <w:vertAlign w:val="baseline"/>
        </w:rPr>
        <w:t>工作，推进好产业结构调整和重点项目建设，进一步保障与改善民生，对经济发展过程中碰到或发生的问题及不足，及时反馈，</w:t>
      </w:r>
      <w:r>
        <w:rPr>
          <w:rFonts w:hint="eastAsia" w:ascii="仿宋_GB2312" w:hAnsi="微软雅黑" w:cs="仿宋_GB2312"/>
          <w:i w:val="0"/>
          <w:iCs w:val="0"/>
          <w:caps w:val="0"/>
          <w:color w:val="000000"/>
          <w:spacing w:val="0"/>
          <w:sz w:val="31"/>
          <w:szCs w:val="31"/>
          <w:shd w:val="clear" w:fill="FFFFFF"/>
          <w:vertAlign w:val="baseline"/>
          <w:lang w:eastAsia="zh-CN"/>
        </w:rPr>
        <w:t>“</w:t>
      </w:r>
      <w:r>
        <w:rPr>
          <w:rFonts w:ascii="仿宋_GB2312" w:hAnsi="微软雅黑" w:eastAsia="仿宋_GB2312" w:cs="仿宋_GB2312"/>
          <w:i w:val="0"/>
          <w:iCs w:val="0"/>
          <w:caps w:val="0"/>
          <w:color w:val="000000"/>
          <w:spacing w:val="0"/>
          <w:sz w:val="31"/>
          <w:szCs w:val="31"/>
          <w:shd w:val="clear" w:fill="FFFFFF"/>
          <w:vertAlign w:val="baseline"/>
        </w:rPr>
        <w:t>一府一委两院</w:t>
      </w:r>
      <w:r>
        <w:rPr>
          <w:rFonts w:hint="eastAsia" w:ascii="仿宋_GB2312" w:hAnsi="微软雅黑" w:cs="仿宋_GB2312"/>
          <w:i w:val="0"/>
          <w:iCs w:val="0"/>
          <w:caps w:val="0"/>
          <w:color w:val="000000"/>
          <w:spacing w:val="0"/>
          <w:sz w:val="31"/>
          <w:szCs w:val="31"/>
          <w:shd w:val="clear" w:fill="FFFFFF"/>
          <w:vertAlign w:val="baseline"/>
          <w:lang w:eastAsia="zh-CN"/>
        </w:rPr>
        <w:t>”</w:t>
      </w:r>
      <w:r>
        <w:rPr>
          <w:rFonts w:ascii="仿宋_GB2312" w:hAnsi="微软雅黑" w:eastAsia="仿宋_GB2312" w:cs="仿宋_GB2312"/>
          <w:i w:val="0"/>
          <w:iCs w:val="0"/>
          <w:caps w:val="0"/>
          <w:color w:val="000000"/>
          <w:spacing w:val="0"/>
          <w:sz w:val="31"/>
          <w:szCs w:val="31"/>
          <w:shd w:val="clear" w:fill="FFFFFF"/>
          <w:vertAlign w:val="baseline"/>
        </w:rPr>
        <w:t>工作能够得到及时整改，加快</w:t>
      </w:r>
      <w:r>
        <w:rPr>
          <w:rFonts w:hint="eastAsia" w:ascii="仿宋_GB2312" w:hAnsi="微软雅黑" w:cs="仿宋_GB2312"/>
          <w:i w:val="0"/>
          <w:iCs w:val="0"/>
          <w:caps w:val="0"/>
          <w:color w:val="000000"/>
          <w:spacing w:val="0"/>
          <w:sz w:val="31"/>
          <w:szCs w:val="31"/>
          <w:shd w:val="clear" w:fill="FFFFFF"/>
          <w:vertAlign w:val="baseline"/>
          <w:lang w:eastAsia="zh-CN"/>
        </w:rPr>
        <w:t>资阳区</w:t>
      </w:r>
      <w:r>
        <w:rPr>
          <w:rFonts w:ascii="仿宋_GB2312" w:hAnsi="微软雅黑" w:eastAsia="仿宋_GB2312" w:cs="仿宋_GB2312"/>
          <w:i w:val="0"/>
          <w:iCs w:val="0"/>
          <w:caps w:val="0"/>
          <w:color w:val="000000"/>
          <w:spacing w:val="0"/>
          <w:sz w:val="31"/>
          <w:szCs w:val="31"/>
          <w:shd w:val="clear" w:fill="FFFFFF"/>
          <w:vertAlign w:val="baseline"/>
        </w:rPr>
        <w:t>社会经济各项事业发展。</w:t>
      </w:r>
      <w:r>
        <w:rPr>
          <w:rFonts w:hint="eastAsia" w:ascii="仿宋_GB2312" w:hAnsi="微软雅黑" w:cs="仿宋_GB2312"/>
          <w:i w:val="0"/>
          <w:iCs w:val="0"/>
          <w:caps w:val="0"/>
          <w:color w:val="000000"/>
          <w:spacing w:val="0"/>
          <w:sz w:val="31"/>
          <w:szCs w:val="31"/>
          <w:shd w:val="clear" w:fill="FFFFFF"/>
          <w:vertAlign w:val="baseline"/>
          <w:lang w:eastAsia="zh-CN"/>
        </w:rPr>
        <w:t>区</w:t>
      </w:r>
      <w:r>
        <w:rPr>
          <w:rFonts w:ascii="仿宋_GB2312" w:hAnsi="微软雅黑" w:eastAsia="仿宋_GB2312" w:cs="仿宋_GB2312"/>
          <w:i w:val="0"/>
          <w:iCs w:val="0"/>
          <w:caps w:val="0"/>
          <w:color w:val="000000"/>
          <w:spacing w:val="0"/>
          <w:sz w:val="31"/>
          <w:szCs w:val="31"/>
          <w:shd w:val="clear" w:fill="FFFFFF"/>
          <w:vertAlign w:val="baseline"/>
        </w:rPr>
        <w:t>人</w:t>
      </w:r>
      <w:r>
        <w:rPr>
          <w:rFonts w:hint="eastAsia" w:ascii="仿宋_GB2312" w:hAnsi="微软雅黑" w:cs="仿宋_GB2312"/>
          <w:i w:val="0"/>
          <w:iCs w:val="0"/>
          <w:caps w:val="0"/>
          <w:color w:val="000000"/>
          <w:spacing w:val="0"/>
          <w:sz w:val="31"/>
          <w:szCs w:val="31"/>
          <w:shd w:val="clear" w:fill="FFFFFF"/>
          <w:vertAlign w:val="baseline"/>
          <w:lang w:eastAsia="zh-CN"/>
        </w:rPr>
        <w:t>民</w:t>
      </w:r>
      <w:r>
        <w:rPr>
          <w:rFonts w:ascii="仿宋_GB2312" w:hAnsi="微软雅黑" w:eastAsia="仿宋_GB2312" w:cs="仿宋_GB2312"/>
          <w:i w:val="0"/>
          <w:iCs w:val="0"/>
          <w:caps w:val="0"/>
          <w:color w:val="000000"/>
          <w:spacing w:val="0"/>
          <w:sz w:val="31"/>
          <w:szCs w:val="31"/>
          <w:shd w:val="clear" w:fill="FFFFFF"/>
          <w:vertAlign w:val="baseline"/>
        </w:rPr>
        <w:t>代表大会是</w:t>
      </w:r>
      <w:r>
        <w:rPr>
          <w:rFonts w:hint="eastAsia" w:ascii="仿宋_GB2312" w:hAnsi="微软雅黑" w:cs="仿宋_GB2312"/>
          <w:i w:val="0"/>
          <w:iCs w:val="0"/>
          <w:caps w:val="0"/>
          <w:color w:val="000000"/>
          <w:spacing w:val="0"/>
          <w:sz w:val="31"/>
          <w:szCs w:val="31"/>
          <w:shd w:val="clear" w:fill="FFFFFF"/>
          <w:vertAlign w:val="baseline"/>
          <w:lang w:eastAsia="zh-CN"/>
        </w:rPr>
        <w:t>资阳区</w:t>
      </w:r>
      <w:r>
        <w:rPr>
          <w:rFonts w:ascii="仿宋_GB2312" w:hAnsi="微软雅黑" w:eastAsia="仿宋_GB2312" w:cs="仿宋_GB2312"/>
          <w:i w:val="0"/>
          <w:iCs w:val="0"/>
          <w:caps w:val="0"/>
          <w:color w:val="000000"/>
          <w:spacing w:val="0"/>
          <w:sz w:val="31"/>
          <w:szCs w:val="31"/>
          <w:shd w:val="clear" w:fill="FFFFFF"/>
          <w:vertAlign w:val="baseline"/>
        </w:rPr>
        <w:t>人民群众所祈盼、关注的会议。会议的召开达到预期目标，保障和实现了</w:t>
      </w:r>
      <w:r>
        <w:rPr>
          <w:rFonts w:hint="eastAsia" w:ascii="仿宋_GB2312" w:hAnsi="微软雅黑" w:cs="仿宋_GB2312"/>
          <w:i w:val="0"/>
          <w:iCs w:val="0"/>
          <w:caps w:val="0"/>
          <w:color w:val="000000"/>
          <w:spacing w:val="0"/>
          <w:sz w:val="31"/>
          <w:szCs w:val="31"/>
          <w:shd w:val="clear" w:fill="FFFFFF"/>
          <w:vertAlign w:val="baseline"/>
          <w:lang w:eastAsia="zh-CN"/>
        </w:rPr>
        <w:t>全区</w:t>
      </w:r>
      <w:r>
        <w:rPr>
          <w:rFonts w:ascii="仿宋_GB2312" w:hAnsi="微软雅黑" w:eastAsia="仿宋_GB2312" w:cs="仿宋_GB2312"/>
          <w:i w:val="0"/>
          <w:iCs w:val="0"/>
          <w:caps w:val="0"/>
          <w:color w:val="000000"/>
          <w:spacing w:val="0"/>
          <w:sz w:val="31"/>
          <w:szCs w:val="31"/>
          <w:shd w:val="clear" w:fill="FFFFFF"/>
          <w:vertAlign w:val="baseline"/>
        </w:rPr>
        <w:t>人民群众的根本利益。会议统一了思想，明确了目标，更好调动与发挥</w:t>
      </w:r>
      <w:r>
        <w:rPr>
          <w:rFonts w:hint="eastAsia" w:ascii="仿宋_GB2312" w:hAnsi="微软雅黑" w:cs="仿宋_GB2312"/>
          <w:i w:val="0"/>
          <w:iCs w:val="0"/>
          <w:caps w:val="0"/>
          <w:color w:val="000000"/>
          <w:spacing w:val="0"/>
          <w:sz w:val="31"/>
          <w:szCs w:val="31"/>
          <w:shd w:val="clear" w:fill="FFFFFF"/>
          <w:vertAlign w:val="baseline"/>
          <w:lang w:eastAsia="zh-CN"/>
        </w:rPr>
        <w:t>全区人</w:t>
      </w:r>
      <w:r>
        <w:rPr>
          <w:rFonts w:ascii="仿宋_GB2312" w:hAnsi="微软雅黑" w:eastAsia="仿宋_GB2312" w:cs="仿宋_GB2312"/>
          <w:i w:val="0"/>
          <w:iCs w:val="0"/>
          <w:caps w:val="0"/>
          <w:color w:val="000000"/>
          <w:spacing w:val="0"/>
          <w:sz w:val="31"/>
          <w:szCs w:val="31"/>
          <w:shd w:val="clear" w:fill="FFFFFF"/>
          <w:vertAlign w:val="baseline"/>
        </w:rPr>
        <w:t>民群众的积极性、主动性和创造性。</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12" w:firstLineChars="200"/>
        <w:textAlignment w:val="baseline"/>
        <w:rPr>
          <w:rFonts w:hint="default" w:ascii="仿宋_GB2312" w:hAnsi="微软雅黑" w:eastAsia="仿宋_GB2312" w:cs="仿宋_GB2312"/>
          <w:i w:val="0"/>
          <w:iCs w:val="0"/>
          <w:caps w:val="0"/>
          <w:color w:val="000000"/>
          <w:spacing w:val="0"/>
          <w:sz w:val="31"/>
          <w:szCs w:val="31"/>
          <w:shd w:val="clear" w:fill="FFFFFF"/>
          <w:vertAlign w:val="baseline"/>
          <w:lang w:val="en-US" w:eastAsia="zh-CN"/>
        </w:rPr>
      </w:pPr>
      <w:r>
        <w:rPr>
          <w:rFonts w:ascii="仿宋_GB2312" w:hAnsi="微软雅黑" w:eastAsia="仿宋_GB2312" w:cs="仿宋_GB2312"/>
          <w:i w:val="0"/>
          <w:iCs w:val="0"/>
          <w:caps w:val="0"/>
          <w:color w:val="000000"/>
          <w:spacing w:val="0"/>
          <w:sz w:val="31"/>
          <w:szCs w:val="31"/>
          <w:shd w:val="clear" w:fill="FFFFFF"/>
          <w:vertAlign w:val="baseline"/>
        </w:rPr>
        <w:t>5.项目的可持续性分析。</w:t>
      </w:r>
      <w:r>
        <w:rPr>
          <w:rFonts w:hint="eastAsia" w:ascii="仿宋_GB2312" w:hAnsi="微软雅黑" w:cs="仿宋_GB2312"/>
          <w:i w:val="0"/>
          <w:iCs w:val="0"/>
          <w:caps w:val="0"/>
          <w:color w:val="000000"/>
          <w:spacing w:val="0"/>
          <w:sz w:val="31"/>
          <w:szCs w:val="31"/>
          <w:shd w:val="clear" w:fill="FFFFFF"/>
          <w:vertAlign w:val="baseline"/>
          <w:lang w:eastAsia="zh-CN"/>
        </w:rPr>
        <w:t>认真总结了</w:t>
      </w:r>
      <w:r>
        <w:rPr>
          <w:rFonts w:hint="eastAsia" w:ascii="仿宋_GB2312" w:hAnsi="微软雅黑" w:cs="仿宋_GB2312"/>
          <w:i w:val="0"/>
          <w:iCs w:val="0"/>
          <w:caps w:val="0"/>
          <w:color w:val="000000"/>
          <w:spacing w:val="0"/>
          <w:sz w:val="31"/>
          <w:szCs w:val="31"/>
          <w:shd w:val="clear" w:fill="FFFFFF"/>
          <w:vertAlign w:val="baseline"/>
          <w:lang w:val="en-US" w:eastAsia="zh-CN"/>
        </w:rPr>
        <w:t>2022年工作，科学安排了2023年工作。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黑体" w:hAnsi="黑体" w:eastAsia="黑体" w:cs="黑体"/>
          <w:sz w:val="32"/>
          <w:szCs w:val="32"/>
          <w:lang w:eastAsia="zh-CN"/>
        </w:rPr>
      </w:pPr>
      <w:r>
        <w:rPr>
          <w:rFonts w:hint="eastAsia" w:ascii="黑体" w:hAnsi="黑体" w:eastAsia="黑体" w:cs="黑体"/>
          <w:i w:val="0"/>
          <w:iCs w:val="0"/>
          <w:caps w:val="0"/>
          <w:color w:val="000000"/>
          <w:spacing w:val="0"/>
          <w:sz w:val="32"/>
          <w:szCs w:val="32"/>
          <w:shd w:val="clear" w:fill="FFFFFF"/>
          <w:vertAlign w:val="baseline"/>
          <w:lang w:eastAsia="zh-CN"/>
        </w:rPr>
        <w:t>五、</w:t>
      </w:r>
      <w:r>
        <w:rPr>
          <w:rFonts w:hint="eastAsia" w:ascii="黑体" w:hAnsi="黑体" w:eastAsia="黑体" w:cs="黑体"/>
          <w:sz w:val="32"/>
          <w:szCs w:val="32"/>
          <w:lang w:eastAsia="zh-CN"/>
        </w:rPr>
        <w:t>存在的问题和改进措施</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Times New Roman" w:eastAsia="楷体_GB2312" w:cs="Times New Roman"/>
          <w:b w:val="0"/>
          <w:bCs/>
          <w:kern w:val="2"/>
          <w:sz w:val="32"/>
          <w:szCs w:val="32"/>
          <w:lang w:val="en-US" w:eastAsia="zh-CN" w:bidi="ar-SA"/>
        </w:rPr>
      </w:pPr>
      <w:r>
        <w:rPr>
          <w:rFonts w:hint="eastAsia" w:ascii="楷体_GB2312" w:hAnsi="Times New Roman" w:eastAsia="楷体_GB2312" w:cs="Times New Roman"/>
          <w:b w:val="0"/>
          <w:bCs/>
          <w:kern w:val="2"/>
          <w:sz w:val="32"/>
          <w:szCs w:val="32"/>
          <w:lang w:val="en-US" w:eastAsia="zh-CN" w:bidi="ar-SA"/>
        </w:rPr>
        <w:t>（一）存在的问题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12" w:firstLineChars="200"/>
        <w:textAlignment w:val="baseline"/>
        <w:rPr>
          <w:rFonts w:hint="default" w:ascii="仿宋_GB2312" w:hAnsi="微软雅黑" w:eastAsia="仿宋_GB2312" w:cs="仿宋_GB2312"/>
          <w:i w:val="0"/>
          <w:iCs w:val="0"/>
          <w:caps w:val="0"/>
          <w:color w:val="000000"/>
          <w:spacing w:val="0"/>
          <w:sz w:val="31"/>
          <w:szCs w:val="31"/>
          <w:shd w:val="clear" w:fill="FFFFFF"/>
          <w:vertAlign w:val="baseline"/>
        </w:rPr>
      </w:pPr>
      <w:r>
        <w:rPr>
          <w:rFonts w:hint="default" w:ascii="仿宋_GB2312" w:hAnsi="微软雅黑" w:eastAsia="仿宋_GB2312" w:cs="仿宋_GB2312"/>
          <w:i w:val="0"/>
          <w:iCs w:val="0"/>
          <w:caps w:val="0"/>
          <w:color w:val="000000"/>
          <w:spacing w:val="0"/>
          <w:sz w:val="31"/>
          <w:szCs w:val="31"/>
          <w:shd w:val="clear" w:fill="FFFFFF"/>
          <w:vertAlign w:val="baseline"/>
        </w:rPr>
        <w:t>1</w:t>
      </w:r>
      <w:r>
        <w:rPr>
          <w:rFonts w:hint="eastAsia" w:ascii="仿宋_GB2312" w:hAnsi="微软雅黑" w:cs="仿宋_GB2312"/>
          <w:i w:val="0"/>
          <w:iCs w:val="0"/>
          <w:caps w:val="0"/>
          <w:color w:val="000000"/>
          <w:spacing w:val="0"/>
          <w:sz w:val="31"/>
          <w:szCs w:val="31"/>
          <w:shd w:val="clear" w:fill="FFFFFF"/>
          <w:vertAlign w:val="baseline"/>
          <w:lang w:eastAsia="zh-CN"/>
        </w:rPr>
        <w:t>.</w:t>
      </w:r>
      <w:r>
        <w:rPr>
          <w:rFonts w:hint="default" w:ascii="仿宋_GB2312" w:hAnsi="微软雅黑" w:eastAsia="仿宋_GB2312" w:cs="仿宋_GB2312"/>
          <w:i w:val="0"/>
          <w:iCs w:val="0"/>
          <w:caps w:val="0"/>
          <w:color w:val="000000"/>
          <w:spacing w:val="0"/>
          <w:sz w:val="31"/>
          <w:szCs w:val="31"/>
          <w:shd w:val="clear" w:fill="FFFFFF"/>
          <w:vertAlign w:val="baseline"/>
        </w:rPr>
        <w:t>会议用餐人数波动大，难于准确把握。会议期间，与会人员</w:t>
      </w:r>
      <w:r>
        <w:rPr>
          <w:rFonts w:hint="eastAsia" w:ascii="仿宋_GB2312" w:hAnsi="微软雅黑" w:cs="仿宋_GB2312"/>
          <w:i w:val="0"/>
          <w:iCs w:val="0"/>
          <w:caps w:val="0"/>
          <w:color w:val="000000"/>
          <w:spacing w:val="0"/>
          <w:sz w:val="31"/>
          <w:szCs w:val="31"/>
          <w:shd w:val="clear" w:fill="FFFFFF"/>
          <w:vertAlign w:val="baseline"/>
          <w:lang w:eastAsia="zh-CN"/>
        </w:rPr>
        <w:t>临时有任务</w:t>
      </w:r>
      <w:r>
        <w:rPr>
          <w:rFonts w:hint="default" w:ascii="仿宋_GB2312" w:hAnsi="微软雅黑" w:eastAsia="仿宋_GB2312" w:cs="仿宋_GB2312"/>
          <w:i w:val="0"/>
          <w:iCs w:val="0"/>
          <w:caps w:val="0"/>
          <w:color w:val="000000"/>
          <w:spacing w:val="0"/>
          <w:sz w:val="31"/>
          <w:szCs w:val="31"/>
          <w:shd w:val="clear" w:fill="FFFFFF"/>
          <w:vertAlign w:val="baseline"/>
        </w:rPr>
        <w:t>外出用餐没有提前报告，导致住宿人数与用餐人员有出入，难于发挥资金效益作用。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12" w:firstLineChars="200"/>
        <w:textAlignment w:val="baseline"/>
        <w:rPr>
          <w:rFonts w:hint="default" w:ascii="仿宋_GB2312" w:hAnsi="微软雅黑" w:eastAsia="仿宋_GB2312" w:cs="仿宋_GB2312"/>
          <w:i w:val="0"/>
          <w:iCs w:val="0"/>
          <w:caps w:val="0"/>
          <w:color w:val="000000"/>
          <w:spacing w:val="0"/>
          <w:sz w:val="31"/>
          <w:szCs w:val="31"/>
          <w:shd w:val="clear" w:fill="FFFFFF"/>
          <w:vertAlign w:val="baseline"/>
        </w:rPr>
      </w:pPr>
      <w:r>
        <w:rPr>
          <w:rFonts w:hint="eastAsia" w:ascii="仿宋_GB2312" w:hAnsi="微软雅黑" w:cs="仿宋_GB2312"/>
          <w:i w:val="0"/>
          <w:iCs w:val="0"/>
          <w:caps w:val="0"/>
          <w:color w:val="000000"/>
          <w:spacing w:val="0"/>
          <w:sz w:val="31"/>
          <w:szCs w:val="31"/>
          <w:shd w:val="clear" w:fill="FFFFFF"/>
          <w:vertAlign w:val="baseline"/>
          <w:lang w:val="en-US" w:eastAsia="zh-CN"/>
        </w:rPr>
        <w:t>2.</w:t>
      </w:r>
      <w:r>
        <w:rPr>
          <w:rFonts w:hint="default" w:ascii="仿宋_GB2312" w:hAnsi="微软雅黑" w:eastAsia="仿宋_GB2312" w:cs="仿宋_GB2312"/>
          <w:i w:val="0"/>
          <w:iCs w:val="0"/>
          <w:caps w:val="0"/>
          <w:color w:val="000000"/>
          <w:spacing w:val="0"/>
          <w:sz w:val="31"/>
          <w:szCs w:val="31"/>
          <w:shd w:val="clear" w:fill="FFFFFF"/>
          <w:vertAlign w:val="baseline"/>
        </w:rPr>
        <w:t>会议资金支出亟待进一步优化。会议支出过于笼统，会前按项分类、明确细化不够。不利于提高工作效益和效率，项目资金支出亟待进一步优化。</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楷体_GB2312" w:hAnsi="Times New Roman" w:eastAsia="楷体_GB2312" w:cs="Times New Roman"/>
          <w:b w:val="0"/>
          <w:bCs/>
          <w:kern w:val="2"/>
          <w:sz w:val="32"/>
          <w:szCs w:val="32"/>
          <w:lang w:val="en-US" w:eastAsia="zh-CN" w:bidi="ar-SA"/>
        </w:rPr>
      </w:pPr>
      <w:r>
        <w:rPr>
          <w:rFonts w:hint="eastAsia" w:ascii="楷体_GB2312" w:hAnsi="Times New Roman" w:eastAsia="楷体_GB2312" w:cs="Times New Roman"/>
          <w:b w:val="0"/>
          <w:bCs/>
          <w:kern w:val="2"/>
          <w:sz w:val="32"/>
          <w:szCs w:val="32"/>
          <w:lang w:val="en-US" w:eastAsia="zh-CN" w:bidi="ar-SA"/>
        </w:rPr>
        <w:t>（二）改进措施 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12" w:firstLineChars="200"/>
        <w:textAlignment w:val="baseline"/>
        <w:rPr>
          <w:rFonts w:hint="default" w:ascii="仿宋_GB2312" w:hAnsi="微软雅黑" w:eastAsia="仿宋_GB2312" w:cs="仿宋_GB2312"/>
          <w:i w:val="0"/>
          <w:iCs w:val="0"/>
          <w:caps w:val="0"/>
          <w:color w:val="000000"/>
          <w:spacing w:val="0"/>
          <w:sz w:val="31"/>
          <w:szCs w:val="31"/>
          <w:shd w:val="clear" w:fill="FFFFFF"/>
          <w:vertAlign w:val="baseline"/>
        </w:rPr>
      </w:pPr>
      <w:r>
        <w:rPr>
          <w:rFonts w:hint="default" w:ascii="仿宋_GB2312" w:hAnsi="微软雅黑" w:eastAsia="仿宋_GB2312" w:cs="仿宋_GB2312"/>
          <w:i w:val="0"/>
          <w:iCs w:val="0"/>
          <w:caps w:val="0"/>
          <w:color w:val="000000"/>
          <w:spacing w:val="0"/>
          <w:sz w:val="31"/>
          <w:szCs w:val="31"/>
          <w:shd w:val="clear" w:fill="FFFFFF"/>
          <w:vertAlign w:val="baseline"/>
        </w:rPr>
        <w:t>严肃会议纪律，增强会风会纪。要树立对法律、对党、对人民负责的理念，端正态度，转变作风，严格按制度办事，对参加会议不按规定请假外出的人员，该通报处理的要通报和处理，促使会议按法定的程序推进，确保实现会议的预期目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eastAsia="zh-CN"/>
        </w:rPr>
        <w:t>六、绩效自评结果拟应用和公开情况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(一)绩效自评结果拟应用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 w:hAnsi="仿宋" w:eastAsia="仿宋" w:cs="仿宋"/>
          <w:sz w:val="32"/>
          <w:szCs w:val="32"/>
        </w:rPr>
      </w:pPr>
      <w:r>
        <w:rPr>
          <w:rFonts w:hint="eastAsia" w:ascii="仿宋" w:hAnsi="仿宋" w:eastAsia="仿宋" w:cs="仿宋"/>
          <w:sz w:val="32"/>
          <w:szCs w:val="32"/>
        </w:rPr>
        <w:t>通过绩效自评，进一步掌握了资金使用情况和取得的效果，总结了专项资金管理经验，认识到了工作中存在的问题和不足，为今后完善年初预算编制、加强资金使用管理、健全资金支出项目、提高资金绩效管理、加大资金使用效益提供了重要的参考依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 w:hAnsi="仿宋" w:eastAsia="仿宋" w:cs="仿宋"/>
          <w:sz w:val="32"/>
          <w:szCs w:val="32"/>
        </w:rPr>
      </w:pPr>
      <w:r>
        <w:rPr>
          <w:rFonts w:hint="eastAsia" w:ascii="仿宋" w:hAnsi="仿宋" w:eastAsia="仿宋" w:cs="仿宋"/>
          <w:sz w:val="32"/>
          <w:szCs w:val="32"/>
        </w:rPr>
        <w:t>区人大机关将绩效理念和方法融入预算编制、执行、监督全过程，覆盖所有资金，不断优化资源配置，</w:t>
      </w:r>
      <w:bookmarkStart w:id="0" w:name="_GoBack"/>
      <w:bookmarkEnd w:id="0"/>
      <w:r>
        <w:rPr>
          <w:rFonts w:hint="eastAsia" w:ascii="仿宋" w:hAnsi="仿宋" w:eastAsia="仿宋" w:cs="仿宋"/>
          <w:sz w:val="32"/>
          <w:szCs w:val="32"/>
        </w:rPr>
        <w:t>推动资金聚力增效，提高公共服务供给质量。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(二)绩效自评结果公开情况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rPr>
        <w:t>此次绩效自评报告将在资阳区政府官网上予以全文公布，向社会公开，广泛接受群众监督</w:t>
      </w:r>
      <w:r>
        <w:rPr>
          <w:rFonts w:hint="eastAsia" w:ascii="仿宋" w:hAnsi="仿宋" w:eastAsia="仿宋" w:cs="仿宋"/>
          <w:sz w:val="32"/>
          <w:szCs w:val="32"/>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 w:hAnsi="仿宋" w:eastAsia="仿宋" w:cs="仿宋"/>
          <w:sz w:val="32"/>
          <w:szCs w:val="32"/>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ascii="Times New Roman" w:hAnsi="Times New Roman" w:eastAsia="仿宋_GB2312" w:cs="Times New Roman"/>
          <w:sz w:val="32"/>
          <w:szCs w:val="32"/>
        </w:rPr>
      </w:pPr>
      <w:r>
        <w:rPr>
          <w:rFonts w:hint="eastAsia" w:ascii="Times New Roman" w:hAnsi="Times New Roman" w:cs="Times New Roman"/>
          <w:sz w:val="32"/>
          <w:szCs w:val="32"/>
          <w:lang w:eastAsia="zh-CN"/>
        </w:rPr>
        <w:t>附件</w:t>
      </w:r>
      <w:r>
        <w:rPr>
          <w:rFonts w:ascii="Times New Roman" w:hAnsi="Times New Roman" w:eastAsia="仿宋_GB2312" w:cs="Times New Roman"/>
          <w:sz w:val="32"/>
          <w:szCs w:val="32"/>
        </w:rPr>
        <w:t>：项目支出绩效自评表</w:t>
      </w:r>
    </w:p>
    <w:p>
      <w:pPr>
        <w:widowControl/>
        <w:spacing w:line="600" w:lineRule="exact"/>
        <w:ind w:firstLine="645"/>
        <w:jc w:val="left"/>
        <w:rPr>
          <w:rFonts w:ascii="Times New Roman" w:hAnsi="Times New Roman" w:eastAsia="仿宋_GB2312" w:cs="Times New Roman"/>
          <w:sz w:val="32"/>
          <w:szCs w:val="32"/>
        </w:rPr>
      </w:pPr>
    </w:p>
    <w:p>
      <w:pPr>
        <w:widowControl/>
        <w:spacing w:line="600" w:lineRule="exact"/>
        <w:ind w:firstLine="645"/>
        <w:jc w:val="left"/>
        <w:rPr>
          <w:rFonts w:ascii="Times New Roman" w:hAnsi="Times New Roman" w:eastAsia="仿宋_GB2312" w:cs="Times New Roman"/>
          <w:sz w:val="32"/>
          <w:szCs w:val="32"/>
        </w:rPr>
      </w:pPr>
    </w:p>
    <w:p>
      <w:pPr>
        <w:widowControl/>
        <w:spacing w:line="600" w:lineRule="exact"/>
        <w:ind w:firstLine="645"/>
        <w:jc w:val="left"/>
        <w:rPr>
          <w:rFonts w:ascii="Times New Roman" w:hAnsi="Times New Roman" w:eastAsia="仿宋_GB2312" w:cs="Times New Roman"/>
          <w:sz w:val="32"/>
          <w:szCs w:val="32"/>
        </w:rPr>
      </w:pPr>
    </w:p>
    <w:p>
      <w:pPr>
        <w:widowControl/>
        <w:spacing w:line="600" w:lineRule="exact"/>
        <w:ind w:firstLine="645"/>
        <w:jc w:val="left"/>
        <w:rPr>
          <w:rFonts w:ascii="Times New Roman" w:hAnsi="Times New Roman" w:eastAsia="仿宋_GB2312" w:cs="Times New Roman"/>
          <w:sz w:val="32"/>
          <w:szCs w:val="32"/>
        </w:rPr>
      </w:pPr>
    </w:p>
    <w:p>
      <w:pPr>
        <w:pStyle w:val="2"/>
        <w:rPr>
          <w:rFonts w:ascii="Times New Roman" w:hAnsi="Times New Roman" w:eastAsia="仿宋_GB2312" w:cs="Times New Roman"/>
          <w:sz w:val="32"/>
          <w:szCs w:val="32"/>
        </w:rPr>
      </w:pPr>
    </w:p>
    <w:p>
      <w:pPr>
        <w:pStyle w:val="4"/>
      </w:pPr>
    </w:p>
    <w:p>
      <w:pPr>
        <w:widowControl/>
        <w:spacing w:line="600" w:lineRule="exact"/>
        <w:ind w:firstLine="645"/>
        <w:jc w:val="left"/>
        <w:rPr>
          <w:rFonts w:ascii="Times New Roman" w:hAnsi="Times New Roman" w:eastAsia="仿宋_GB2312" w:cs="Times New Roman"/>
          <w:sz w:val="32"/>
          <w:szCs w:val="32"/>
        </w:rPr>
      </w:pPr>
    </w:p>
    <w:p>
      <w:pPr>
        <w:pStyle w:val="2"/>
        <w:rPr>
          <w:rFonts w:ascii="Times New Roman" w:hAnsi="Times New Roman" w:eastAsia="仿宋_GB2312" w:cs="Times New Roman"/>
          <w:sz w:val="32"/>
          <w:szCs w:val="32"/>
        </w:rPr>
      </w:pP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方正小标宋_GBK" w:cs="Times New Roman"/>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方正小标宋_GBK" w:cs="Times New Roman"/>
          <w:color w:val="000000"/>
          <w:kern w:val="0"/>
          <w:sz w:val="36"/>
          <w:szCs w:val="36"/>
        </w:rPr>
      </w:pPr>
      <w:r>
        <w:rPr>
          <w:rFonts w:ascii="Times New Roman" w:hAnsi="Times New Roman" w:eastAsia="方正小标宋_GBK" w:cs="Times New Roman"/>
          <w:color w:val="000000"/>
          <w:kern w:val="0"/>
          <w:sz w:val="36"/>
          <w:szCs w:val="36"/>
        </w:rPr>
        <w:t>202</w:t>
      </w:r>
      <w:r>
        <w:rPr>
          <w:rFonts w:hint="eastAsia" w:ascii="Times New Roman" w:hAnsi="Times New Roman" w:eastAsia="方正小标宋_GBK" w:cs="Times New Roman"/>
          <w:color w:val="000000"/>
          <w:kern w:val="0"/>
          <w:sz w:val="36"/>
          <w:szCs w:val="36"/>
          <w:lang w:val="en-US" w:eastAsia="zh-CN"/>
        </w:rPr>
        <w:t>2</w:t>
      </w:r>
      <w:r>
        <w:rPr>
          <w:rFonts w:ascii="Times New Roman" w:hAnsi="Times New Roman" w:eastAsia="方正小标宋_GBK" w:cs="Times New Roman"/>
          <w:color w:val="000000"/>
          <w:kern w:val="0"/>
          <w:sz w:val="36"/>
          <w:szCs w:val="36"/>
        </w:rPr>
        <w:t>年度项目支出绩效自评表</w:t>
      </w:r>
    </w:p>
    <w:tbl>
      <w:tblPr>
        <w:tblStyle w:val="7"/>
        <w:tblW w:w="9851" w:type="dxa"/>
        <w:jc w:val="center"/>
        <w:tblLayout w:type="fixed"/>
        <w:tblCellMar>
          <w:top w:w="0" w:type="dxa"/>
          <w:left w:w="108" w:type="dxa"/>
          <w:bottom w:w="0" w:type="dxa"/>
          <w:right w:w="108" w:type="dxa"/>
        </w:tblCellMar>
      </w:tblPr>
      <w:tblGrid>
        <w:gridCol w:w="1080"/>
        <w:gridCol w:w="1080"/>
        <w:gridCol w:w="1080"/>
        <w:gridCol w:w="1309"/>
        <w:gridCol w:w="1185"/>
        <w:gridCol w:w="1260"/>
        <w:gridCol w:w="566"/>
        <w:gridCol w:w="873"/>
        <w:gridCol w:w="1418"/>
      </w:tblGrid>
      <w:tr>
        <w:tblPrEx>
          <w:tblCellMar>
            <w:top w:w="0" w:type="dxa"/>
            <w:left w:w="108" w:type="dxa"/>
            <w:bottom w:w="0" w:type="dxa"/>
            <w:right w:w="108" w:type="dxa"/>
          </w:tblCellMar>
        </w:tblPrEx>
        <w:trPr>
          <w:trHeight w:val="350"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项目名称</w:t>
            </w:r>
          </w:p>
        </w:tc>
        <w:tc>
          <w:tcPr>
            <w:tcW w:w="8771"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eastAsia="zh-CN"/>
              </w:rPr>
              <w:t>人代会</w:t>
            </w:r>
            <w:r>
              <w:rPr>
                <w:rFonts w:hint="eastAsia" w:ascii="Times New Roman" w:hAnsi="Times New Roman" w:eastAsia="仿宋_GB2312" w:cs="Times New Roman"/>
                <w:color w:val="000000"/>
                <w:kern w:val="0"/>
                <w:sz w:val="21"/>
                <w:szCs w:val="21"/>
              </w:rPr>
              <w:t>经费</w:t>
            </w: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主管部门</w:t>
            </w:r>
          </w:p>
        </w:tc>
        <w:tc>
          <w:tcPr>
            <w:tcW w:w="4654"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eastAsia="zh-CN"/>
              </w:rPr>
              <w:t>资阳区人民代表大会常务委员会</w:t>
            </w:r>
          </w:p>
        </w:tc>
        <w:tc>
          <w:tcPr>
            <w:tcW w:w="1260"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实施单位</w:t>
            </w:r>
          </w:p>
        </w:tc>
        <w:tc>
          <w:tcPr>
            <w:tcW w:w="285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eastAsia="zh-CN"/>
              </w:rPr>
              <w:t>资阳区人民代表大会常务委员会</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项目资金</w:t>
            </w:r>
            <w:r>
              <w:rPr>
                <w:rFonts w:ascii="Times New Roman" w:hAnsi="Times New Roman" w:eastAsia="仿宋_GB2312" w:cs="Times New Roman"/>
                <w:color w:val="000000"/>
                <w:kern w:val="0"/>
                <w:sz w:val="21"/>
                <w:szCs w:val="21"/>
              </w:rPr>
              <w:br w:type="textWrapping"/>
            </w:r>
            <w:r>
              <w:rPr>
                <w:rFonts w:ascii="Times New Roman" w:hAnsi="Times New Roman" w:eastAsia="仿宋_GB2312" w:cs="Times New Roman"/>
                <w:color w:val="000000"/>
                <w:kern w:val="0"/>
                <w:sz w:val="21"/>
                <w:szCs w:val="21"/>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30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年初</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预算数</w:t>
            </w:r>
          </w:p>
        </w:tc>
        <w:tc>
          <w:tcPr>
            <w:tcW w:w="11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全年</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预算数</w:t>
            </w:r>
          </w:p>
        </w:tc>
        <w:tc>
          <w:tcPr>
            <w:tcW w:w="1260"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sz w:val="21"/>
                <w:szCs w:val="21"/>
              </w:rPr>
            </w:pPr>
            <w:r>
              <w:rPr>
                <w:rFonts w:ascii="Times New Roman" w:hAnsi="Times New Roman" w:eastAsia="仿宋_GB2312" w:cs="Times New Roman"/>
                <w:sz w:val="21"/>
                <w:szCs w:val="21"/>
              </w:rPr>
              <w:t>全年</w:t>
            </w:r>
          </w:p>
          <w:p>
            <w:pPr>
              <w:keepNext w:val="0"/>
              <w:keepLines w:val="0"/>
              <w:pageBreakBefore w:val="0"/>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sz w:val="21"/>
                <w:szCs w:val="21"/>
              </w:rPr>
            </w:pPr>
            <w:r>
              <w:rPr>
                <w:rFonts w:ascii="Times New Roman" w:hAnsi="Times New Roman" w:eastAsia="仿宋_GB2312" w:cs="Times New Roman"/>
                <w:sz w:val="21"/>
                <w:szCs w:val="21"/>
              </w:rPr>
              <w:t>执行数</w:t>
            </w:r>
          </w:p>
        </w:tc>
        <w:tc>
          <w:tcPr>
            <w:tcW w:w="566"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sz w:val="21"/>
                <w:szCs w:val="21"/>
              </w:rPr>
            </w:pPr>
            <w:r>
              <w:rPr>
                <w:rFonts w:ascii="Times New Roman" w:hAnsi="Times New Roman" w:eastAsia="仿宋_GB2312" w:cs="Times New Roman"/>
                <w:sz w:val="21"/>
                <w:szCs w:val="21"/>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sz w:val="21"/>
                <w:szCs w:val="21"/>
              </w:rPr>
            </w:pPr>
            <w:r>
              <w:rPr>
                <w:rFonts w:ascii="Times New Roman" w:hAnsi="Times New Roman" w:eastAsia="仿宋_GB2312" w:cs="Times New Roman"/>
                <w:sz w:val="21"/>
                <w:szCs w:val="21"/>
              </w:rPr>
              <w:t>执行率</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sz w:val="21"/>
                <w:szCs w:val="21"/>
              </w:rPr>
            </w:pPr>
            <w:r>
              <w:rPr>
                <w:rFonts w:ascii="Times New Roman" w:hAnsi="Times New Roman" w:eastAsia="仿宋_GB2312" w:cs="Times New Roman"/>
                <w:sz w:val="21"/>
                <w:szCs w:val="21"/>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年度资金总额　</w:t>
            </w:r>
          </w:p>
        </w:tc>
        <w:tc>
          <w:tcPr>
            <w:tcW w:w="130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 xml:space="preserve"> 60</w:t>
            </w:r>
          </w:p>
        </w:tc>
        <w:tc>
          <w:tcPr>
            <w:tcW w:w="11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 xml:space="preserve"> 60</w:t>
            </w:r>
          </w:p>
        </w:tc>
        <w:tc>
          <w:tcPr>
            <w:tcW w:w="12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 xml:space="preserve"> 60</w:t>
            </w:r>
          </w:p>
        </w:tc>
        <w:tc>
          <w:tcPr>
            <w:tcW w:w="56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1</w:t>
            </w:r>
            <w:r>
              <w:rPr>
                <w:rFonts w:hint="eastAsia" w:ascii="Times New Roman" w:hAnsi="Times New Roman" w:cs="Times New Roman"/>
                <w:color w:val="000000"/>
                <w:kern w:val="0"/>
                <w:sz w:val="21"/>
                <w:szCs w:val="21"/>
                <w:lang w:val="en-US" w:eastAsia="zh-CN"/>
              </w:rPr>
              <w:t>0</w:t>
            </w:r>
            <w:r>
              <w:rPr>
                <w:rFonts w:hint="eastAsia" w:ascii="Times New Roman" w:hAnsi="Times New Roman" w:cs="Times New Roman"/>
                <w:color w:val="000000"/>
                <w:kern w:val="0"/>
                <w:sz w:val="21"/>
                <w:szCs w:val="21"/>
                <w:lang w:eastAsia="zh-CN"/>
              </w:rPr>
              <w:t>分</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其中：当年财政拨款　</w:t>
            </w:r>
          </w:p>
        </w:tc>
        <w:tc>
          <w:tcPr>
            <w:tcW w:w="130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 xml:space="preserve"> 60</w:t>
            </w:r>
          </w:p>
        </w:tc>
        <w:tc>
          <w:tcPr>
            <w:tcW w:w="11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 xml:space="preserve"> 60</w:t>
            </w:r>
          </w:p>
        </w:tc>
        <w:tc>
          <w:tcPr>
            <w:tcW w:w="12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 xml:space="preserve"> 60</w:t>
            </w:r>
          </w:p>
        </w:tc>
        <w:tc>
          <w:tcPr>
            <w:tcW w:w="56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ind w:firstLine="618" w:firstLineChars="300"/>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上年结转资金　</w:t>
            </w:r>
          </w:p>
        </w:tc>
        <w:tc>
          <w:tcPr>
            <w:tcW w:w="130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 xml:space="preserve"> </w:t>
            </w:r>
          </w:p>
        </w:tc>
        <w:tc>
          <w:tcPr>
            <w:tcW w:w="11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p>
        </w:tc>
        <w:tc>
          <w:tcPr>
            <w:tcW w:w="12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 xml:space="preserve"> </w:t>
            </w:r>
          </w:p>
        </w:tc>
        <w:tc>
          <w:tcPr>
            <w:tcW w:w="56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ind w:firstLine="618" w:firstLineChars="300"/>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其他资金</w:t>
            </w:r>
          </w:p>
        </w:tc>
        <w:tc>
          <w:tcPr>
            <w:tcW w:w="130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s="Times New Roman"/>
                <w:color w:val="000000"/>
                <w:kern w:val="0"/>
                <w:sz w:val="21"/>
                <w:szCs w:val="21"/>
              </w:rPr>
              <w:t>　</w:t>
            </w:r>
          </w:p>
        </w:tc>
        <w:tc>
          <w:tcPr>
            <w:tcW w:w="11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 xml:space="preserve"> </w:t>
            </w:r>
          </w:p>
        </w:tc>
        <w:tc>
          <w:tcPr>
            <w:tcW w:w="12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s="Times New Roman"/>
                <w:color w:val="000000"/>
                <w:kern w:val="0"/>
                <w:sz w:val="21"/>
                <w:szCs w:val="21"/>
              </w:rPr>
              <w:t>　</w:t>
            </w:r>
          </w:p>
        </w:tc>
        <w:tc>
          <w:tcPr>
            <w:tcW w:w="56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年度总体目标</w:t>
            </w:r>
          </w:p>
        </w:tc>
        <w:tc>
          <w:tcPr>
            <w:tcW w:w="4654"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预期目标</w:t>
            </w:r>
          </w:p>
        </w:tc>
        <w:tc>
          <w:tcPr>
            <w:tcW w:w="4117"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4654"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eastAsia="仿宋_GB2312" w:cs="Times New Roman"/>
                <w:color w:val="000000"/>
                <w:kern w:val="0"/>
                <w:sz w:val="21"/>
                <w:szCs w:val="21"/>
              </w:rPr>
              <w:t>完成</w:t>
            </w:r>
            <w:r>
              <w:rPr>
                <w:rFonts w:hint="eastAsia" w:ascii="Times New Roman" w:hAnsi="Times New Roman" w:cs="Times New Roman"/>
                <w:color w:val="000000"/>
                <w:kern w:val="0"/>
                <w:sz w:val="21"/>
                <w:szCs w:val="21"/>
                <w:lang w:eastAsia="zh-CN"/>
              </w:rPr>
              <w:t>资阳区</w:t>
            </w:r>
            <w:r>
              <w:rPr>
                <w:rFonts w:hint="eastAsia" w:ascii="Times New Roman" w:hAnsi="Times New Roman" w:eastAsia="仿宋_GB2312" w:cs="Times New Roman"/>
                <w:color w:val="000000"/>
                <w:kern w:val="0"/>
                <w:sz w:val="21"/>
                <w:szCs w:val="21"/>
              </w:rPr>
              <w:t>第六届第</w:t>
            </w:r>
            <w:r>
              <w:rPr>
                <w:rFonts w:hint="eastAsia" w:ascii="Times New Roman" w:hAnsi="Times New Roman" w:cs="Times New Roman"/>
                <w:color w:val="000000"/>
                <w:kern w:val="0"/>
                <w:sz w:val="21"/>
                <w:szCs w:val="21"/>
                <w:lang w:eastAsia="zh-CN"/>
              </w:rPr>
              <w:t>二</w:t>
            </w:r>
            <w:r>
              <w:rPr>
                <w:rFonts w:hint="eastAsia" w:ascii="Times New Roman" w:hAnsi="Times New Roman" w:eastAsia="仿宋_GB2312" w:cs="Times New Roman"/>
                <w:color w:val="000000"/>
                <w:kern w:val="0"/>
                <w:sz w:val="21"/>
                <w:szCs w:val="21"/>
              </w:rPr>
              <w:t>次人民代表大会</w:t>
            </w:r>
          </w:p>
        </w:tc>
        <w:tc>
          <w:tcPr>
            <w:tcW w:w="4117"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rPr>
              <w:t>全部完成了工作目标</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绩</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效</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标</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一级指标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二级指标</w:t>
            </w:r>
          </w:p>
        </w:tc>
        <w:tc>
          <w:tcPr>
            <w:tcW w:w="13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三级指标</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指标值</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实际</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完成值</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得分</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偏差原因</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分析及</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改进措施</w:t>
            </w:r>
          </w:p>
        </w:tc>
      </w:tr>
      <w:tr>
        <w:tblPrEx>
          <w:tblCellMar>
            <w:top w:w="0" w:type="dxa"/>
            <w:left w:w="108" w:type="dxa"/>
            <w:bottom w:w="0" w:type="dxa"/>
            <w:right w:w="108" w:type="dxa"/>
          </w:tblCellMar>
        </w:tblPrEx>
        <w:trPr>
          <w:trHeight w:val="7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产出指标</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(50分)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数量指标</w:t>
            </w:r>
          </w:p>
        </w:tc>
        <w:tc>
          <w:tcPr>
            <w:tcW w:w="13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s="Times New Roman"/>
                <w:color w:val="000000"/>
                <w:kern w:val="0"/>
                <w:sz w:val="21"/>
                <w:szCs w:val="21"/>
                <w:lang w:eastAsia="zh-CN"/>
              </w:rPr>
              <w:t>完成区第六届第二次人民代表大会</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eastAsia="zh-CN"/>
              </w:rPr>
              <w:t>完成区第六届第二次人民代表大会</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顺利召开区</w:t>
            </w:r>
            <w:r>
              <w:rPr>
                <w:rFonts w:hint="eastAsia" w:ascii="Times New Roman" w:hAnsi="Times New Roman" w:cs="Times New Roman"/>
                <w:color w:val="000000"/>
                <w:kern w:val="0"/>
                <w:sz w:val="21"/>
                <w:szCs w:val="21"/>
                <w:lang w:eastAsia="zh-CN"/>
              </w:rPr>
              <w:t>第六届第二次人民代表大会</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12.5分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12.5分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trHeight w:val="9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质量指标</w:t>
            </w:r>
          </w:p>
        </w:tc>
        <w:tc>
          <w:tcPr>
            <w:tcW w:w="13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eastAsia="zh-CN"/>
              </w:rPr>
              <w:t>加强对区六届人大一次会议收集到的122件建议、批评和意见的跟踪督办</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eastAsia="zh-CN"/>
              </w:rPr>
              <w:t>办结率</w:t>
            </w:r>
            <w:r>
              <w:rPr>
                <w:rFonts w:hint="eastAsia" w:ascii="Times New Roman" w:hAnsi="Times New Roman" w:eastAsia="仿宋_GB2312" w:cs="Times New Roman"/>
                <w:color w:val="000000"/>
                <w:kern w:val="0"/>
                <w:sz w:val="21"/>
                <w:szCs w:val="21"/>
              </w:rPr>
              <w:t>≥</w:t>
            </w:r>
            <w:r>
              <w:rPr>
                <w:rFonts w:hint="eastAsia" w:ascii="Times New Roman" w:hAnsi="Times New Roman" w:cs="Times New Roman"/>
                <w:color w:val="000000"/>
                <w:kern w:val="0"/>
                <w:sz w:val="21"/>
                <w:szCs w:val="21"/>
                <w:lang w:val="en-US" w:eastAsia="zh-CN"/>
              </w:rPr>
              <w:t>90%</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highlight w:val="none"/>
                <w:lang w:val="en-US" w:eastAsia="zh-CN"/>
              </w:rPr>
              <w:t>100%</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12.5分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12.5分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trHeight w:val="7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时效指标</w:t>
            </w:r>
          </w:p>
        </w:tc>
        <w:tc>
          <w:tcPr>
            <w:tcW w:w="13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rPr>
              <w:t>项目完成期限</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eastAsia="仿宋_GB2312" w:cs="Times New Roman"/>
                <w:color w:val="000000"/>
                <w:kern w:val="0"/>
                <w:sz w:val="21"/>
                <w:szCs w:val="21"/>
              </w:rPr>
              <w:t>2023年1-12月份</w:t>
            </w:r>
            <w:r>
              <w:rPr>
                <w:rFonts w:ascii="Times New Roman" w:hAnsi="Times New Roman" w:eastAsia="仿宋_GB2312" w:cs="Times New Roman"/>
                <w:color w:val="000000"/>
                <w:kern w:val="0"/>
                <w:sz w:val="21"/>
                <w:szCs w:val="21"/>
              </w:rPr>
              <w:t>　</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eastAsia="zh-CN"/>
              </w:rPr>
              <w:t>按时保质完成</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12.5分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12.5分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trHeight w:val="7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成本指标</w:t>
            </w:r>
          </w:p>
        </w:tc>
        <w:tc>
          <w:tcPr>
            <w:tcW w:w="13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rPr>
              <w:t>成本控制在预算内</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rPr>
              <w:t>≤</w:t>
            </w:r>
            <w:r>
              <w:rPr>
                <w:rFonts w:hint="eastAsia" w:ascii="Times New Roman" w:hAnsi="Times New Roman" w:cs="Times New Roman"/>
                <w:color w:val="000000"/>
                <w:kern w:val="0"/>
                <w:sz w:val="21"/>
                <w:szCs w:val="21"/>
                <w:lang w:val="en-US" w:eastAsia="zh-CN"/>
              </w:rPr>
              <w:t>60</w:t>
            </w:r>
            <w:r>
              <w:rPr>
                <w:rFonts w:hint="eastAsia" w:ascii="Times New Roman" w:hAnsi="Times New Roman" w:eastAsia="仿宋_GB2312" w:cs="Times New Roman"/>
                <w:color w:val="000000"/>
                <w:kern w:val="0"/>
                <w:sz w:val="21"/>
                <w:szCs w:val="21"/>
              </w:rPr>
              <w:t>万元</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60万</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12.5分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color w:val="000000"/>
                <w:kern w:val="0"/>
                <w:sz w:val="21"/>
                <w:szCs w:val="21"/>
                <w:lang w:val="en-US" w:eastAsia="zh-CN"/>
              </w:rPr>
              <w:t>12.5分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trHeight w:val="7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效益指标</w:t>
            </w:r>
          </w:p>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w:t>
            </w:r>
            <w:r>
              <w:rPr>
                <w:rFonts w:hint="eastAsia" w:ascii="Times New Roman" w:hAnsi="Times New Roman" w:cs="Times New Roman"/>
                <w:color w:val="000000"/>
                <w:kern w:val="0"/>
                <w:sz w:val="21"/>
                <w:szCs w:val="21"/>
                <w:lang w:val="en-US" w:eastAsia="zh-CN"/>
              </w:rPr>
              <w:t>4</w:t>
            </w:r>
            <w:r>
              <w:rPr>
                <w:rFonts w:ascii="Times New Roman" w:hAnsi="Times New Roman" w:eastAsia="仿宋_GB2312" w:cs="Times New Roman"/>
                <w:color w:val="000000"/>
                <w:kern w:val="0"/>
                <w:sz w:val="21"/>
                <w:szCs w:val="21"/>
              </w:rPr>
              <w:t>0分）</w:t>
            </w:r>
          </w:p>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经济效</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益指标</w:t>
            </w:r>
          </w:p>
        </w:tc>
        <w:tc>
          <w:tcPr>
            <w:tcW w:w="13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eastAsia="仿宋_GB2312" w:cs="Times New Roman"/>
                <w:color w:val="000000"/>
                <w:kern w:val="0"/>
                <w:sz w:val="21"/>
                <w:szCs w:val="21"/>
              </w:rPr>
              <w:t>经济发展得到提升</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rPr>
            </w:pPr>
            <w:r>
              <w:rPr>
                <w:rFonts w:hint="eastAsia" w:ascii="Times New Roman" w:hAnsi="Times New Roman" w:cs="Times New Roman"/>
                <w:color w:val="000000"/>
                <w:kern w:val="0"/>
                <w:sz w:val="21"/>
                <w:szCs w:val="21"/>
                <w:lang w:eastAsia="zh-CN"/>
              </w:rPr>
              <w:t>提升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eastAsia="zh-CN"/>
              </w:rPr>
              <w:t>提升</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8分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7.8分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trHeight w:val="7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社会效</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益指标</w:t>
            </w:r>
          </w:p>
        </w:tc>
        <w:tc>
          <w:tcPr>
            <w:tcW w:w="13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rPr>
              <w:t>倾听群众意见，掌握社情民意</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eastAsia="zh-CN"/>
              </w:rPr>
              <w:t>有效提升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eastAsia="zh-CN"/>
              </w:rPr>
              <w:t>提升</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8分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8分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trHeight w:val="7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生态效</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益指标</w:t>
            </w:r>
          </w:p>
        </w:tc>
        <w:tc>
          <w:tcPr>
            <w:tcW w:w="13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听取和审议全区环境生态情况的报告，助推生态环境可持续性发展发展</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eastAsia="zh-CN"/>
              </w:rPr>
              <w:t>有效提升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eastAsia="zh-CN"/>
              </w:rPr>
              <w:t>提升</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8分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7.8分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trHeight w:val="7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可持续影响指标</w:t>
            </w:r>
          </w:p>
        </w:tc>
        <w:tc>
          <w:tcPr>
            <w:tcW w:w="13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rPr>
              <w:t>树立代表终身学习理念</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100%</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100%</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8分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8分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trHeight w:val="7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服务对象满意度指标</w:t>
            </w:r>
          </w:p>
        </w:tc>
        <w:tc>
          <w:tcPr>
            <w:tcW w:w="13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rPr>
              <w:t>群众</w:t>
            </w:r>
            <w:r>
              <w:rPr>
                <w:rFonts w:hint="eastAsia" w:ascii="Times New Roman" w:hAnsi="Times New Roman" w:cs="Times New Roman"/>
                <w:color w:val="000000"/>
                <w:kern w:val="0"/>
                <w:sz w:val="21"/>
                <w:szCs w:val="21"/>
                <w:lang w:val="en-US" w:eastAsia="zh-CN"/>
              </w:rPr>
              <w:t>满意度</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 w:val="21"/>
                <w:szCs w:val="21"/>
              </w:rPr>
              <w:t>≥</w:t>
            </w:r>
            <w:r>
              <w:rPr>
                <w:rFonts w:hint="eastAsia" w:ascii="Times New Roman" w:hAnsi="Times New Roman" w:cs="Times New Roman"/>
                <w:color w:val="000000"/>
                <w:kern w:val="0"/>
                <w:sz w:val="21"/>
                <w:szCs w:val="21"/>
                <w:lang w:val="en-US" w:eastAsia="zh-CN"/>
              </w:rPr>
              <w:t>90%</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96%</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8分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8分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jc w:val="center"/>
        </w:trPr>
        <w:tc>
          <w:tcPr>
            <w:tcW w:w="6994"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总分</w:t>
            </w:r>
          </w:p>
        </w:tc>
        <w:tc>
          <w:tcPr>
            <w:tcW w:w="56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100分</w:t>
            </w:r>
          </w:p>
        </w:tc>
        <w:tc>
          <w:tcPr>
            <w:tcW w:w="8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99.6</w:t>
            </w:r>
            <w:r>
              <w:rPr>
                <w:rFonts w:hint="eastAsia" w:ascii="Times New Roman" w:hAnsi="Times New Roman" w:cs="Times New Roman"/>
                <w:color w:val="000000"/>
                <w:kern w:val="0"/>
                <w:sz w:val="21"/>
                <w:szCs w:val="21"/>
                <w:lang w:eastAsia="zh-CN"/>
              </w:rPr>
              <w:t>分</w:t>
            </w:r>
            <w:r>
              <w:rPr>
                <w:rFonts w:ascii="Times New Roman" w:hAnsi="Times New Roman" w:eastAsia="仿宋_GB2312" w:cs="Times New Roman"/>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Times New Roman" w:hAnsi="Times New Roman" w:eastAsia="仿宋_GB2312" w:cs="Times New Roman"/>
                <w:color w:val="000000"/>
                <w:kern w:val="0"/>
                <w:sz w:val="21"/>
                <w:szCs w:val="21"/>
              </w:rPr>
            </w:pPr>
          </w:p>
        </w:tc>
      </w:tr>
    </w:tbl>
    <w:p>
      <w:pPr>
        <w:widowControl/>
        <w:spacing w:line="600" w:lineRule="exact"/>
        <w:jc w:val="left"/>
        <w:rPr>
          <w:color w:val="000000" w:themeColor="text1"/>
          <w14:textFill>
            <w14:solidFill>
              <w14:schemeClr w14:val="tx1"/>
            </w14:solidFill>
          </w14:textFill>
        </w:rPr>
      </w:pPr>
      <w:r>
        <w:rPr>
          <w:rFonts w:ascii="Times New Roman" w:hAnsi="Times New Roman" w:eastAsia="仿宋_GB2312" w:cs="Times New Roman"/>
          <w:color w:val="000000" w:themeColor="text1"/>
          <w:kern w:val="0"/>
          <w:sz w:val="21"/>
          <w:szCs w:val="21"/>
          <w14:textFill>
            <w14:solidFill>
              <w14:schemeClr w14:val="tx1"/>
            </w14:solidFill>
          </w14:textFill>
        </w:rPr>
        <w:t>填表人：</w:t>
      </w:r>
      <w:r>
        <w:rPr>
          <w:rFonts w:hint="eastAsia" w:ascii="Times New Roman" w:hAnsi="Times New Roman" w:cs="Times New Roman"/>
          <w:color w:val="000000" w:themeColor="text1"/>
          <w:kern w:val="0"/>
          <w:sz w:val="21"/>
          <w:szCs w:val="21"/>
          <w:lang w:eastAsia="zh-CN"/>
          <w14:textFill>
            <w14:solidFill>
              <w14:schemeClr w14:val="tx1"/>
            </w14:solidFill>
          </w14:textFill>
        </w:rPr>
        <w:t>段诗涵</w:t>
      </w:r>
      <w:r>
        <w:rPr>
          <w:rFonts w:ascii="Times New Roman" w:hAnsi="Times New Roman" w:eastAsia="仿宋_GB2312" w:cs="Times New Roman"/>
          <w:color w:val="000000" w:themeColor="text1"/>
          <w:kern w:val="0"/>
          <w:sz w:val="21"/>
          <w:szCs w:val="21"/>
          <w14:textFill>
            <w14:solidFill>
              <w14:schemeClr w14:val="tx1"/>
            </w14:solidFill>
          </w14:textFill>
        </w:rPr>
        <w:t xml:space="preserve"> </w:t>
      </w:r>
      <w:r>
        <w:rPr>
          <w:rFonts w:hint="eastAsia" w:ascii="Times New Roman" w:hAnsi="Times New Roman" w:cs="Times New Roman"/>
          <w:color w:val="000000" w:themeColor="text1"/>
          <w:kern w:val="0"/>
          <w:sz w:val="21"/>
          <w:szCs w:val="21"/>
          <w:lang w:val="en-US" w:eastAsia="zh-CN"/>
          <w14:textFill>
            <w14:solidFill>
              <w14:schemeClr w14:val="tx1"/>
            </w14:solidFill>
          </w14:textFill>
        </w:rPr>
        <w:t xml:space="preserve">  </w:t>
      </w:r>
      <w:r>
        <w:rPr>
          <w:rFonts w:ascii="Times New Roman" w:hAnsi="Times New Roman" w:eastAsia="仿宋_GB2312" w:cs="Times New Roman"/>
          <w:color w:val="000000" w:themeColor="text1"/>
          <w:kern w:val="0"/>
          <w:sz w:val="21"/>
          <w:szCs w:val="21"/>
          <w14:textFill>
            <w14:solidFill>
              <w14:schemeClr w14:val="tx1"/>
            </w14:solidFill>
          </w14:textFill>
        </w:rPr>
        <w:t>填报日期：</w:t>
      </w:r>
      <w:r>
        <w:rPr>
          <w:rFonts w:hint="eastAsia" w:ascii="Times New Roman" w:hAnsi="Times New Roman" w:cs="Times New Roman"/>
          <w:color w:val="000000" w:themeColor="text1"/>
          <w:kern w:val="0"/>
          <w:sz w:val="21"/>
          <w:szCs w:val="21"/>
          <w:lang w:val="en-US" w:eastAsia="zh-CN"/>
          <w14:textFill>
            <w14:solidFill>
              <w14:schemeClr w14:val="tx1"/>
            </w14:solidFill>
          </w14:textFill>
        </w:rPr>
        <w:t>2023.4.18</w:t>
      </w:r>
      <w:r>
        <w:rPr>
          <w:rFonts w:ascii="Times New Roman" w:hAnsi="Times New Roman" w:eastAsia="仿宋_GB2312" w:cs="Times New Roman"/>
          <w:color w:val="000000" w:themeColor="text1"/>
          <w:kern w:val="0"/>
          <w:sz w:val="21"/>
          <w:szCs w:val="21"/>
          <w14:textFill>
            <w14:solidFill>
              <w14:schemeClr w14:val="tx1"/>
            </w14:solidFill>
          </w14:textFill>
        </w:rPr>
        <w:t xml:space="preserve">  </w:t>
      </w:r>
      <w:r>
        <w:rPr>
          <w:rFonts w:hint="eastAsia" w:ascii="Times New Roman" w:hAnsi="Times New Roman" w:cs="Times New Roman"/>
          <w:color w:val="000000" w:themeColor="text1"/>
          <w:kern w:val="0"/>
          <w:sz w:val="21"/>
          <w:szCs w:val="21"/>
          <w:lang w:val="en-US" w:eastAsia="zh-CN"/>
          <w14:textFill>
            <w14:solidFill>
              <w14:schemeClr w14:val="tx1"/>
            </w14:solidFill>
          </w14:textFill>
        </w:rPr>
        <w:t xml:space="preserve"> </w:t>
      </w:r>
      <w:r>
        <w:rPr>
          <w:rFonts w:ascii="Times New Roman" w:hAnsi="Times New Roman" w:eastAsia="仿宋_GB2312" w:cs="Times New Roman"/>
          <w:color w:val="000000" w:themeColor="text1"/>
          <w:kern w:val="0"/>
          <w:sz w:val="21"/>
          <w:szCs w:val="21"/>
          <w14:textFill>
            <w14:solidFill>
              <w14:schemeClr w14:val="tx1"/>
            </w14:solidFill>
          </w14:textFill>
        </w:rPr>
        <w:t>联系电话：</w:t>
      </w:r>
      <w:r>
        <w:rPr>
          <w:rFonts w:hint="eastAsia" w:ascii="Times New Roman" w:hAnsi="Times New Roman" w:cs="Times New Roman"/>
          <w:color w:val="000000" w:themeColor="text1"/>
          <w:kern w:val="0"/>
          <w:sz w:val="21"/>
          <w:szCs w:val="21"/>
          <w:lang w:val="en-US" w:eastAsia="zh-CN"/>
          <w14:textFill>
            <w14:solidFill>
              <w14:schemeClr w14:val="tx1"/>
            </w14:solidFill>
          </w14:textFill>
        </w:rPr>
        <w:t xml:space="preserve">19117927779   </w:t>
      </w:r>
      <w:r>
        <w:rPr>
          <w:rFonts w:ascii="Times New Roman" w:hAnsi="Times New Roman" w:eastAsia="仿宋_GB2312" w:cs="Times New Roman"/>
          <w:color w:val="000000" w:themeColor="text1"/>
          <w:kern w:val="0"/>
          <w:sz w:val="21"/>
          <w:szCs w:val="21"/>
          <w14:textFill>
            <w14:solidFill>
              <w14:schemeClr w14:val="tx1"/>
            </w14:solidFill>
          </w14:textFill>
        </w:rPr>
        <w:t>单位负责人签字：</w:t>
      </w:r>
    </w:p>
    <w:p>
      <w:pPr>
        <w:widowControl/>
        <w:spacing w:line="600" w:lineRule="exact"/>
        <w:ind w:firstLine="645"/>
        <w:jc w:val="left"/>
      </w:pPr>
    </w:p>
    <w:sectPr>
      <w:footerReference r:id="rId3" w:type="default"/>
      <w:footerReference r:id="rId4" w:type="even"/>
      <w:pgSz w:w="11907" w:h="16840"/>
      <w:pgMar w:top="2041" w:right="1531" w:bottom="1871" w:left="1531" w:header="851" w:footer="1304" w:gutter="0"/>
      <w:pgBorders>
        <w:top w:val="none" w:sz="0" w:space="0"/>
        <w:left w:val="none" w:sz="0" w:space="0"/>
        <w:bottom w:val="none" w:sz="0" w:space="0"/>
        <w:right w:val="none" w:sz="0" w:space="0"/>
      </w:pgBorders>
      <w:cols w:space="720" w:num="1"/>
      <w:docGrid w:type="linesAndChars" w:linePitch="587"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ind w:right="335"/>
      <w:rPr>
        <w:rStyle w:val="10"/>
        <w:rFonts w:hint="eastAsia" w:ascii="宋体" w:hAnsi="宋体" w:eastAsia="宋体"/>
        <w:sz w:val="28"/>
      </w:rPr>
    </w:pPr>
    <w:r>
      <w:rPr>
        <w:rStyle w:val="10"/>
        <w:rFonts w:hint="eastAsia" w:ascii="宋体" w:hAnsi="宋体" w:eastAsia="宋体"/>
        <w:sz w:val="28"/>
      </w:rPr>
      <w:t>—</w:t>
    </w:r>
    <w:r>
      <w:rPr>
        <w:rFonts w:ascii="宋体" w:hAnsi="宋体" w:eastAsia="宋体"/>
        <w:sz w:val="28"/>
      </w:rPr>
      <w:fldChar w:fldCharType="begin"/>
    </w:r>
    <w:r>
      <w:rPr>
        <w:rStyle w:val="10"/>
        <w:rFonts w:ascii="宋体" w:hAnsi="宋体" w:eastAsia="宋体"/>
        <w:sz w:val="28"/>
      </w:rPr>
      <w:instrText xml:space="preserve">PAGE  </w:instrText>
    </w:r>
    <w:r>
      <w:rPr>
        <w:rFonts w:ascii="宋体" w:hAnsi="宋体" w:eastAsia="宋体"/>
        <w:sz w:val="28"/>
      </w:rPr>
      <w:fldChar w:fldCharType="separate"/>
    </w:r>
    <w:r>
      <w:rPr>
        <w:rStyle w:val="10"/>
        <w:rFonts w:ascii="宋体" w:hAnsi="宋体" w:eastAsia="宋体"/>
        <w:sz w:val="28"/>
      </w:rPr>
      <w:t>3</w:t>
    </w:r>
    <w:r>
      <w:rPr>
        <w:rFonts w:ascii="宋体" w:hAnsi="宋体" w:eastAsia="宋体"/>
        <w:sz w:val="28"/>
      </w:rPr>
      <w:fldChar w:fldCharType="end"/>
    </w:r>
    <w:r>
      <w:rPr>
        <w:rStyle w:val="10"/>
        <w:rFonts w:hint="eastAsia" w:ascii="宋体" w:hAnsi="宋体" w:eastAsia="宋体"/>
        <w:sz w:val="28"/>
      </w:rPr>
      <w:t>—</w:t>
    </w:r>
  </w:p>
  <w:p>
    <w:pPr>
      <w:pStyle w:val="5"/>
      <w:ind w:right="360" w:firstLine="360"/>
      <w:jc w:val="right"/>
      <w:rPr>
        <w:rFonts w:hint="eastAsia"/>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ind w:left="335"/>
      <w:rPr>
        <w:rStyle w:val="10"/>
        <w:rFonts w:hint="eastAsia" w:ascii="宋体" w:hAnsi="宋体" w:eastAsia="宋体"/>
        <w:sz w:val="28"/>
      </w:rPr>
    </w:pPr>
    <w:r>
      <w:rPr>
        <w:rStyle w:val="10"/>
        <w:rFonts w:hint="eastAsia" w:ascii="宋体" w:hAnsi="宋体" w:eastAsia="宋体"/>
        <w:sz w:val="28"/>
      </w:rPr>
      <w:t>—</w:t>
    </w:r>
    <w:r>
      <w:rPr>
        <w:rFonts w:ascii="宋体" w:hAnsi="宋体" w:eastAsia="宋体"/>
        <w:sz w:val="28"/>
      </w:rPr>
      <w:fldChar w:fldCharType="begin"/>
    </w:r>
    <w:r>
      <w:rPr>
        <w:rStyle w:val="10"/>
        <w:rFonts w:ascii="宋体" w:hAnsi="宋体" w:eastAsia="宋体"/>
        <w:sz w:val="28"/>
      </w:rPr>
      <w:instrText xml:space="preserve">PAGE  </w:instrText>
    </w:r>
    <w:r>
      <w:rPr>
        <w:rFonts w:ascii="宋体" w:hAnsi="宋体" w:eastAsia="宋体"/>
        <w:sz w:val="28"/>
      </w:rPr>
      <w:fldChar w:fldCharType="separate"/>
    </w:r>
    <w:r>
      <w:rPr>
        <w:rStyle w:val="10"/>
        <w:rFonts w:ascii="宋体" w:hAnsi="宋体" w:eastAsia="宋体"/>
        <w:sz w:val="28"/>
      </w:rPr>
      <w:t>4</w:t>
    </w:r>
    <w:r>
      <w:rPr>
        <w:rFonts w:ascii="宋体" w:hAnsi="宋体" w:eastAsia="宋体"/>
        <w:sz w:val="28"/>
      </w:rPr>
      <w:fldChar w:fldCharType="end"/>
    </w:r>
    <w:r>
      <w:rPr>
        <w:rStyle w:val="10"/>
        <w:rFonts w:hint="eastAsia" w:ascii="宋体" w:hAnsi="宋体" w:eastAsia="宋体"/>
        <w:sz w:val="28"/>
      </w:rPr>
      <w:t>—</w:t>
    </w:r>
  </w:p>
  <w:p>
    <w:pPr>
      <w:pStyle w:val="5"/>
      <w:ind w:left="300" w:right="360" w:firstLine="360"/>
      <w:rPr>
        <w:rFonts w:hint="eastAsia"/>
        <w:sz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yZTNkZjcxNTAxNTFkMmQxZDU0ZjUwMWU0ZGNmOTYifQ=="/>
  </w:docVars>
  <w:rsids>
    <w:rsidRoot w:val="00000000"/>
    <w:rsid w:val="01264FE9"/>
    <w:rsid w:val="19AF6752"/>
    <w:rsid w:val="2C2D7BBC"/>
    <w:rsid w:val="35345306"/>
    <w:rsid w:val="35487054"/>
    <w:rsid w:val="36531B9E"/>
    <w:rsid w:val="3ADF7F71"/>
    <w:rsid w:val="5964759E"/>
    <w:rsid w:val="5D1B1D59"/>
    <w:rsid w:val="5DB40898"/>
    <w:rsid w:val="63F27AE9"/>
    <w:rsid w:val="66A965AC"/>
    <w:rsid w:val="75CF6EE0"/>
    <w:rsid w:val="793136A5"/>
    <w:rsid w:val="7F796E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99"/>
    <w:pPr>
      <w:ind w:firstLine="200" w:firstLineChars="200"/>
    </w:pPr>
  </w:style>
  <w:style w:type="paragraph" w:styleId="3">
    <w:name w:val="Body Text Indent"/>
    <w:basedOn w:val="1"/>
    <w:qFormat/>
    <w:uiPriority w:val="99"/>
    <w:pPr>
      <w:spacing w:after="120"/>
      <w:ind w:left="200" w:leftChars="200"/>
    </w:pPr>
  </w:style>
  <w:style w:type="paragraph" w:styleId="4">
    <w:name w:val="Body Text"/>
    <w:basedOn w:val="1"/>
    <w:next w:val="1"/>
    <w:qFormat/>
    <w:uiPriority w:val="99"/>
    <w:pPr>
      <w:spacing w:after="12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3156</Words>
  <Characters>3348</Characters>
  <Lines>0</Lines>
  <Paragraphs>0</Paragraphs>
  <TotalTime>1</TotalTime>
  <ScaleCrop>false</ScaleCrop>
  <LinksUpToDate>false</LinksUpToDate>
  <CharactersWithSpaces>3401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2023-04-18T08:10:00Z</dcterms:created>
  <dc:creator>admin</dc:creator>
  <cp:lastModifiedBy>D</cp:lastModifiedBy>
  <cp:lastPrinted>2023-05-05T02:04:02Z</cp:lastPrinted>
  <dcterms:modified xsi:type="dcterms:W3CDTF">2023-05-05T08:05:09Z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4A8150EC6B87475DBD615F407DECB9C1_13</vt:lpwstr>
  </property>
</Properties>
</file>