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区乡村振兴局2022年度</w:t>
      </w:r>
      <w:r>
        <w:rPr>
          <w:rFonts w:hint="eastAsia" w:ascii="方正小标宋简体" w:hAnsi="方正小标宋简体" w:eastAsia="方正小标宋简体" w:cs="方正小标宋简体"/>
          <w:sz w:val="44"/>
          <w:szCs w:val="44"/>
          <w:lang w:eastAsia="zh-CN"/>
        </w:rPr>
        <w:t>项目资金</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（一）乡村振兴致富带头人培训</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eastAsia="zh-CN"/>
        </w:rPr>
        <w:t>。</w:t>
      </w:r>
      <w:r>
        <w:rPr>
          <w:rFonts w:hint="eastAsia" w:ascii="仿宋_GB2312" w:hAnsi="仿宋_GB2312" w:cs="仿宋_GB2312"/>
          <w:sz w:val="32"/>
          <w:szCs w:val="32"/>
          <w:lang w:eastAsia="zh-CN"/>
        </w:rPr>
        <w:t>该项目根据</w:t>
      </w:r>
      <w:r>
        <w:rPr>
          <w:rFonts w:hint="eastAsia" w:ascii="仿宋_GB2312" w:hAnsi="仿宋_GB2312" w:eastAsia="仿宋_GB2312" w:cs="仿宋_GB2312"/>
          <w:sz w:val="32"/>
          <w:szCs w:val="32"/>
          <w:lang w:eastAsia="zh-CN"/>
        </w:rPr>
        <w:t>湖南省乡村振兴局 湖南省财政厅《关于开展乡村振兴致富带头人培训工作的实施意见》（湘振局联﹝2021﹞2 号）、湖南省乡村振兴局《关于开展202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年乡村振兴致富带头人培训工作的通知》（湘振局发〔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19号</w:t>
      </w:r>
      <w:r>
        <w:rPr>
          <w:rFonts w:hint="eastAsia" w:ascii="仿宋_GB2312" w:hAnsi="仿宋_GB2312" w:eastAsia="仿宋_GB2312" w:cs="仿宋_GB2312"/>
          <w:sz w:val="32"/>
          <w:szCs w:val="32"/>
          <w:lang w:eastAsia="zh-CN"/>
        </w:rPr>
        <w:t>）、《关于开展2022年乡村振兴致富带头人培训工作的通知》（湘振局发〔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25号</w:t>
      </w:r>
      <w:r>
        <w:rPr>
          <w:rFonts w:hint="eastAsia" w:ascii="仿宋_GB2312" w:hAnsi="仿宋_GB2312" w:eastAsia="仿宋_GB2312" w:cs="仿宋_GB2312"/>
          <w:sz w:val="32"/>
          <w:szCs w:val="32"/>
          <w:lang w:eastAsia="zh-CN"/>
        </w:rPr>
        <w:t>）等文件</w:t>
      </w:r>
      <w:r>
        <w:rPr>
          <w:rFonts w:hint="eastAsia" w:ascii="仿宋_GB2312" w:hAnsi="仿宋_GB2312" w:cs="仿宋_GB2312"/>
          <w:sz w:val="32"/>
          <w:szCs w:val="32"/>
          <w:lang w:eastAsia="zh-CN"/>
        </w:rPr>
        <w:t>精神</w:t>
      </w:r>
      <w:r>
        <w:rPr>
          <w:rFonts w:hint="eastAsia" w:ascii="仿宋_GB2312" w:hAnsi="仿宋_GB2312" w:eastAsia="仿宋_GB2312" w:cs="仿宋_GB2312"/>
          <w:sz w:val="32"/>
          <w:szCs w:val="32"/>
          <w:lang w:eastAsia="zh-CN"/>
        </w:rPr>
        <w:t>，培训乡村振兴致富带头人是实现巩固拓展脱贫攻坚成果同乡村振兴有效衔接的重要举措，对加强乡村振兴人才队伍建设、助力全面推进乡村振兴具有较强的现实意义。该项目由区乡村振兴局组织实施，</w:t>
      </w:r>
      <w:r>
        <w:rPr>
          <w:rFonts w:hint="eastAsia" w:ascii="仿宋_GB2312" w:hAnsi="仿宋_GB2312" w:eastAsia="仿宋_GB2312" w:cs="仿宋_GB2312"/>
          <w:sz w:val="32"/>
          <w:szCs w:val="32"/>
          <w:lang w:val="en-US" w:eastAsia="zh-CN"/>
        </w:rPr>
        <w:t>2021年我区乡村振兴致富带头人培训计划任务18人，实际完成培训18人，培训费用7.92万元；2022年我区乡村振兴致富带头人培训计划任务25人，实际完成培训25人，培训费用13.2万元。</w:t>
      </w:r>
      <w:r>
        <w:rPr>
          <w:rFonts w:hint="eastAsia" w:ascii="仿宋_GB2312" w:hAnsi="仿宋_GB2312" w:cs="仿宋_GB2312"/>
          <w:sz w:val="32"/>
          <w:szCs w:val="32"/>
          <w:lang w:val="en-US" w:eastAsia="zh-CN"/>
        </w:rPr>
        <w:t>2022年本级预算28.04万元，实际总费用21.12万元，</w:t>
      </w:r>
      <w:r>
        <w:rPr>
          <w:rFonts w:hint="eastAsia" w:ascii="仿宋_GB2312" w:hAnsi="仿宋_GB2312" w:eastAsia="仿宋_GB2312" w:cs="仿宋_GB2312"/>
          <w:sz w:val="32"/>
          <w:szCs w:val="32"/>
          <w:lang w:val="en-US" w:eastAsia="zh-CN"/>
        </w:rPr>
        <w:t>资金来源</w:t>
      </w:r>
      <w:r>
        <w:rPr>
          <w:rFonts w:hint="eastAsia" w:ascii="仿宋_GB2312" w:hAnsi="仿宋_GB2312" w:cs="仿宋_GB2312"/>
          <w:sz w:val="32"/>
          <w:szCs w:val="32"/>
          <w:lang w:val="en-US" w:eastAsia="zh-CN"/>
        </w:rPr>
        <w:t>均</w:t>
      </w:r>
      <w:r>
        <w:rPr>
          <w:rFonts w:hint="eastAsia" w:ascii="仿宋_GB2312" w:hAnsi="仿宋_GB2312" w:eastAsia="仿宋_GB2312" w:cs="仿宋_GB2312"/>
          <w:sz w:val="32"/>
          <w:szCs w:val="32"/>
          <w:lang w:val="en-US" w:eastAsia="zh-CN"/>
        </w:rPr>
        <w:t>为202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年预算资金</w:t>
      </w:r>
      <w:r>
        <w:rPr>
          <w:rFonts w:hint="eastAsia" w:ascii="仿宋_GB2312" w:hAnsi="仿宋_GB2312" w:cs="仿宋_GB2312"/>
          <w:sz w:val="32"/>
          <w:szCs w:val="32"/>
          <w:lang w:val="en-US" w:eastAsia="zh-CN"/>
        </w:rPr>
        <w:t>投入，</w:t>
      </w:r>
      <w:r>
        <w:rPr>
          <w:rFonts w:hint="eastAsia" w:ascii="仿宋_GB2312" w:hAnsi="仿宋_GB2312" w:eastAsia="仿宋_GB2312" w:cs="仿宋_GB2312"/>
          <w:sz w:val="32"/>
          <w:szCs w:val="32"/>
          <w:lang w:val="en-US" w:eastAsia="zh-CN"/>
        </w:rPr>
        <w:t>培训地点在湖南省隆平培训中心。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2021年乡村振兴致富带头人培训由于实施时间在当年年底，因此在2022年拨付的培训费用。</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（二）2022年职业教育学历学生补助资金项目。</w:t>
      </w:r>
      <w:r>
        <w:rPr>
          <w:rFonts w:hint="eastAsia" w:ascii="仿宋_GB2312" w:hAnsi="仿宋_GB2312" w:eastAsia="仿宋_GB2312" w:cs="仿宋_GB2312"/>
          <w:sz w:val="32"/>
          <w:szCs w:val="32"/>
          <w:lang w:val="en-US" w:eastAsia="zh-CN"/>
        </w:rPr>
        <w:t>该项目根据湖南省乡村振兴局《关于开展 2021 年春季学期雨露计划职业学历教育补助的通知》（湘振局发〔2021〕8 号）、《关于继续开展雨露计划职业学历教育补助工作的通知》（湘振局发〔2021〕23 号）文件精神，为确保过渡期内帮扶政策的稳定性、连续性，继续实施雨露计划项目，针对就读职业教育的脱贫户（含监测户）家庭子女每学期1500元补助。202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年区乡村振兴局认真执行文件精神，经乡镇、经开区及各村核实上报，区乡村振兴局审核后确定补助学生名单，完成了202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春秋季及以前年度补发雨露计划补助发放工作。202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年本级预算100万，</w:t>
      </w:r>
      <w:r>
        <w:rPr>
          <w:rFonts w:hint="eastAsia" w:ascii="仿宋_GB2312" w:hAnsi="仿宋_GB2312" w:cs="仿宋_GB2312"/>
          <w:sz w:val="32"/>
          <w:szCs w:val="32"/>
          <w:lang w:val="en-US" w:eastAsia="zh-CN"/>
        </w:rPr>
        <w:t>后调整乡村振兴致富带头人年初预算6.92万元用于雨露计划补助，</w:t>
      </w:r>
      <w:r>
        <w:rPr>
          <w:rFonts w:hint="eastAsia" w:ascii="仿宋_GB2312" w:hAnsi="仿宋_GB2312" w:eastAsia="仿宋_GB2312" w:cs="仿宋_GB2312"/>
          <w:sz w:val="32"/>
          <w:szCs w:val="32"/>
          <w:lang w:val="en-US" w:eastAsia="zh-CN"/>
        </w:rPr>
        <w:t>实际发放</w:t>
      </w:r>
      <w:r>
        <w:rPr>
          <w:rFonts w:hint="eastAsia" w:ascii="仿宋_GB2312" w:hAnsi="仿宋_GB2312" w:cs="仿宋_GB2312"/>
          <w:sz w:val="32"/>
          <w:szCs w:val="32"/>
          <w:lang w:val="en-US" w:eastAsia="zh-CN"/>
        </w:rPr>
        <w:t>712</w:t>
      </w:r>
      <w:r>
        <w:rPr>
          <w:rFonts w:hint="eastAsia" w:ascii="仿宋_GB2312" w:hAnsi="仿宋_GB2312" w:eastAsia="仿宋_GB2312" w:cs="仿宋_GB2312"/>
          <w:sz w:val="32"/>
          <w:szCs w:val="32"/>
          <w:lang w:val="en-US" w:eastAsia="zh-CN"/>
        </w:rPr>
        <w:t>人次</w:t>
      </w:r>
      <w:r>
        <w:rPr>
          <w:rFonts w:hint="eastAsia" w:ascii="仿宋_GB2312" w:hAnsi="仿宋_GB2312" w:cs="仿宋_GB2312"/>
          <w:sz w:val="32"/>
          <w:szCs w:val="32"/>
          <w:lang w:val="en-US" w:eastAsia="zh-CN"/>
        </w:rPr>
        <w:t>106.91</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结转0.01万元，</w:t>
      </w:r>
      <w:r>
        <w:rPr>
          <w:rFonts w:hint="eastAsia" w:ascii="仿宋_GB2312" w:hAnsi="仿宋_GB2312" w:eastAsia="仿宋_GB2312" w:cs="仿宋_GB2312"/>
          <w:sz w:val="32"/>
          <w:szCs w:val="32"/>
          <w:lang w:val="en-US" w:eastAsia="zh-CN"/>
        </w:rPr>
        <w:t>资金来源</w:t>
      </w:r>
      <w:r>
        <w:rPr>
          <w:rFonts w:hint="eastAsia" w:ascii="仿宋_GB2312" w:hAnsi="仿宋_GB2312" w:cs="仿宋_GB2312"/>
          <w:sz w:val="32"/>
          <w:szCs w:val="32"/>
          <w:lang w:val="en-US" w:eastAsia="zh-CN"/>
        </w:rPr>
        <w:t>为</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年本级预算投入。</w:t>
      </w:r>
      <w:r>
        <w:rPr>
          <w:rFonts w:hint="eastAsia" w:ascii="仿宋_GB2312" w:hAnsi="仿宋_GB2312" w:cs="仿宋_GB2312"/>
          <w:sz w:val="32"/>
          <w:szCs w:val="32"/>
          <w:lang w:val="en-US" w:eastAsia="zh-CN"/>
        </w:rPr>
        <w:t>由于2022年秋季雨露计划项目实施时间较晚，资金预算不够，还有部分享受补助人次在2023年初发放，使用2023年预算资金。</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（三）防贫综合保险项目。</w:t>
      </w:r>
      <w:r>
        <w:rPr>
          <w:rFonts w:hint="eastAsia" w:ascii="仿宋_GB2312" w:hAnsi="仿宋_GB2312" w:eastAsia="仿宋_GB2312" w:cs="仿宋_GB2312"/>
          <w:sz w:val="32"/>
          <w:szCs w:val="32"/>
          <w:lang w:val="en-US" w:eastAsia="zh-CN"/>
        </w:rPr>
        <w:t>该项目根据益阳市扶贫开发领导小组</w:t>
      </w:r>
      <w:r>
        <w:rPr>
          <w:rFonts w:hint="eastAsia" w:ascii="仿宋_GB2312" w:hAnsi="仿宋_GB2312" w:cs="仿宋_GB2312"/>
          <w:sz w:val="32"/>
          <w:szCs w:val="32"/>
          <w:lang w:val="en-US" w:eastAsia="zh-CN"/>
        </w:rPr>
        <w:t>《益阳市“防贫综合保险”工作方案》（益扶领发〔2021〕2 号）文件精神，为贯彻落实国家和省、市关于巩固拓展脱贫攻坚成果同乡村振兴有效衔接工作的决策部署，切实防范和化解返贫致贫风险，构建防止返贫致贫长效机制。我局依据文件要求，为全区10%的农户购买防贫综合保险，保费标准为 100 元/人，防止发生规模性返贫。2022本级预算200万元，实际费用200万元，资金来源为</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年本级预算投入</w:t>
      </w:r>
      <w:r>
        <w:rPr>
          <w:rFonts w:hint="eastAsia" w:ascii="仿宋_GB2312" w:hAnsi="仿宋_GB2312" w:cs="仿宋_GB2312"/>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根据益阳市资阳区财政局《关于开展2022年度部门绩效自评工作的通知》精神，组织项目主管股室重点围绕项目绩效目标的设定及完成情况、项目资金使用管理情况等内容开展绩效自评，确保自评工作客观真实。</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乡村振兴致富带头人培训项目自评得分为100分、2022年职业教育学历学生扶贫补助资金项目自评得分为</w:t>
      </w:r>
      <w:r>
        <w:rPr>
          <w:rFonts w:hint="eastAsia" w:ascii="仿宋_GB2312" w:hAnsi="仿宋_GB2312" w:cs="仿宋_GB2312"/>
          <w:sz w:val="32"/>
          <w:szCs w:val="32"/>
          <w:lang w:val="en-US" w:eastAsia="zh-CN"/>
        </w:rPr>
        <w:t>99</w:t>
      </w:r>
      <w:r>
        <w:rPr>
          <w:rFonts w:hint="eastAsia" w:ascii="仿宋_GB2312" w:hAnsi="仿宋_GB2312" w:eastAsia="仿宋_GB2312" w:cs="仿宋_GB2312"/>
          <w:sz w:val="32"/>
          <w:szCs w:val="32"/>
          <w:lang w:val="en-US" w:eastAsia="zh-CN"/>
        </w:rPr>
        <w:t>分、</w:t>
      </w:r>
      <w:r>
        <w:rPr>
          <w:rFonts w:hint="eastAsia" w:ascii="仿宋_GB2312" w:hAnsi="仿宋_GB2312" w:cs="仿宋_GB2312"/>
          <w:sz w:val="32"/>
          <w:szCs w:val="32"/>
          <w:lang w:val="en-US" w:eastAsia="zh-CN"/>
        </w:rPr>
        <w:t>防贫综合保险项目</w:t>
      </w:r>
      <w:r>
        <w:rPr>
          <w:rFonts w:hint="eastAsia" w:ascii="仿宋_GB2312" w:hAnsi="仿宋_GB2312" w:eastAsia="仿宋_GB2312" w:cs="仿宋_GB2312"/>
          <w:sz w:val="32"/>
          <w:szCs w:val="32"/>
          <w:lang w:val="en-US" w:eastAsia="zh-CN"/>
        </w:rPr>
        <w:t>绩效自评得分为100分，自评结论为“优秀”。</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绩效目标实现情况分析</w:t>
      </w:r>
    </w:p>
    <w:p>
      <w:pPr>
        <w:keepNext w:val="0"/>
        <w:keepLines w:val="0"/>
        <w:pageBreakBefore w:val="0"/>
        <w:widowControl/>
        <w:kinsoku/>
        <w:wordWrap/>
        <w:overflowPunct/>
        <w:topLinePunct w:val="0"/>
        <w:autoSpaceDE/>
        <w:autoSpaceDN/>
        <w:bidi w:val="0"/>
        <w:spacing w:line="560" w:lineRule="exact"/>
        <w:ind w:firstLine="632" w:firstLineChars="200"/>
        <w:jc w:val="both"/>
        <w:textAlignment w:val="auto"/>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（一）项目资金使用及管理情况</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乡村振兴致富带头人培训</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本级预算28.04万元，实际总费用21.12万元，资金来源均为2022年预算资金投入；2022年职业教育学历学生补助资金项目，2022年本级预算100万，后调整乡村振兴致富带头人年初预算6.92万元用于雨露计划补助，实际发放712人次106.9</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结转0.01万元，</w:t>
      </w:r>
      <w:r>
        <w:rPr>
          <w:rFonts w:hint="eastAsia" w:ascii="仿宋_GB2312" w:hAnsi="仿宋_GB2312" w:eastAsia="仿宋_GB2312" w:cs="仿宋_GB2312"/>
          <w:sz w:val="32"/>
          <w:szCs w:val="32"/>
          <w:lang w:val="en-US" w:eastAsia="zh-CN"/>
        </w:rPr>
        <w:t>资金来源为2022年本级预算投入；防贫综合保险项目，2022本级预算200万元，实际费用200万元，资金来源为2022年本级预算投入。上述3个项目资金到位率100%，支付率100%。</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项目实施严格按照文件要求执行，</w:t>
      </w:r>
      <w:r>
        <w:rPr>
          <w:rFonts w:hint="eastAsia" w:ascii="仿宋_GB2312" w:hAnsi="仿宋_GB2312" w:eastAsia="仿宋_GB2312" w:cs="仿宋_GB2312"/>
          <w:sz w:val="32"/>
          <w:szCs w:val="32"/>
          <w:lang w:eastAsia="zh-CN"/>
        </w:rPr>
        <w:t>乡村振兴致富带头人培训</w:t>
      </w:r>
      <w:r>
        <w:rPr>
          <w:rFonts w:hint="eastAsia" w:ascii="仿宋_GB2312" w:hAnsi="仿宋_GB2312" w:eastAsia="仿宋_GB2312" w:cs="仿宋_GB2312"/>
          <w:sz w:val="32"/>
          <w:szCs w:val="32"/>
        </w:rPr>
        <w:t>项目</w:t>
      </w:r>
      <w:r>
        <w:rPr>
          <w:rFonts w:hint="eastAsia" w:ascii="仿宋_GB2312" w:hAnsi="仿宋_GB2312" w:cs="仿宋_GB2312"/>
          <w:sz w:val="32"/>
          <w:szCs w:val="32"/>
          <w:lang w:eastAsia="zh-CN"/>
        </w:rPr>
        <w:t>按照程序拨付了培训费用。</w:t>
      </w:r>
      <w:r>
        <w:rPr>
          <w:rFonts w:hint="eastAsia" w:ascii="仿宋_GB2312" w:hAnsi="仿宋_GB2312" w:eastAsia="仿宋_GB2312" w:cs="仿宋_GB2312"/>
          <w:sz w:val="32"/>
          <w:szCs w:val="32"/>
        </w:rPr>
        <w:t>雨露计划项目全部通过财政“一卡通”系统打卡到户，发放金额与对象精准，暂未发现存在漏发错发问题。也不存在虚假申报占用、滞后分配拨付、私自调剂使用、长期结余结转“一卡通”资金等问题。</w:t>
      </w:r>
      <w:r>
        <w:rPr>
          <w:rFonts w:hint="eastAsia" w:ascii="仿宋_GB2312" w:hAnsi="仿宋_GB2312" w:cs="仿宋_GB2312"/>
          <w:sz w:val="32"/>
          <w:szCs w:val="32"/>
          <w:lang w:eastAsia="zh-CN"/>
        </w:rPr>
        <w:t>防贫综合保险</w:t>
      </w:r>
      <w:r>
        <w:rPr>
          <w:rFonts w:hint="eastAsia" w:ascii="仿宋_GB2312" w:hAnsi="仿宋_GB2312" w:eastAsia="仿宋_GB2312" w:cs="仿宋_GB2312"/>
          <w:sz w:val="32"/>
          <w:szCs w:val="32"/>
        </w:rPr>
        <w:t>项目根据政府采购相关，采用</w:t>
      </w:r>
      <w:r>
        <w:rPr>
          <w:rFonts w:hint="eastAsia" w:ascii="仿宋_GB2312" w:hAnsi="仿宋_GB2312" w:cs="仿宋_GB2312"/>
          <w:sz w:val="32"/>
          <w:szCs w:val="32"/>
          <w:lang w:eastAsia="zh-CN"/>
        </w:rPr>
        <w:t>公开招投标</w:t>
      </w:r>
      <w:r>
        <w:rPr>
          <w:rFonts w:hint="eastAsia" w:ascii="仿宋_GB2312" w:hAnsi="仿宋_GB2312" w:eastAsia="仿宋_GB2312" w:cs="仿宋_GB2312"/>
          <w:sz w:val="32"/>
          <w:szCs w:val="32"/>
        </w:rPr>
        <w:t>的方式进行了</w:t>
      </w:r>
      <w:r>
        <w:rPr>
          <w:rFonts w:hint="eastAsia" w:ascii="仿宋_GB2312" w:hAnsi="仿宋_GB2312" w:cs="仿宋_GB2312"/>
          <w:sz w:val="32"/>
          <w:szCs w:val="32"/>
          <w:lang w:eastAsia="zh-CN"/>
        </w:rPr>
        <w:t>招投标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Times New Roman" w:hAnsi="Times New Roman" w:eastAsia="仿宋_GB2312" w:cs="Times New Roman"/>
          <w:sz w:val="32"/>
          <w:szCs w:val="32"/>
        </w:rPr>
      </w:pPr>
      <w:r>
        <w:rPr>
          <w:rFonts w:hint="eastAsia" w:ascii="楷体_GB2312" w:hAnsi="Times New Roman" w:eastAsia="楷体_GB2312" w:cs="Times New Roman"/>
          <w:b/>
          <w:kern w:val="2"/>
          <w:sz w:val="32"/>
          <w:szCs w:val="32"/>
          <w:lang w:val="en-US" w:eastAsia="zh-CN" w:bidi="ar-SA"/>
        </w:rPr>
        <w:t>（二）总体绩效目标完成情况分析。</w:t>
      </w:r>
      <w:r>
        <w:rPr>
          <w:rFonts w:hint="eastAsia" w:ascii="仿宋_GB2312"/>
          <w:sz w:val="32"/>
          <w:szCs w:val="32"/>
          <w:lang w:val="en-US" w:eastAsia="zh-CN"/>
        </w:rPr>
        <w:t>2022年按要求完成了乡村振兴致富带头人培训任务，2021、2022年两年培训人次达43人次，培训经费合计21.12万，已经足额支付给</w:t>
      </w:r>
      <w:r>
        <w:rPr>
          <w:rFonts w:hint="eastAsia" w:ascii="仿宋_GB2312" w:hAnsi="仿宋_GB2312" w:eastAsia="仿宋_GB2312" w:cs="仿宋_GB2312"/>
          <w:sz w:val="32"/>
          <w:szCs w:val="32"/>
          <w:lang w:val="en-US" w:eastAsia="zh-CN"/>
        </w:rPr>
        <w:t>湖南省隆平培训中心</w:t>
      </w:r>
      <w:r>
        <w:rPr>
          <w:rFonts w:hint="eastAsia" w:ascii="仿宋_GB2312" w:hAnsi="仿宋_GB2312" w:cs="仿宋_GB2312"/>
          <w:sz w:val="32"/>
          <w:szCs w:val="32"/>
          <w:lang w:val="en-US" w:eastAsia="zh-CN"/>
        </w:rPr>
        <w:t>。</w:t>
      </w:r>
      <w:r>
        <w:rPr>
          <w:rFonts w:hint="eastAsia" w:ascii="仿宋_GB2312"/>
          <w:sz w:val="32"/>
          <w:szCs w:val="32"/>
          <w:lang w:val="en-US" w:eastAsia="zh-CN"/>
        </w:rPr>
        <w:t>按要求完成了雨露计划发放工作，享受补助学生人次达712人次，发放补助金额106.91万元，项目金额足额发放。按要求完成全区10%的农户20000人防贫综合保险购买任务，有效防止发生规模性返贫，保费200万元，项目资金足额打款到保险公司。</w:t>
      </w:r>
    </w:p>
    <w:p>
      <w:pPr>
        <w:keepNext w:val="0"/>
        <w:keepLines w:val="0"/>
        <w:pageBreakBefore w:val="0"/>
        <w:widowControl/>
        <w:kinsoku/>
        <w:wordWrap/>
        <w:overflowPunct/>
        <w:topLinePunct w:val="0"/>
        <w:autoSpaceDE/>
        <w:autoSpaceDN/>
        <w:bidi w:val="0"/>
        <w:spacing w:line="560" w:lineRule="exact"/>
        <w:ind w:firstLine="632" w:firstLineChars="200"/>
        <w:jc w:val="both"/>
        <w:textAlignment w:val="auto"/>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（三）绩效指标完成情况分析</w:t>
      </w:r>
    </w:p>
    <w:p>
      <w:pPr>
        <w:keepNext w:val="0"/>
        <w:keepLines w:val="0"/>
        <w:pageBreakBefore w:val="0"/>
        <w:widowControl/>
        <w:kinsoku/>
        <w:wordWrap/>
        <w:overflowPunct/>
        <w:topLinePunct w:val="0"/>
        <w:autoSpaceDE/>
        <w:autoSpaceDN/>
        <w:bidi w:val="0"/>
        <w:spacing w:line="560" w:lineRule="exact"/>
        <w:ind w:firstLine="632" w:firstLineChars="200"/>
        <w:jc w:val="both"/>
        <w:textAlignment w:val="auto"/>
        <w:rPr>
          <w:rFonts w:hint="eastAsia" w:ascii="仿宋_GB2312"/>
          <w:sz w:val="32"/>
          <w:szCs w:val="32"/>
          <w:lang w:val="en-US" w:eastAsia="zh-CN"/>
        </w:rPr>
      </w:pPr>
      <w:r>
        <w:rPr>
          <w:rFonts w:hint="eastAsia" w:ascii="仿宋_GB2312"/>
          <w:sz w:val="32"/>
          <w:szCs w:val="32"/>
          <w:lang w:val="en-US" w:eastAsia="zh-CN"/>
        </w:rPr>
        <w:t>乡村振兴致富带头人培训项目，参训人员培训合格率100%，培训资金支付及时率100%，参训人员满意度100%。</w:t>
      </w:r>
    </w:p>
    <w:p>
      <w:pPr>
        <w:keepNext w:val="0"/>
        <w:keepLines w:val="0"/>
        <w:pageBreakBefore w:val="0"/>
        <w:widowControl/>
        <w:kinsoku/>
        <w:wordWrap/>
        <w:overflowPunct/>
        <w:topLinePunct w:val="0"/>
        <w:autoSpaceDE/>
        <w:autoSpaceDN/>
        <w:bidi w:val="0"/>
        <w:spacing w:line="560" w:lineRule="exact"/>
        <w:ind w:firstLine="632"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2022年职业教育学历学生补助资金项目</w:t>
      </w:r>
      <w:r>
        <w:rPr>
          <w:rFonts w:hint="eastAsia" w:ascii="仿宋_GB2312" w:hAnsi="仿宋_GB2312" w:cs="仿宋_GB2312"/>
          <w:sz w:val="32"/>
          <w:szCs w:val="32"/>
          <w:lang w:val="en-US" w:eastAsia="zh-CN"/>
        </w:rPr>
        <w:t>，按照补助标准足额发放补助资金，</w:t>
      </w:r>
      <w:r>
        <w:rPr>
          <w:rFonts w:hint="eastAsia" w:ascii="仿宋_GB2312" w:hAnsi="仿宋_GB2312" w:eastAsia="仿宋_GB2312" w:cs="仿宋_GB2312"/>
          <w:sz w:val="32"/>
          <w:szCs w:val="32"/>
          <w:lang w:val="en-US" w:eastAsia="zh-CN"/>
        </w:rPr>
        <w:t>资助标准达标率</w:t>
      </w:r>
      <w:r>
        <w:rPr>
          <w:rFonts w:hint="eastAsia" w:ascii="仿宋_GB2312" w:hAnsi="仿宋_GB2312" w:cs="仿宋_GB2312"/>
          <w:sz w:val="32"/>
          <w:szCs w:val="32"/>
          <w:lang w:val="en-US" w:eastAsia="zh-CN"/>
        </w:rPr>
        <w:t>100%，受益人口满意度100%。</w:t>
      </w:r>
    </w:p>
    <w:p>
      <w:pPr>
        <w:keepNext w:val="0"/>
        <w:keepLines w:val="0"/>
        <w:pageBreakBefore w:val="0"/>
        <w:widowControl/>
        <w:kinsoku/>
        <w:wordWrap/>
        <w:overflowPunct/>
        <w:topLinePunct w:val="0"/>
        <w:autoSpaceDE/>
        <w:autoSpaceDN/>
        <w:bidi w:val="0"/>
        <w:spacing w:line="560" w:lineRule="exact"/>
        <w:ind w:firstLine="63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防贫综合保险项目，任务目标内参保人口覆盖率100%，招投标程序合规健全，参保及时率100%，受益人口满意度100%。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仿宋_GB2312" w:hAnsi="仿宋_GB2312" w:cs="仿宋_GB2312"/>
          <w:sz w:val="32"/>
          <w:szCs w:val="32"/>
          <w:lang w:val="en-US" w:eastAsia="zh-CN"/>
        </w:rPr>
      </w:pPr>
      <w:r>
        <w:rPr>
          <w:rFonts w:hint="eastAsia" w:ascii="仿宋_GB2312"/>
          <w:sz w:val="32"/>
          <w:szCs w:val="32"/>
          <w:lang w:eastAsia="zh-CN"/>
        </w:rPr>
        <w:t>通过乡村振兴致富带头人培训项目的实施，</w:t>
      </w:r>
      <w:r>
        <w:rPr>
          <w:rFonts w:hint="eastAsia" w:ascii="仿宋_GB2312" w:hAnsi="仿宋_GB2312" w:eastAsia="仿宋_GB2312" w:cs="仿宋_GB2312"/>
          <w:sz w:val="32"/>
          <w:szCs w:val="32"/>
          <w:lang w:eastAsia="zh-CN"/>
        </w:rPr>
        <w:t>加强乡村振兴人才队伍建设、助力全面推进乡村振兴</w:t>
      </w:r>
      <w:r>
        <w:rPr>
          <w:rFonts w:hint="eastAsia" w:ascii="仿宋_GB2312" w:hAnsi="仿宋_GB2312" w:cs="仿宋_GB2312"/>
          <w:sz w:val="32"/>
          <w:szCs w:val="32"/>
          <w:lang w:eastAsia="zh-CN"/>
        </w:rPr>
        <w:t>。</w:t>
      </w:r>
      <w:r>
        <w:rPr>
          <w:rFonts w:hint="eastAsia" w:ascii="仿宋_GB2312"/>
          <w:sz w:val="32"/>
          <w:szCs w:val="32"/>
          <w:lang w:eastAsia="zh-CN"/>
        </w:rPr>
        <w:t>通过雨露计划项目的实施，增加脱贫户、监测户家庭收入，有效阻止贫困代际传递。通过扶贫特惠保项目的实施，为脱贫户购买意外险等保险，有效防止发生规模性返贫。</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ascii="Times New Roman" w:hAnsi="Times New Roman" w:eastAsia="仿宋_GB2312" w:cs="Times New Roman"/>
          <w:sz w:val="32"/>
          <w:szCs w:val="32"/>
        </w:rPr>
      </w:pPr>
      <w:r>
        <w:rPr>
          <w:rFonts w:hint="eastAsia" w:ascii="仿宋_GB2312"/>
          <w:sz w:val="32"/>
          <w:szCs w:val="32"/>
          <w:lang w:eastAsia="zh-CN"/>
        </w:rPr>
        <w:t>存在的问题主要是雨露计划资金拨付不够及时，没有严格按照文件规定的时间完成打款。主要原因是单位人手紧张，而雨露计划审核工作任务重，故审核时间较长，导致最终雨露计划补助发放时间推迟。改进措施：将雨露计划工作部署时间提前，尽快完成雨露计划审核和拨付工作。</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pStyle w:val="2"/>
        <w:keepNext w:val="0"/>
        <w:keepLines w:val="0"/>
        <w:pageBreakBefore w:val="0"/>
        <w:kinsoku/>
        <w:wordWrap/>
        <w:overflowPunct/>
        <w:topLinePunct w:val="0"/>
        <w:autoSpaceDE/>
        <w:autoSpaceDN/>
        <w:bidi w:val="0"/>
        <w:adjustRightInd/>
        <w:spacing w:before="0" w:beforeAutospacing="0" w:line="560"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（一）绩效自评结果拟应用。</w:t>
      </w:r>
      <w:r>
        <w:rPr>
          <w:rFonts w:hint="eastAsia" w:ascii="Times New Roman" w:hAnsi="Times New Roman" w:eastAsia="仿宋_GB2312" w:cs="Times New Roman"/>
          <w:kern w:val="2"/>
          <w:sz w:val="32"/>
          <w:szCs w:val="32"/>
          <w:lang w:val="en-US" w:eastAsia="zh-CN" w:bidi="ar-SA"/>
        </w:rPr>
        <w:t>通过绩效自评，进一步掌握到了资金使用情况，对于规范资金和更高效率的使用资金起到了很好地作用。并为不断完善预决算编制、专项资金管理起到了很好地指导作用。</w:t>
      </w:r>
    </w:p>
    <w:p>
      <w:pPr>
        <w:pStyle w:val="2"/>
        <w:keepNext w:val="0"/>
        <w:keepLines w:val="0"/>
        <w:pageBreakBefore w:val="0"/>
        <w:kinsoku/>
        <w:wordWrap/>
        <w:overflowPunct/>
        <w:topLinePunct w:val="0"/>
        <w:autoSpaceDE/>
        <w:autoSpaceDN/>
        <w:bidi w:val="0"/>
        <w:adjustRightInd/>
        <w:spacing w:before="0" w:beforeAutospacing="0" w:line="560" w:lineRule="exact"/>
        <w:ind w:firstLine="632" w:firstLineChars="200"/>
        <w:textAlignment w:val="auto"/>
        <w:rPr>
          <w:rFonts w:hint="eastAsia" w:ascii="Times New Roman" w:hAnsi="Times New Roman" w:eastAsia="黑体" w:cs="Times New Roman"/>
          <w:sz w:val="32"/>
          <w:szCs w:val="32"/>
          <w:lang w:eastAsia="zh-CN"/>
        </w:rPr>
      </w:pPr>
      <w:r>
        <w:rPr>
          <w:rFonts w:hint="eastAsia" w:ascii="楷体_GB2312" w:hAnsi="楷体_GB2312" w:eastAsia="楷体_GB2312" w:cs="楷体_GB2312"/>
          <w:b/>
          <w:bCs/>
          <w:kern w:val="2"/>
          <w:sz w:val="32"/>
          <w:szCs w:val="32"/>
          <w:lang w:val="en-US" w:eastAsia="zh-CN" w:bidi="ar-SA"/>
        </w:rPr>
        <w:t>（二）绩效自评结果公开情况。</w:t>
      </w:r>
      <w:r>
        <w:rPr>
          <w:rFonts w:hint="eastAsia" w:ascii="Times New Roman" w:hAnsi="Times New Roman" w:eastAsia="仿宋_GB2312" w:cs="Times New Roman"/>
          <w:kern w:val="2"/>
          <w:sz w:val="32"/>
          <w:szCs w:val="32"/>
          <w:lang w:val="en-US" w:eastAsia="zh-CN" w:bidi="ar-SA"/>
        </w:rPr>
        <w:t>此次绩效自评报告将在资阳区</w:t>
      </w:r>
      <w:r>
        <w:rPr>
          <w:rFonts w:hint="eastAsia" w:ascii="Times New Roman" w:hAnsi="Times New Roman" w:cs="Times New Roman"/>
          <w:kern w:val="2"/>
          <w:sz w:val="32"/>
          <w:szCs w:val="32"/>
          <w:lang w:val="en-US" w:eastAsia="zh-CN" w:bidi="ar-SA"/>
        </w:rPr>
        <w:t>人民</w:t>
      </w:r>
      <w:r>
        <w:rPr>
          <w:rFonts w:hint="eastAsia" w:ascii="Times New Roman" w:hAnsi="Times New Roman" w:eastAsia="仿宋_GB2312" w:cs="Times New Roman"/>
          <w:kern w:val="2"/>
          <w:sz w:val="32"/>
          <w:szCs w:val="32"/>
          <w:lang w:val="en-US" w:eastAsia="zh-CN" w:bidi="ar-SA"/>
        </w:rPr>
        <w:t>政府官网上予以全文公开，向社会公开，广泛接受群众监督。</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632"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rPr>
          <w:rFonts w:hint="eastAsia" w:ascii="Times New Roman" w:hAnsi="Times New Roman" w:cs="Times New Roman"/>
          <w:sz w:val="32"/>
          <w:szCs w:val="32"/>
          <w:lang w:eastAsia="zh-CN"/>
        </w:rPr>
      </w:pPr>
      <w:r>
        <w:rPr>
          <w:rFonts w:hint="eastAsia" w:ascii="仿宋_GB2312"/>
          <w:sz w:val="32"/>
          <w:szCs w:val="32"/>
          <w:lang w:eastAsia="zh-CN"/>
        </w:rPr>
        <w:t>本单位无其他需要说明的问题。</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致富带头人培训经费项目支出绩效自评表</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2022年职业教育学历学生补助资金项目支出绩效自评表</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防贫综合保险项目支出绩效自评表</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cs="仿宋_GB2312"/>
          <w:sz w:val="32"/>
          <w:szCs w:val="32"/>
          <w:lang w:eastAsia="zh-CN"/>
        </w:rPr>
      </w:pPr>
    </w:p>
    <w:p>
      <w:pPr>
        <w:pStyle w:val="2"/>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益阳市资阳区乡村振兴局</w:t>
      </w:r>
    </w:p>
    <w:p>
      <w:pPr>
        <w:pStyle w:val="2"/>
        <w:keepNext w:val="0"/>
        <w:keepLines w:val="0"/>
        <w:pageBreakBefore w:val="0"/>
        <w:kinsoku/>
        <w:wordWrap/>
        <w:overflowPunct/>
        <w:topLinePunct w:val="0"/>
        <w:autoSpaceDE/>
        <w:autoSpaceDN/>
        <w:bidi w:val="0"/>
        <w:spacing w:line="560" w:lineRule="exact"/>
        <w:jc w:val="center"/>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2023年4月27日</w:t>
      </w:r>
    </w:p>
    <w:p>
      <w:pPr>
        <w:pStyle w:val="2"/>
        <w:rPr>
          <w:rFonts w:ascii="Times New Roman" w:hAnsi="Times New Roman" w:eastAsia="仿宋_GB2312" w:cs="Times New Roman"/>
          <w:color w:val="000000"/>
          <w:kern w:val="0"/>
          <w:sz w:val="21"/>
          <w:szCs w:val="21"/>
        </w:rPr>
      </w:pPr>
    </w:p>
    <w:p>
      <w:pPr>
        <w:pStyle w:val="2"/>
        <w:rPr>
          <w:rFonts w:ascii="Times New Roman" w:hAnsi="Times New Roman" w:eastAsia="仿宋_GB2312" w:cs="Times New Roman"/>
          <w:color w:val="000000"/>
          <w:kern w:val="0"/>
          <w:sz w:val="21"/>
          <w:szCs w:val="21"/>
        </w:rPr>
      </w:pPr>
    </w:p>
    <w:p>
      <w:pPr>
        <w:pStyle w:val="2"/>
        <w:rPr>
          <w:rFonts w:ascii="Times New Roman" w:hAnsi="Times New Roman" w:eastAsia="仿宋_GB2312" w:cs="Times New Roman"/>
          <w:color w:val="000000"/>
          <w:kern w:val="0"/>
          <w:sz w:val="21"/>
          <w:szCs w:val="21"/>
        </w:rPr>
      </w:pPr>
    </w:p>
    <w:p>
      <w:pPr>
        <w:pStyle w:val="2"/>
        <w:rPr>
          <w:rFonts w:hint="default" w:ascii="Times New Roman" w:hAnsi="Times New Roman" w:eastAsia="黑体" w:cs="Times New Roman"/>
          <w:sz w:val="32"/>
          <w:szCs w:val="32"/>
          <w:lang w:val="en-US" w:eastAsia="zh-CN"/>
        </w:rPr>
      </w:pPr>
      <w:r>
        <w:rPr>
          <w:rFonts w:ascii="Times New Roman" w:hAnsi="Times New Roman" w:eastAsia="仿宋_GB2312" w:cs="Times New Roman"/>
          <w:color w:val="000000"/>
          <w:kern w:val="0"/>
          <w:sz w:val="21"/>
          <w:szCs w:val="21"/>
        </w:rPr>
        <w:t>　</w:t>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4"/>
        <w:tblW w:w="10296" w:type="dxa"/>
        <w:jc w:val="center"/>
        <w:tblLayout w:type="autofit"/>
        <w:tblCellMar>
          <w:top w:w="0" w:type="dxa"/>
          <w:left w:w="108" w:type="dxa"/>
          <w:bottom w:w="0" w:type="dxa"/>
          <w:right w:w="108" w:type="dxa"/>
        </w:tblCellMar>
      </w:tblPr>
      <w:tblGrid>
        <w:gridCol w:w="1110"/>
        <w:gridCol w:w="1148"/>
        <w:gridCol w:w="1065"/>
        <w:gridCol w:w="1586"/>
        <w:gridCol w:w="1134"/>
        <w:gridCol w:w="1134"/>
        <w:gridCol w:w="828"/>
        <w:gridCol w:w="873"/>
        <w:gridCol w:w="1418"/>
      </w:tblGrid>
      <w:tr>
        <w:tblPrEx>
          <w:tblCellMar>
            <w:top w:w="0" w:type="dxa"/>
            <w:left w:w="108" w:type="dxa"/>
            <w:bottom w:w="0" w:type="dxa"/>
            <w:right w:w="108" w:type="dxa"/>
          </w:tblCellMar>
        </w:tblPrEx>
        <w:trPr>
          <w:trHeight w:val="442"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918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乡村振兴</w:t>
            </w:r>
            <w:r>
              <w:rPr>
                <w:rFonts w:hint="eastAsia" w:ascii="Times New Roman" w:hAnsi="Times New Roman" w:eastAsia="仿宋_GB2312" w:cs="Times New Roman"/>
                <w:color w:val="000000"/>
                <w:kern w:val="0"/>
                <w:sz w:val="21"/>
                <w:szCs w:val="21"/>
              </w:rPr>
              <w:t>致富带头人培训经费</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62" w:hRule="atLeast"/>
          <w:jc w:val="center"/>
        </w:trPr>
        <w:tc>
          <w:tcPr>
            <w:tcW w:w="111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93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区乡村振兴局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区乡村振兴局</w:t>
            </w:r>
          </w:p>
        </w:tc>
      </w:tr>
      <w:tr>
        <w:tblPrEx>
          <w:tblCellMar>
            <w:top w:w="0" w:type="dxa"/>
            <w:left w:w="108" w:type="dxa"/>
            <w:bottom w:w="0" w:type="dxa"/>
            <w:right w:w="108" w:type="dxa"/>
          </w:tblCellMar>
        </w:tblPrEx>
        <w:trPr>
          <w:jc w:val="center"/>
        </w:trPr>
        <w:tc>
          <w:tcPr>
            <w:tcW w:w="11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2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1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22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21.12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21.12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21.12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1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22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21.12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21.12</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21.12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22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221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92" w:hRule="atLeast"/>
          <w:jc w:val="center"/>
        </w:trPr>
        <w:tc>
          <w:tcPr>
            <w:tcW w:w="111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93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452" w:hRule="atLeast"/>
          <w:jc w:val="center"/>
        </w:trPr>
        <w:tc>
          <w:tcPr>
            <w:tcW w:w="111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493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完成2021年、2022年乡村振兴致富带头人培训</w:t>
            </w: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完成了2021年、2022年乡村振兴致富带头人培训</w:t>
            </w:r>
          </w:p>
        </w:tc>
      </w:tr>
      <w:tr>
        <w:tblPrEx>
          <w:tblCellMar>
            <w:top w:w="0" w:type="dxa"/>
            <w:left w:w="108" w:type="dxa"/>
            <w:bottom w:w="0" w:type="dxa"/>
            <w:right w:w="108" w:type="dxa"/>
          </w:tblCellMar>
        </w:tblPrEx>
        <w:trPr>
          <w:jc w:val="center"/>
        </w:trPr>
        <w:tc>
          <w:tcPr>
            <w:tcW w:w="111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1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2021年</w:t>
            </w:r>
            <w:r>
              <w:rPr>
                <w:rFonts w:hint="eastAsia" w:ascii="Times New Roman" w:hAnsi="Times New Roman" w:cs="Times New Roman"/>
                <w:color w:val="000000"/>
                <w:kern w:val="0"/>
                <w:sz w:val="21"/>
                <w:szCs w:val="21"/>
                <w:lang w:eastAsia="zh-CN"/>
              </w:rPr>
              <w:t>乡村振兴致富带头人培训人数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18人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18人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2022年</w:t>
            </w:r>
            <w:r>
              <w:rPr>
                <w:rFonts w:hint="eastAsia" w:ascii="Times New Roman" w:hAnsi="Times New Roman" w:cs="Times New Roman"/>
                <w:color w:val="000000"/>
                <w:kern w:val="0"/>
                <w:sz w:val="21"/>
                <w:szCs w:val="21"/>
                <w:lang w:eastAsia="zh-CN"/>
              </w:rPr>
              <w:t>乡村振兴致富带头人培训人数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25人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25人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参训人员培训通过率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52" w:hRule="atLeast"/>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培训经费支付及时率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培训任务完成及时率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乡村振兴带头人培训费标准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440元/人/天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440元/人/天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64" w:hRule="atLeast"/>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经济效益指标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社会效益指标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受益人口数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43人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43人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632" w:hRule="atLeast"/>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生态效益指标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lang w:val="en-US" w:eastAsia="zh-CN" w:bidi="ar-SA"/>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参训人员受益年限情况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p>
        </w:tc>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参训人员满意度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717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仿宋_GB2312" w:cs="Times New Roman"/>
          <w:kern w:val="0"/>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lang w:val="en-US" w:eastAsia="zh-CN"/>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杨源</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2023.04.27</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15773280081</w:t>
      </w:r>
      <w:r>
        <w:rPr>
          <w:rFonts w:ascii="Times New Roman" w:hAnsi="Times New Roman" w:eastAsia="仿宋_GB2312" w:cs="Times New Roman"/>
          <w:kern w:val="0"/>
          <w:sz w:val="21"/>
          <w:szCs w:val="21"/>
        </w:rPr>
        <w:t xml:space="preserve">     单位负责人签字：</w:t>
      </w:r>
      <w:r>
        <w:rPr>
          <w:rFonts w:ascii="Times New Roman" w:hAnsi="Times New Roman" w:eastAsia="仿宋_GB2312" w:cs="Times New Roman"/>
          <w:kern w:val="0"/>
          <w:sz w:val="21"/>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4"/>
        <w:tblW w:w="11137" w:type="dxa"/>
        <w:jc w:val="center"/>
        <w:tblLayout w:type="fixed"/>
        <w:tblCellMar>
          <w:top w:w="0" w:type="dxa"/>
          <w:left w:w="108" w:type="dxa"/>
          <w:bottom w:w="0" w:type="dxa"/>
          <w:right w:w="108" w:type="dxa"/>
        </w:tblCellMar>
      </w:tblPr>
      <w:tblGrid>
        <w:gridCol w:w="1076"/>
        <w:gridCol w:w="720"/>
        <w:gridCol w:w="1140"/>
        <w:gridCol w:w="1950"/>
        <w:gridCol w:w="1134"/>
        <w:gridCol w:w="1134"/>
        <w:gridCol w:w="828"/>
        <w:gridCol w:w="864"/>
        <w:gridCol w:w="2291"/>
      </w:tblGrid>
      <w:tr>
        <w:tblPrEx>
          <w:tblCellMar>
            <w:top w:w="0" w:type="dxa"/>
            <w:left w:w="108" w:type="dxa"/>
            <w:bottom w:w="0" w:type="dxa"/>
            <w:right w:w="108" w:type="dxa"/>
          </w:tblCellMar>
        </w:tblPrEx>
        <w:trPr>
          <w:trHeight w:val="350"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1006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2022年职业教育学历学生补助资金</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47"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9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区乡村振兴局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9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区乡村振兴局</w:t>
            </w:r>
          </w:p>
        </w:tc>
      </w:tr>
      <w:tr>
        <w:tblPrEx>
          <w:tblCellMar>
            <w:top w:w="0" w:type="dxa"/>
            <w:left w:w="108" w:type="dxa"/>
            <w:bottom w:w="0" w:type="dxa"/>
            <w:right w:w="108" w:type="dxa"/>
          </w:tblCellMar>
        </w:tblPrEx>
        <w:trPr>
          <w:jc w:val="center"/>
        </w:trPr>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363"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106.91</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18"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18"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9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51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575"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494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完成</w:t>
            </w:r>
            <w:r>
              <w:rPr>
                <w:rFonts w:hint="eastAsia" w:ascii="Times New Roman" w:hAnsi="Times New Roman" w:cs="Times New Roman"/>
                <w:color w:val="000000"/>
                <w:kern w:val="0"/>
                <w:sz w:val="21"/>
                <w:szCs w:val="21"/>
                <w:lang w:val="en-US" w:eastAsia="zh-CN"/>
              </w:rPr>
              <w:t>2022年春秋季雨露计划补助资金发放</w:t>
            </w:r>
            <w:r>
              <w:rPr>
                <w:rFonts w:ascii="Times New Roman" w:hAnsi="Times New Roman" w:eastAsia="仿宋_GB2312" w:cs="Times New Roman"/>
                <w:color w:val="000000"/>
                <w:kern w:val="0"/>
                <w:sz w:val="21"/>
                <w:szCs w:val="21"/>
              </w:rPr>
              <w:t>　　</w:t>
            </w:r>
          </w:p>
        </w:tc>
        <w:tc>
          <w:tcPr>
            <w:tcW w:w="51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完成了</w:t>
            </w:r>
            <w:r>
              <w:rPr>
                <w:rFonts w:hint="eastAsia" w:ascii="Times New Roman" w:hAnsi="Times New Roman" w:cs="Times New Roman"/>
                <w:color w:val="000000"/>
                <w:kern w:val="0"/>
                <w:sz w:val="21"/>
                <w:szCs w:val="21"/>
                <w:lang w:val="en-US" w:eastAsia="zh-CN"/>
              </w:rPr>
              <w:t>2022年春秋季雨露计划补助资金发放</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资助脱贫（监测）户学生人次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712人次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712人次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资助标准达标率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资助经费及时发放率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90%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8"/>
                <w:szCs w:val="18"/>
                <w:lang w:eastAsia="zh-CN"/>
              </w:rPr>
            </w:pPr>
            <w:r>
              <w:rPr>
                <w:rFonts w:hint="eastAsia" w:ascii="Times New Roman" w:hAnsi="Times New Roman" w:eastAsia="仿宋_GB2312" w:cs="Times New Roman"/>
                <w:color w:val="000000"/>
                <w:kern w:val="0"/>
                <w:sz w:val="18"/>
                <w:szCs w:val="18"/>
                <w:lang w:eastAsia="zh-CN"/>
              </w:rPr>
              <w:t>单位人手紧张，而雨露计划审核工作任务重，故审核时间较长，导致最终雨露计划补助发放时间推迟</w:t>
            </w:r>
            <w:r>
              <w:rPr>
                <w:rFonts w:hint="eastAsia" w:ascii="Times New Roman" w:hAnsi="Times New Roman" w:cs="Times New Roman"/>
                <w:color w:val="000000"/>
                <w:kern w:val="0"/>
                <w:sz w:val="18"/>
                <w:szCs w:val="18"/>
                <w:lang w:eastAsia="zh-CN"/>
              </w:rPr>
              <w:t>。</w:t>
            </w:r>
            <w:r>
              <w:rPr>
                <w:rFonts w:hint="eastAsia" w:ascii="Times New Roman" w:hAnsi="Times New Roman" w:eastAsia="仿宋_GB2312" w:cs="Times New Roman"/>
                <w:color w:val="000000"/>
                <w:kern w:val="0"/>
                <w:sz w:val="18"/>
                <w:szCs w:val="18"/>
                <w:lang w:eastAsia="zh-CN"/>
              </w:rPr>
              <w:t>改进措施：将雨露计划工作部署时间提前，尽快完成雨露计划审核和拨付工作。</w:t>
            </w:r>
          </w:p>
        </w:tc>
      </w:tr>
      <w:tr>
        <w:tblPrEx>
          <w:tblCellMar>
            <w:top w:w="0" w:type="dxa"/>
            <w:left w:w="108" w:type="dxa"/>
            <w:bottom w:w="0" w:type="dxa"/>
            <w:right w:w="108" w:type="dxa"/>
          </w:tblCellMar>
        </w:tblPrEx>
        <w:trPr>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脱贫（监测）户子女生均资助标准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3000元/生/学年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3000元/生/学年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65"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受益脱贫（监测）户家庭收入增加金额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3000元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3000元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685"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受益脱贫（监测）户学生人次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712人次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712人次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30"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715"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可持续受益年限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在校期间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在校期间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570"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受助学生满意度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495" w:hRule="atLeast"/>
          <w:jc w:val="center"/>
        </w:trPr>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受助学生家长满意度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71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99</w:t>
            </w:r>
            <w:r>
              <w:rPr>
                <w:rFonts w:hint="eastAsia" w:ascii="Times New Roman" w:hAnsi="Times New Roman" w:cs="Times New Roman"/>
                <w:color w:val="000000"/>
                <w:kern w:val="0"/>
                <w:sz w:val="21"/>
                <w:szCs w:val="21"/>
                <w:lang w:eastAsia="zh-CN"/>
              </w:rPr>
              <w:t>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黑体" w:cs="Times New Roman"/>
          <w:sz w:val="32"/>
          <w:szCs w:val="32"/>
          <w:lang w:val="en-US" w:eastAsia="zh-CN"/>
        </w:rPr>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杨源</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2023.04.27</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15773280081</w:t>
      </w:r>
      <w:r>
        <w:rPr>
          <w:rFonts w:ascii="Times New Roman" w:hAnsi="Times New Roman" w:eastAsia="仿宋_GB2312" w:cs="Times New Roman"/>
          <w:kern w:val="0"/>
          <w:sz w:val="21"/>
          <w:szCs w:val="21"/>
        </w:rPr>
        <w:t xml:space="preserve">     单位负责人签字：</w:t>
      </w:r>
      <w:r>
        <w:rPr>
          <w:rFonts w:ascii="Times New Roman" w:hAnsi="Times New Roman" w:eastAsia="仿宋_GB2312" w:cs="Times New Roman"/>
          <w:kern w:val="0"/>
          <w:sz w:val="21"/>
          <w:szCs w:val="21"/>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年度项目支出绩效自评表</w:t>
      </w:r>
    </w:p>
    <w:tbl>
      <w:tblPr>
        <w:tblStyle w:val="4"/>
        <w:tblW w:w="10228" w:type="dxa"/>
        <w:jc w:val="center"/>
        <w:tblLayout w:type="autofit"/>
        <w:tblCellMar>
          <w:top w:w="0" w:type="dxa"/>
          <w:left w:w="108" w:type="dxa"/>
          <w:bottom w:w="0" w:type="dxa"/>
          <w:right w:w="108" w:type="dxa"/>
        </w:tblCellMar>
      </w:tblPr>
      <w:tblGrid>
        <w:gridCol w:w="1117"/>
        <w:gridCol w:w="765"/>
        <w:gridCol w:w="1410"/>
        <w:gridCol w:w="1549"/>
        <w:gridCol w:w="1134"/>
        <w:gridCol w:w="1134"/>
        <w:gridCol w:w="828"/>
        <w:gridCol w:w="943"/>
        <w:gridCol w:w="1348"/>
      </w:tblGrid>
      <w:tr>
        <w:tblPrEx>
          <w:tblCellMar>
            <w:top w:w="0" w:type="dxa"/>
            <w:left w:w="108" w:type="dxa"/>
            <w:bottom w:w="0" w:type="dxa"/>
            <w:right w:w="108" w:type="dxa"/>
          </w:tblCellMar>
        </w:tblPrEx>
        <w:trPr>
          <w:trHeight w:val="35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911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防贫综合保险</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36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8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区乡村振兴局</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防贫综合保险</w:t>
            </w:r>
          </w:p>
        </w:tc>
      </w:tr>
      <w:tr>
        <w:tblPrEx>
          <w:tblCellMar>
            <w:top w:w="0" w:type="dxa"/>
            <w:left w:w="108" w:type="dxa"/>
            <w:bottom w:w="0" w:type="dxa"/>
            <w:right w:w="108" w:type="dxa"/>
          </w:tblCellMar>
        </w:tblPrEx>
        <w:trPr>
          <w:jc w:val="center"/>
        </w:trPr>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100分</w:t>
            </w: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18"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18" w:firstLineChars="3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8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714"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48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为全区农户购买防贫综合保险，防止发生规模性返贫</w:t>
            </w:r>
            <w:r>
              <w:rPr>
                <w:rFonts w:ascii="Times New Roman" w:hAnsi="Times New Roman" w:eastAsia="仿宋_GB2312" w:cs="Times New Roman"/>
                <w:color w:val="000000"/>
                <w:kern w:val="0"/>
                <w:sz w:val="21"/>
                <w:szCs w:val="21"/>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eastAsia="zh-CN"/>
              </w:rPr>
              <w:t>为全区农户购买了防贫综合保险，未发生规模性返贫</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477"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olor w:val="000000"/>
                <w:kern w:val="0"/>
                <w:sz w:val="21"/>
                <w:szCs w:val="21"/>
              </w:rPr>
              <w:t>招投标程序合规性</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健全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健全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597"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保险赔付及时率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532"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保费标准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100元/人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100元/人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有效防止发生规模性返贫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有效防止发生规模性返贫</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684"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受益</w:t>
            </w:r>
            <w:r>
              <w:rPr>
                <w:rFonts w:hint="eastAsia" w:ascii="Times New Roman" w:hAnsi="Times New Roman" w:cs="Times New Roman"/>
                <w:color w:val="000000"/>
                <w:kern w:val="0"/>
                <w:sz w:val="21"/>
                <w:szCs w:val="21"/>
                <w:lang w:eastAsia="zh-CN"/>
              </w:rPr>
              <w:t>农户</w:t>
            </w:r>
            <w:r>
              <w:rPr>
                <w:rFonts w:hint="eastAsia" w:ascii="Times New Roman" w:hAnsi="Times New Roman" w:eastAsia="仿宋_GB2312" w:cs="Times New Roman"/>
                <w:color w:val="000000"/>
                <w:kern w:val="0"/>
                <w:sz w:val="21"/>
                <w:szCs w:val="21"/>
              </w:rPr>
              <w:t>人口数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≥20000人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≥20000人</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lang w:val="en-US" w:eastAsia="zh-CN" w:bidi="ar-SA"/>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参保受益年限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1年</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受益人口满意度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572" w:hRule="atLeast"/>
          <w:jc w:val="center"/>
        </w:trPr>
        <w:tc>
          <w:tcPr>
            <w:tcW w:w="710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keepNext w:val="0"/>
        <w:keepLines w:val="0"/>
        <w:pageBreakBefore w:val="0"/>
        <w:kinsoku/>
        <w:wordWrap/>
        <w:overflowPunct/>
        <w:topLinePunct w:val="0"/>
        <w:autoSpaceDE/>
        <w:autoSpaceDN/>
        <w:bidi w:val="0"/>
        <w:adjustRightInd/>
        <w:snapToGrid/>
        <w:spacing w:line="300" w:lineRule="exact"/>
        <w:textAlignment w:val="auto"/>
      </w:pPr>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eastAsia="zh-CN"/>
        </w:rPr>
        <w:t>杨源</w:t>
      </w:r>
      <w:r>
        <w:rPr>
          <w:rFonts w:ascii="Times New Roman" w:hAnsi="Times New Roman" w:eastAsia="仿宋_GB2312" w:cs="Times New Roman"/>
          <w:kern w:val="0"/>
          <w:sz w:val="21"/>
          <w:szCs w:val="21"/>
        </w:rPr>
        <w:t xml:space="preserve">       填报日期：</w:t>
      </w:r>
      <w:r>
        <w:rPr>
          <w:rFonts w:hint="eastAsia" w:ascii="Times New Roman" w:hAnsi="Times New Roman" w:cs="Times New Roman"/>
          <w:kern w:val="0"/>
          <w:sz w:val="21"/>
          <w:szCs w:val="21"/>
          <w:lang w:val="en-US" w:eastAsia="zh-CN"/>
        </w:rPr>
        <w:t>2023.04.27</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联系电话：</w:t>
      </w:r>
      <w:r>
        <w:rPr>
          <w:rFonts w:hint="eastAsia" w:ascii="Times New Roman" w:hAnsi="Times New Roman" w:cs="Times New Roman"/>
          <w:kern w:val="0"/>
          <w:sz w:val="21"/>
          <w:szCs w:val="21"/>
          <w:lang w:val="en-US" w:eastAsia="zh-CN"/>
        </w:rPr>
        <w:t>15773280081</w:t>
      </w:r>
      <w:r>
        <w:rPr>
          <w:rFonts w:ascii="Times New Roman" w:hAnsi="Times New Roman" w:eastAsia="仿宋_GB2312" w:cs="Times New Roman"/>
          <w:kern w:val="0"/>
          <w:sz w:val="21"/>
          <w:szCs w:val="21"/>
        </w:rPr>
        <w:t xml:space="preserve">     单位负责人签字：</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3</w:t>
    </w:r>
    <w:r>
      <w:rPr>
        <w:rFonts w:ascii="宋体" w:hAnsi="宋体" w:eastAsia="宋体"/>
        <w:sz w:val="28"/>
      </w:rPr>
      <w:fldChar w:fldCharType="end"/>
    </w:r>
    <w:r>
      <w:rPr>
        <w:rStyle w:val="6"/>
        <w:rFonts w:hint="eastAsia" w:ascii="宋体" w:hAnsi="宋体" w:eastAsia="宋体"/>
        <w:sz w:val="28"/>
      </w:rPr>
      <w:t>—</w:t>
    </w:r>
  </w:p>
  <w:p>
    <w:pPr>
      <w:pStyle w:val="3"/>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35"/>
      <w:rPr>
        <w:rStyle w:val="6"/>
        <w:rFonts w:hint="eastAsia" w:ascii="宋体" w:hAnsi="宋体" w:eastAsia="宋体"/>
        <w:sz w:val="28"/>
      </w:rPr>
    </w:pPr>
    <w:r>
      <w:rPr>
        <w:rStyle w:val="6"/>
        <w:rFonts w:hint="eastAsia" w:ascii="宋体" w:hAnsi="宋体" w:eastAsia="宋体"/>
        <w:sz w:val="28"/>
      </w:rPr>
      <w:t>—</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4</w:t>
    </w:r>
    <w:r>
      <w:rPr>
        <w:rFonts w:ascii="宋体" w:hAnsi="宋体" w:eastAsia="宋体"/>
        <w:sz w:val="28"/>
      </w:rPr>
      <w:fldChar w:fldCharType="end"/>
    </w:r>
    <w:r>
      <w:rPr>
        <w:rStyle w:val="6"/>
        <w:rFonts w:hint="eastAsia" w:ascii="宋体" w:hAnsi="宋体" w:eastAsia="宋体"/>
        <w:sz w:val="28"/>
      </w:rPr>
      <w:t>—</w:t>
    </w:r>
  </w:p>
  <w:p>
    <w:pPr>
      <w:pStyle w:val="3"/>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2C08"/>
    <w:multiLevelType w:val="singleLevel"/>
    <w:tmpl w:val="BCCF2C08"/>
    <w:lvl w:ilvl="0" w:tentative="0">
      <w:start w:val="4"/>
      <w:numFmt w:val="chineseCounting"/>
      <w:suff w:val="nothing"/>
      <w:lvlText w:val="%1、"/>
      <w:lvlJc w:val="left"/>
      <w:rPr>
        <w:rFonts w:hint="eastAsia"/>
      </w:rPr>
    </w:lvl>
  </w:abstractNum>
  <w:abstractNum w:abstractNumId="1">
    <w:nsid w:val="FA48B39C"/>
    <w:multiLevelType w:val="singleLevel"/>
    <w:tmpl w:val="FA48B3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jRjZmViY2I0ZmJhZTEyY2ViN2RmZGMyYzA1MGEifQ=="/>
  </w:docVars>
  <w:rsids>
    <w:rsidRoot w:val="473241CD"/>
    <w:rsid w:val="16E01DBD"/>
    <w:rsid w:val="1A8C18A1"/>
    <w:rsid w:val="23D5364A"/>
    <w:rsid w:val="2AD45987"/>
    <w:rsid w:val="2BFD08C4"/>
    <w:rsid w:val="37C6199D"/>
    <w:rsid w:val="3D5B2105"/>
    <w:rsid w:val="3EDD5804"/>
    <w:rsid w:val="473241CD"/>
    <w:rsid w:val="59907957"/>
    <w:rsid w:val="5EAC7607"/>
    <w:rsid w:val="628F344C"/>
    <w:rsid w:val="62B337E3"/>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pPr>
    <w:rPr>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3787</Words>
  <Characters>4387</Characters>
  <Lines>0</Lines>
  <Paragraphs>0</Paragraphs>
  <TotalTime>3</TotalTime>
  <ScaleCrop>false</ScaleCrop>
  <LinksUpToDate>false</LinksUpToDate>
  <CharactersWithSpaces>4609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2023-04-28T04:29:00Z</dcterms:created>
  <dc:creator>杨万大</dc:creator>
  <cp:lastModifiedBy>杨万大</cp:lastModifiedBy>
  <cp:lastPrinted>2023-04-28T06:56:00Z</cp:lastPrinted>
  <dcterms:modified xsi:type="dcterms:W3CDTF">2023-06-05T03:38:50Z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3ABF104F896E4CE5B53845BA14E030F5_11</vt:lpwstr>
  </property>
</Properties>
</file>