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b/>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2022年度益阳市</w:t>
      </w:r>
      <w:r>
        <w:rPr>
          <w:rFonts w:hint="eastAsia" w:ascii="宋体" w:hAnsi="宋体" w:eastAsia="宋体" w:cs="宋体"/>
          <w:b/>
          <w:bCs/>
          <w:sz w:val="36"/>
          <w:szCs w:val="36"/>
          <w:lang w:eastAsia="zh-CN"/>
        </w:rPr>
        <w:t>资阳区接待服务中心</w:t>
      </w:r>
      <w:r>
        <w:rPr>
          <w:rFonts w:hint="eastAsia" w:ascii="宋体" w:hAnsi="宋体" w:eastAsia="宋体" w:cs="宋体"/>
          <w:b/>
          <w:bCs/>
          <w:kern w:val="2"/>
          <w:sz w:val="36"/>
          <w:szCs w:val="36"/>
          <w:lang w:val="en-US" w:eastAsia="zh-CN" w:bidi="ar-SA"/>
        </w:rPr>
        <w:t>接待事务及事项</w:t>
      </w:r>
      <w:r>
        <w:rPr>
          <w:rFonts w:hint="eastAsia" w:ascii="宋体" w:hAnsi="宋体" w:eastAsia="宋体" w:cs="宋体"/>
          <w:b/>
          <w:bCs/>
          <w:sz w:val="36"/>
          <w:szCs w:val="36"/>
        </w:rPr>
        <w:t>项目</w:t>
      </w:r>
      <w:r>
        <w:rPr>
          <w:rFonts w:hint="eastAsia" w:ascii="宋体" w:hAnsi="宋体" w:eastAsia="宋体" w:cs="宋体"/>
          <w:b/>
          <w:bCs/>
          <w:kern w:val="2"/>
          <w:sz w:val="36"/>
          <w:szCs w:val="36"/>
          <w:lang w:val="en-US" w:eastAsia="zh-CN" w:bidi="ar-SA"/>
        </w:rPr>
        <w:t>资金绩效自评报告</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为进一步提高财政资金使用效益，合理配置公共财政资源，</w:t>
      </w:r>
      <w:r>
        <w:rPr>
          <w:rFonts w:hint="eastAsia" w:ascii="仿宋_GB2312" w:hAnsi="仿宋_GB2312" w:eastAsia="仿宋_GB2312" w:cs="仿宋_GB2312"/>
          <w:sz w:val="32"/>
          <w:szCs w:val="32"/>
          <w:lang w:eastAsia="zh-CN"/>
        </w:rPr>
        <w:t>资阳区接待服务中心</w:t>
      </w:r>
      <w:r>
        <w:rPr>
          <w:rFonts w:hint="eastAsia" w:ascii="仿宋_GB2312" w:hAnsi="仿宋_GB2312" w:eastAsia="仿宋_GB2312" w:cs="仿宋_GB2312"/>
          <w:sz w:val="32"/>
          <w:szCs w:val="32"/>
        </w:rPr>
        <w:t>成立绩效评价工作组，对</w:t>
      </w:r>
      <w:r>
        <w:rPr>
          <w:rFonts w:hint="eastAsia" w:ascii="仿宋_GB2312" w:hAnsi="仿宋_GB2312" w:eastAsia="仿宋_GB2312" w:cs="仿宋_GB2312"/>
          <w:sz w:val="32"/>
          <w:szCs w:val="32"/>
          <w:lang w:eastAsia="zh-CN"/>
        </w:rPr>
        <w:t>资阳区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b w:val="0"/>
          <w:bCs w:val="0"/>
          <w:kern w:val="2"/>
          <w:sz w:val="32"/>
          <w:szCs w:val="32"/>
          <w:lang w:val="en-US" w:eastAsia="zh-CN" w:bidi="ar-SA"/>
        </w:rPr>
        <w:t>接待事务及事项</w:t>
      </w:r>
      <w:r>
        <w:rPr>
          <w:rFonts w:hint="eastAsia" w:ascii="仿宋_GB2312" w:hAnsi="仿宋_GB2312" w:eastAsia="仿宋_GB2312" w:cs="仿宋_GB2312"/>
          <w:sz w:val="32"/>
          <w:szCs w:val="32"/>
        </w:rPr>
        <w:t>项目”开展了绩效评价，并形成本报告，具体情况如下：</w:t>
      </w:r>
    </w:p>
    <w:p>
      <w:pPr>
        <w:rPr>
          <w:rFonts w:hint="eastAsia" w:ascii="仿宋_GB2312" w:hAnsi="仿宋_GB2312" w:eastAsia="仿宋_GB2312" w:cs="仿宋_GB2312"/>
          <w:sz w:val="21"/>
          <w:szCs w:val="21"/>
        </w:rPr>
      </w:pPr>
    </w:p>
    <w:p>
      <w:pPr>
        <w:spacing w:line="600" w:lineRule="exact"/>
        <w:ind w:firstLine="643" w:firstLineChars="200"/>
        <w:rPr>
          <w:rFonts w:ascii="黑体" w:hAnsi="黑体" w:eastAsia="黑体"/>
          <w:sz w:val="32"/>
          <w:szCs w:val="32"/>
        </w:rPr>
      </w:pPr>
      <w:r>
        <w:rPr>
          <w:rFonts w:hint="eastAsia" w:ascii="黑体" w:hAnsi="黑体" w:eastAsia="黑体" w:cs="黑体"/>
          <w:b/>
          <w:bCs/>
          <w:kern w:val="2"/>
          <w:sz w:val="32"/>
          <w:szCs w:val="32"/>
          <w:lang w:val="en-US" w:eastAsia="zh-CN" w:bidi="ar-SA"/>
        </w:rPr>
        <w:t>一、项目</w:t>
      </w:r>
      <w:r>
        <w:rPr>
          <w:rFonts w:hint="eastAsia" w:ascii="黑体" w:hAnsi="黑体" w:eastAsia="黑体"/>
          <w:sz w:val="32"/>
          <w:szCs w:val="32"/>
        </w:rPr>
        <w:t>基本情况</w:t>
      </w:r>
    </w:p>
    <w:p>
      <w:p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资阳区接待服务中心</w:t>
      </w:r>
      <w:r>
        <w:rPr>
          <w:rFonts w:hint="eastAsia" w:ascii="仿宋_GB2312" w:hAnsi="仿宋_GB2312" w:eastAsia="仿宋_GB2312" w:cs="仿宋_GB2312"/>
          <w:b w:val="0"/>
          <w:bCs w:val="0"/>
          <w:kern w:val="2"/>
          <w:sz w:val="32"/>
          <w:szCs w:val="32"/>
          <w:lang w:val="en-US" w:eastAsia="zh-CN" w:bidi="ar-SA"/>
        </w:rPr>
        <w:t>接待事务及事项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区主要领导交办的重要接待对象来资阳区期间接待工作的联络和服务工作负责全区重要会议、活动的指导、接待工作。负责统一管理和使用区财政预算安排的接待经费。负责与各级接待部门的对口联络，负责对全区接待工作的业务指导，负责做好区直单位有关接待工作的协调。</w:t>
      </w:r>
    </w:p>
    <w:p>
      <w:pPr>
        <w:ind w:firstLine="960" w:firstLineChars="300"/>
        <w:rPr>
          <w:rFonts w:hint="default" w:ascii="黑体" w:hAnsi="黑体" w:eastAsia="黑体" w:cs="黑体"/>
          <w:b/>
          <w:bCs/>
          <w:kern w:val="2"/>
          <w:sz w:val="32"/>
          <w:szCs w:val="32"/>
          <w:lang w:val="en-US" w:eastAsia="zh-CN" w:bidi="ar-SA"/>
        </w:rPr>
      </w:pPr>
      <w:r>
        <w:rPr>
          <w:rFonts w:hint="eastAsia" w:ascii="仿宋_GB2312" w:hAnsi="仿宋_GB2312" w:eastAsia="仿宋_GB2312" w:cs="仿宋_GB2312"/>
          <w:sz w:val="32"/>
          <w:szCs w:val="32"/>
          <w:lang w:val="en-US" w:eastAsia="zh-CN"/>
        </w:rPr>
        <w:t>2022年公务接待项目年初预算72万元，2022年公务接待项目支出决算数72.03万元。其中：1、公务接待费用40.65万元，全年国内公务接待批次52次，国内公务接待人次1502人。2、资阳区重点企业产品推广费用23万元。3、公务租车费用8.38万元。</w:t>
      </w:r>
    </w:p>
    <w:p>
      <w:pPr>
        <w:widowControl/>
        <w:numPr>
          <w:ilvl w:val="0"/>
          <w:numId w:val="0"/>
        </w:numPr>
        <w:spacing w:line="600" w:lineRule="exact"/>
        <w:ind w:firstLine="630" w:firstLineChars="300"/>
        <w:rPr>
          <w:rFonts w:hint="eastAsia" w:eastAsia="仿宋_GB2312"/>
          <w:sz w:val="32"/>
          <w:szCs w:val="32"/>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32"/>
          <w:szCs w:val="32"/>
        </w:rPr>
        <w:t>主要绩效目标是：区级接待工作。</w:t>
      </w:r>
      <w:r>
        <w:rPr>
          <w:rFonts w:hint="eastAsia" w:ascii="仿宋_GB2312" w:hAnsi="仿宋_GB2312" w:eastAsia="仿宋_GB2312" w:cs="仿宋_GB2312"/>
          <w:b w:val="0"/>
          <w:bCs w:val="0"/>
          <w:i w:val="0"/>
          <w:iCs w:val="0"/>
          <w:caps w:val="0"/>
          <w:color w:val="auto"/>
          <w:spacing w:val="0"/>
          <w:sz w:val="32"/>
          <w:szCs w:val="32"/>
          <w:shd w:val="clear" w:color="auto" w:fill="FFFFFF"/>
        </w:rPr>
        <w:t>从</w:t>
      </w:r>
      <w:r>
        <w:rPr>
          <w:rFonts w:hint="eastAsia" w:ascii="仿宋_GB2312" w:hAnsi="仿宋_GB2312" w:eastAsia="仿宋_GB2312" w:cs="仿宋_GB2312"/>
          <w:b w:val="0"/>
          <w:bCs w:val="0"/>
          <w:i w:val="0"/>
          <w:caps w:val="0"/>
          <w:color w:val="auto"/>
          <w:spacing w:val="0"/>
          <w:sz w:val="32"/>
          <w:szCs w:val="32"/>
          <w:shd w:val="clear" w:color="auto" w:fill="FFFFFF"/>
        </w:rPr>
        <w:t>整体情况来看，</w:t>
      </w:r>
      <w:r>
        <w:rPr>
          <w:rFonts w:hint="eastAsia" w:ascii="仿宋_GB2312" w:hAnsi="仿宋_GB2312" w:eastAsia="仿宋_GB2312" w:cs="仿宋_GB2312"/>
          <w:b w:val="0"/>
          <w:bCs w:val="0"/>
          <w:i w:val="0"/>
          <w:caps w:val="0"/>
          <w:color w:val="auto"/>
          <w:spacing w:val="0"/>
          <w:sz w:val="32"/>
          <w:szCs w:val="32"/>
          <w:shd w:val="clear" w:color="auto" w:fill="FFFFFF"/>
          <w:lang w:eastAsia="zh-CN"/>
        </w:rPr>
        <w:t>本单位</w:t>
      </w:r>
      <w:r>
        <w:rPr>
          <w:rFonts w:hint="eastAsia" w:ascii="仿宋_GB2312" w:hAnsi="仿宋_GB2312" w:eastAsia="仿宋_GB2312" w:cs="仿宋_GB2312"/>
          <w:b w:val="0"/>
          <w:bCs w:val="0"/>
          <w:i w:val="0"/>
          <w:caps w:val="0"/>
          <w:color w:val="auto"/>
          <w:spacing w:val="0"/>
          <w:sz w:val="32"/>
          <w:szCs w:val="32"/>
          <w:shd w:val="clear" w:color="auto" w:fill="FFFFFF"/>
        </w:rPr>
        <w:t>严格按照年初预算进行部门整体支出。在支出过程中，能严格遵守各项规章制度。所有项目都详细制定了方案，严格按方案组织实施，并加强了监督。尤其是在专项经费支出上，能专款专用，按项目实施计划的进度情况进行资金拨付，无截留、无挪用等现象。实行了先有预算、后有执行、“用钱必问效、无效必问责”的新常态。</w:t>
      </w:r>
    </w:p>
    <w:p>
      <w:pPr>
        <w:rPr>
          <w:rFonts w:hint="default"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二、绩效自评工作开展情况</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益阳市</w:t>
      </w:r>
      <w:r>
        <w:rPr>
          <w:rFonts w:hint="eastAsia" w:ascii="仿宋_GB2312" w:hAnsi="仿宋_GB2312" w:eastAsia="仿宋_GB2312" w:cs="仿宋_GB2312"/>
          <w:sz w:val="32"/>
          <w:szCs w:val="32"/>
          <w:lang w:val="en-US" w:eastAsia="zh-CN"/>
        </w:rPr>
        <w:t>资阳区</w:t>
      </w:r>
      <w:r>
        <w:rPr>
          <w:rFonts w:hint="eastAsia" w:ascii="仿宋_GB2312" w:hAnsi="仿宋_GB2312" w:eastAsia="仿宋_GB2312" w:cs="仿宋_GB2312"/>
          <w:sz w:val="32"/>
          <w:szCs w:val="32"/>
        </w:rPr>
        <w:t>财政局关于开展202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年度部门绩效自评工作的通知》精神，组织项目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科室重点围绕项目绩效目标的设定及完成情况、项目资金使用管理情况、项目资金绩效情况和项目资金政策环境适应情况等内容开展绩效自评，确保自评工作客观真实。</w:t>
      </w:r>
    </w:p>
    <w:p>
      <w:pPr>
        <w:ind w:firstLine="960" w:firstLineChars="3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三、综合评价结论</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b w:val="0"/>
          <w:bCs w:val="0"/>
          <w:kern w:val="2"/>
          <w:sz w:val="32"/>
          <w:szCs w:val="32"/>
          <w:lang w:val="en-US" w:eastAsia="zh-CN" w:bidi="ar-SA"/>
        </w:rPr>
        <w:t>接待事务及事项</w:t>
      </w:r>
      <w:r>
        <w:rPr>
          <w:rFonts w:hint="eastAsia" w:ascii="仿宋_GB2312" w:hAnsi="仿宋_GB2312" w:eastAsia="仿宋_GB2312" w:cs="仿宋_GB2312"/>
          <w:sz w:val="32"/>
          <w:szCs w:val="32"/>
        </w:rPr>
        <w:t>项目项目绩效自评得分为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分，自评结论为“优秀”。</w:t>
      </w:r>
    </w:p>
    <w:p>
      <w:pPr>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四、绩效目标实现情况分析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（一）项目资金使用及管理情况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1．项目资金安排落实、总投入等情况分析。</w:t>
      </w:r>
      <w:r>
        <w:rPr>
          <w:rFonts w:hint="eastAsia" w:ascii="仿宋_GB2312" w:hAnsi="仿宋_GB2312" w:eastAsia="仿宋_GB2312" w:cs="仿宋_GB2312"/>
          <w:sz w:val="32"/>
          <w:szCs w:val="32"/>
          <w:lang w:val="en-US" w:eastAsia="zh-CN"/>
        </w:rPr>
        <w:t>2021年申报预算72万元，2022年初预算批复72万元。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项目总预算批复72万元，全部为公务接待费用。</w:t>
      </w:r>
      <w:r>
        <w:rPr>
          <w:rFonts w:hint="eastAsia" w:ascii="仿宋_GB2312" w:hAnsi="仿宋_GB2312" w:eastAsia="仿宋_GB2312" w:cs="仿宋_GB2312"/>
          <w:i w:val="0"/>
          <w:iCs w:val="0"/>
          <w:caps w:val="0"/>
          <w:color w:val="auto"/>
          <w:spacing w:val="0"/>
          <w:sz w:val="32"/>
          <w:szCs w:val="32"/>
          <w:shd w:val="clear" w:fill="FFFFFF"/>
        </w:rPr>
        <w:t>系我单位为保障区委、区政府正常公（商）务接待运行，完成区委、区政府接待工作和市级、区级各类工作会议工作而发生的支出。</w:t>
      </w:r>
    </w:p>
    <w:p>
      <w:pPr>
        <w:rPr>
          <w:rFonts w:hint="eastAsia" w:ascii="仿宋_GB2312" w:hAnsi="仿宋_GB2312" w:eastAsia="仿宋_GB2312" w:cs="仿宋_GB2312"/>
          <w:sz w:val="21"/>
          <w:szCs w:val="21"/>
          <w:lang w:val="en-US" w:eastAsia="zh-CN"/>
        </w:rPr>
      </w:pP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项目资金实际使用情况分析。截至202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年末，</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财政实际</w:t>
      </w:r>
      <w:r>
        <w:rPr>
          <w:rFonts w:hint="eastAsia" w:ascii="仿宋_GB2312" w:hAnsi="仿宋_GB2312" w:eastAsia="仿宋_GB2312" w:cs="仿宋_GB2312"/>
          <w:sz w:val="32"/>
          <w:szCs w:val="32"/>
          <w:lang w:eastAsia="zh-CN"/>
        </w:rPr>
        <w:t>拨款公务接待资金</w:t>
      </w:r>
      <w:r>
        <w:rPr>
          <w:rFonts w:hint="eastAsia" w:ascii="仿宋_GB2312" w:hAnsi="仿宋_GB2312" w:eastAsia="仿宋_GB2312" w:cs="仿宋_GB2312"/>
          <w:sz w:val="32"/>
          <w:szCs w:val="32"/>
          <w:lang w:val="en-US" w:eastAsia="zh-CN"/>
        </w:rPr>
        <w:t>82.99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，包括本年度预算72万元及上年度结余12.99万元</w:t>
      </w:r>
      <w:r>
        <w:rPr>
          <w:rFonts w:hint="eastAsia" w:ascii="仿宋_GB2312" w:hAnsi="仿宋_GB2312" w:eastAsia="仿宋_GB2312" w:cs="仿宋_GB2312"/>
          <w:sz w:val="32"/>
          <w:szCs w:val="32"/>
        </w:rPr>
        <w:t>。</w:t>
      </w:r>
    </w:p>
    <w:p>
      <w:pPr>
        <w:rPr>
          <w:rFonts w:hint="eastAsia" w:ascii="仿宋_GB2312" w:hAnsi="仿宋_GB2312" w:eastAsia="仿宋_GB2312" w:cs="仿宋_GB2312"/>
          <w:sz w:val="21"/>
          <w:szCs w:val="21"/>
        </w:rPr>
      </w:pP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项目资金管理情况分析。我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建立健全财务管理规章制度，强化内部财务管理，优化业务流程，加强内部风险防控。</w:t>
      </w:r>
      <w:r>
        <w:rPr>
          <w:rFonts w:hint="eastAsia" w:ascii="仿宋_GB2312" w:hAnsi="仿宋_GB2312" w:eastAsia="仿宋_GB2312" w:cs="仿宋_GB2312"/>
          <w:sz w:val="32"/>
          <w:szCs w:val="32"/>
          <w:lang w:eastAsia="zh-CN"/>
        </w:rPr>
        <w:t>认真做好</w:t>
      </w:r>
      <w:r>
        <w:rPr>
          <w:rFonts w:hint="eastAsia" w:eastAsia="仿宋_GB2312"/>
          <w:sz w:val="32"/>
          <w:szCs w:val="32"/>
        </w:rPr>
        <w:t>区级接待工作</w:t>
      </w:r>
      <w:r>
        <w:rPr>
          <w:rFonts w:hint="eastAsia" w:eastAsia="仿宋_GB2312"/>
          <w:sz w:val="32"/>
          <w:szCs w:val="32"/>
          <w:lang w:eastAsia="zh-CN"/>
        </w:rPr>
        <w:t>。</w:t>
      </w:r>
    </w:p>
    <w:p>
      <w:pPr>
        <w:numPr>
          <w:ilvl w:val="0"/>
          <w:numId w:val="0"/>
        </w:numPr>
        <w:rPr>
          <w:rFonts w:hint="eastAsia" w:ascii="仿宋_GB2312" w:hAnsi="仿宋_GB2312" w:eastAsia="仿宋_GB2312" w:cs="仿宋_GB2312"/>
          <w:sz w:val="21"/>
          <w:szCs w:val="21"/>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（二）总体绩效目标完成情况分析</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项目实施主体及主要内容</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接待事务及事项</w:t>
      </w:r>
      <w:r>
        <w:rPr>
          <w:rFonts w:hint="eastAsia" w:ascii="仿宋_GB2312" w:hAnsi="仿宋_GB2312" w:eastAsia="仿宋_GB2312" w:cs="仿宋_GB2312"/>
          <w:sz w:val="32"/>
          <w:szCs w:val="32"/>
        </w:rPr>
        <w:t>项目实施主体是</w:t>
      </w:r>
      <w:r>
        <w:rPr>
          <w:rFonts w:hint="eastAsia" w:ascii="仿宋_GB2312" w:hAnsi="仿宋_GB2312" w:eastAsia="仿宋_GB2312" w:cs="仿宋_GB2312"/>
          <w:sz w:val="32"/>
          <w:szCs w:val="32"/>
          <w:lang w:eastAsia="zh-CN"/>
        </w:rPr>
        <w:t>益阳市资阳</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接待服务中心</w:t>
      </w:r>
      <w:r>
        <w:rPr>
          <w:rFonts w:hint="eastAsia" w:ascii="仿宋_GB2312" w:hAnsi="仿宋_GB2312" w:eastAsia="仿宋_GB2312" w:cs="仿宋_GB2312"/>
          <w:sz w:val="32"/>
          <w:szCs w:val="32"/>
        </w:rPr>
        <w:t>。</w:t>
      </w:r>
    </w:p>
    <w:p>
      <w:pPr>
        <w:ind w:firstLine="960" w:firstLineChars="3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32"/>
          <w:szCs w:val="32"/>
        </w:rPr>
        <w:t>项目主要内容：</w:t>
      </w:r>
      <w:r>
        <w:rPr>
          <w:rFonts w:hint="eastAsia" w:ascii="仿宋_GB2312" w:hAnsi="仿宋_GB2312" w:eastAsia="仿宋_GB2312" w:cs="仿宋_GB2312"/>
          <w:sz w:val="32"/>
          <w:szCs w:val="32"/>
          <w:lang w:eastAsia="zh-CN"/>
        </w:rPr>
        <w:t>做好全区的对外公务接待工作</w:t>
      </w:r>
      <w:r>
        <w:rPr>
          <w:rFonts w:hint="eastAsia" w:ascii="仿宋_GB2312" w:hAnsi="仿宋_GB2312" w:eastAsia="仿宋_GB2312" w:cs="仿宋_GB2312"/>
          <w:sz w:val="32"/>
          <w:szCs w:val="32"/>
        </w:rPr>
        <w:t>。做好接待安全与饮食卫生，指导全区各宾馆饭店的规范化管理工作，促进接待工作规范化、程序化。</w:t>
      </w:r>
    </w:p>
    <w:p>
      <w:pPr>
        <w:numPr>
          <w:ilvl w:val="0"/>
          <w:numId w:val="0"/>
        </w:numPr>
        <w:rPr>
          <w:rFonts w:hint="eastAsia" w:ascii="仿宋_GB2312" w:hAnsi="仿宋_GB2312" w:eastAsia="仿宋_GB2312" w:cs="仿宋_GB2312"/>
          <w:sz w:val="21"/>
          <w:szCs w:val="21"/>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（1）数量指标。全年项目实际安排</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万元，实际到位资金</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万元，实际完成值为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）时效指标。年度设定的完成期限为202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年12月31日前，实际完成时间为202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按计划</w:t>
      </w:r>
      <w:r>
        <w:rPr>
          <w:rFonts w:hint="eastAsia" w:ascii="仿宋_GB2312" w:hAnsi="仿宋_GB2312" w:eastAsia="仿宋_GB2312" w:cs="仿宋_GB2312"/>
          <w:sz w:val="32"/>
          <w:szCs w:val="32"/>
        </w:rPr>
        <w:t>完成了年度时效指标。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）成本指标。年初设定的成本指标为管理制度健全性，我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通过建立健全财务管理规章制度，强化内部财务管理，优化业务流程，加强内部风险防控，确保了项目资金的安全，符合年初设定的工作目标。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存在的问题和改进措施</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（一）监督管理机制还有待加强。</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（二）财务工作水平要进一步提高。</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（三）会计基础工作还需要不断完善。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widowControl/>
        <w:numPr>
          <w:ilvl w:val="0"/>
          <w:numId w:val="3"/>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根据益阳市资阳区财政相关部门统一部署，我单位2022年</w:t>
      </w:r>
      <w:r>
        <w:rPr>
          <w:rFonts w:hint="eastAsia" w:ascii="仿宋_GB2312" w:hAnsi="仿宋_GB2312" w:eastAsia="仿宋_GB2312" w:cs="仿宋_GB2312"/>
          <w:b w:val="0"/>
          <w:bCs w:val="0"/>
          <w:sz w:val="32"/>
          <w:szCs w:val="32"/>
        </w:rPr>
        <w:t>整体支出绩效自评报告</w:t>
      </w:r>
      <w:r>
        <w:rPr>
          <w:rFonts w:hint="eastAsia" w:ascii="仿宋_GB2312" w:hAnsi="仿宋_GB2312" w:eastAsia="仿宋_GB2312" w:cs="仿宋_GB2312"/>
          <w:b w:val="0"/>
          <w:bCs w:val="0"/>
          <w:sz w:val="32"/>
          <w:szCs w:val="32"/>
          <w:lang w:eastAsia="zh-CN"/>
        </w:rPr>
        <w:t>将在益阳市资阳区人民政府网站公开，</w:t>
      </w:r>
      <w:r>
        <w:rPr>
          <w:rFonts w:hint="eastAsia" w:ascii="仿宋_GB2312" w:hAnsi="仿宋_GB2312" w:eastAsia="仿宋_GB2312" w:cs="仿宋_GB2312"/>
          <w:i w:val="0"/>
          <w:iCs w:val="0"/>
          <w:caps w:val="0"/>
          <w:color w:val="000000"/>
          <w:spacing w:val="0"/>
          <w:sz w:val="32"/>
          <w:szCs w:val="32"/>
          <w:shd w:val="clear" w:color="auto" w:fill="FFFFFF"/>
        </w:rPr>
        <w:t>数据真实、完整、准确</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sz w:val="32"/>
          <w:szCs w:val="32"/>
          <w:lang w:eastAsia="zh-CN"/>
        </w:rPr>
        <w:t>接受社会监督。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七、其他需要说明的问题</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益阳市资阳区接待服务中心 </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2023年3月28日</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专项业务及机关事务管理</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益阳市资阳区接待服务中心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trHeight w:val="20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72</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82.99</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82.99</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0</w:t>
            </w:r>
            <w:r>
              <w:rPr>
                <w:rFonts w:hint="eastAsia" w:ascii="仿宋_GB2312" w:hAnsi="仿宋_GB2312" w:eastAsia="仿宋_GB2312" w:cs="仿宋_GB2312"/>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115%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 xml:space="preserve">   9</w:t>
            </w:r>
          </w:p>
        </w:tc>
      </w:tr>
      <w:tr>
        <w:tblPrEx>
          <w:tblCellMar>
            <w:top w:w="0" w:type="dxa"/>
            <w:left w:w="108" w:type="dxa"/>
            <w:bottom w:w="0" w:type="dxa"/>
            <w:right w:w="108" w:type="dxa"/>
          </w:tblCellMar>
        </w:tblPrEx>
        <w:trPr>
          <w:trHeight w:val="1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72</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72</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72</w:t>
            </w:r>
          </w:p>
        </w:tc>
        <w:tc>
          <w:tcPr>
            <w:tcW w:w="82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1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12.99</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12.99</w:t>
            </w:r>
            <w:bookmarkStart w:id="0" w:name="_GoBack"/>
            <w:bookmarkEnd w:id="0"/>
          </w:p>
        </w:tc>
        <w:tc>
          <w:tcPr>
            <w:tcW w:w="82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trHeight w:val="1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0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trHeight w:val="24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11"/>
                <w:szCs w:val="11"/>
              </w:rPr>
              <w:t>　</w:t>
            </w:r>
            <w:r>
              <w:rPr>
                <w:rFonts w:hint="eastAsia" w:ascii="Times New Roman" w:hAnsi="Times New Roman" w:eastAsia="仿宋_GB2312" w:cs="Times New Roman"/>
                <w:color w:val="000000"/>
                <w:kern w:val="0"/>
                <w:sz w:val="18"/>
                <w:szCs w:val="18"/>
                <w:lang w:val="en-US" w:eastAsia="zh-CN"/>
              </w:rPr>
              <w:t>做好全年接待工作</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如期完成年度工作目标</w:t>
            </w:r>
          </w:p>
        </w:tc>
      </w:tr>
      <w:tr>
        <w:tblPrEx>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trHeight w:val="232"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jc w:val="center"/>
              <w:rPr>
                <w:rFonts w:ascii="Times New Roman" w:hAnsi="Times New Roman" w:eastAsia="仿宋_GB2312" w:cs="Times New Roman"/>
                <w:color w:val="000000"/>
                <w:kern w:val="0"/>
                <w:sz w:val="21"/>
                <w:szCs w:val="21"/>
              </w:rPr>
            </w:pP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22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接待各级来宾人次</w:t>
            </w:r>
          </w:p>
        </w:tc>
        <w:tc>
          <w:tcPr>
            <w:tcW w:w="1134" w:type="dxa"/>
            <w:vMerge w:val="restart"/>
            <w:tcBorders>
              <w:top w:val="nil"/>
              <w:left w:val="nil"/>
              <w:right w:val="single" w:color="auto" w:sz="4" w:space="0"/>
            </w:tcBorders>
            <w:noWrap w:val="0"/>
            <w:vAlign w:val="center"/>
          </w:tcPr>
          <w:p>
            <w:pPr>
              <w:widowControl/>
              <w:tabs>
                <w:tab w:val="left" w:pos="537"/>
              </w:tabs>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≥1200人次</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1502人次</w:t>
            </w:r>
          </w:p>
          <w:p>
            <w:pPr>
              <w:widowControl/>
              <w:spacing w:line="240" w:lineRule="exact"/>
              <w:jc w:val="left"/>
              <w:rPr>
                <w:rFonts w:ascii="Times New Roman" w:hAnsi="Times New Roman" w:eastAsia="仿宋_GB2312" w:cs="Times New Roman"/>
                <w:color w:val="000000"/>
                <w:kern w:val="0"/>
                <w:sz w:val="21"/>
                <w:szCs w:val="21"/>
              </w:rPr>
            </w:pPr>
          </w:p>
        </w:tc>
        <w:tc>
          <w:tcPr>
            <w:tcW w:w="828" w:type="dxa"/>
            <w:vMerge w:val="restart"/>
            <w:tcBorders>
              <w:top w:val="nil"/>
              <w:left w:val="nil"/>
              <w:right w:val="single" w:color="auto" w:sz="4" w:space="0"/>
            </w:tcBorders>
            <w:noWrap w:val="0"/>
            <w:vAlign w:val="center"/>
          </w:tcPr>
          <w:p>
            <w:pPr>
              <w:widowControl/>
              <w:spacing w:line="240" w:lineRule="exact"/>
              <w:ind w:firstLine="210" w:firstLineChars="100"/>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w:t>
            </w:r>
          </w:p>
        </w:tc>
        <w:tc>
          <w:tcPr>
            <w:tcW w:w="873" w:type="dxa"/>
            <w:vMerge w:val="restart"/>
            <w:tcBorders>
              <w:top w:val="nil"/>
              <w:left w:val="nil"/>
              <w:right w:val="single" w:color="auto" w:sz="4" w:space="0"/>
            </w:tcBorders>
            <w:noWrap w:val="0"/>
            <w:vAlign w:val="center"/>
          </w:tcPr>
          <w:p>
            <w:pPr>
              <w:widowControl/>
              <w:spacing w:line="240" w:lineRule="exact"/>
              <w:ind w:firstLine="210" w:firstLineChars="100"/>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47"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7"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224" w:type="dxa"/>
            <w:vMerge w:val="restart"/>
            <w:tcBorders>
              <w:top w:val="nil"/>
              <w:left w:val="nil"/>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接待标准合规率</w:t>
            </w:r>
          </w:p>
        </w:tc>
        <w:tc>
          <w:tcPr>
            <w:tcW w:w="113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100%</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100%</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45"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224" w:type="dxa"/>
            <w:vMerge w:val="restart"/>
            <w:tcBorders>
              <w:top w:val="nil"/>
              <w:left w:val="nil"/>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项目实施及时率</w:t>
            </w:r>
            <w:r>
              <w:rPr>
                <w:rFonts w:hint="eastAsia" w:ascii="Times New Roman" w:hAnsi="Times New Roman" w:eastAsia="仿宋_GB2312" w:cs="Times New Roman"/>
                <w:color w:val="000000"/>
                <w:kern w:val="0"/>
                <w:sz w:val="21"/>
                <w:szCs w:val="21"/>
                <w:lang w:eastAsia="zh-CN"/>
              </w:rPr>
              <w:t>、完成率</w:t>
            </w:r>
          </w:p>
        </w:tc>
        <w:tc>
          <w:tcPr>
            <w:tcW w:w="113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13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15</w:t>
            </w:r>
          </w:p>
        </w:tc>
        <w:tc>
          <w:tcPr>
            <w:tcW w:w="87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15</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22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资金控制在预算内</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72万元</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72.03万元</w:t>
            </w:r>
          </w:p>
        </w:tc>
        <w:tc>
          <w:tcPr>
            <w:tcW w:w="828"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15</w:t>
            </w:r>
          </w:p>
        </w:tc>
        <w:tc>
          <w:tcPr>
            <w:tcW w:w="873"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14</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72"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jc w:val="left"/>
              <w:rPr>
                <w:rFonts w:ascii="Times New Roman" w:hAnsi="Times New Roman" w:eastAsia="仿宋_GB2312" w:cs="Times New Roman"/>
                <w:color w:val="000000"/>
                <w:kern w:val="0"/>
                <w:sz w:val="21"/>
                <w:szCs w:val="21"/>
              </w:rPr>
            </w:pP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center"/>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both"/>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经济效益指标</w:t>
            </w:r>
          </w:p>
          <w:p>
            <w:pPr>
              <w:widowControl/>
              <w:jc w:val="center"/>
              <w:rPr>
                <w:rFonts w:ascii="Times New Roman" w:hAnsi="Times New Roman" w:eastAsia="仿宋_GB2312" w:cs="Times New Roman"/>
                <w:color w:val="000000"/>
                <w:kern w:val="0"/>
                <w:sz w:val="21"/>
                <w:szCs w:val="21"/>
              </w:rPr>
            </w:pPr>
          </w:p>
        </w:tc>
        <w:tc>
          <w:tcPr>
            <w:tcW w:w="1224" w:type="dxa"/>
            <w:vMerge w:val="restart"/>
            <w:tcBorders>
              <w:top w:val="nil"/>
              <w:left w:val="nil"/>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无</w:t>
            </w:r>
          </w:p>
        </w:tc>
        <w:tc>
          <w:tcPr>
            <w:tcW w:w="113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27"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地方文化特色推广</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加强</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15</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15</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224" w:type="dxa"/>
            <w:vMerge w:val="restart"/>
            <w:tcBorders>
              <w:top w:val="nil"/>
              <w:left w:val="nil"/>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无</w:t>
            </w:r>
          </w:p>
        </w:tc>
        <w:tc>
          <w:tcPr>
            <w:tcW w:w="113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7" w:hRule="atLeast"/>
          <w:jc w:val="center"/>
        </w:trPr>
        <w:tc>
          <w:tcPr>
            <w:tcW w:w="108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62" w:hRule="atLeast"/>
          <w:jc w:val="center"/>
        </w:trPr>
        <w:tc>
          <w:tcPr>
            <w:tcW w:w="1080" w:type="dxa"/>
            <w:vMerge w:val="continue"/>
            <w:tcBorders>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224"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各项接待任务好评率</w:t>
            </w:r>
          </w:p>
        </w:tc>
        <w:tc>
          <w:tcPr>
            <w:tcW w:w="1134"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1134"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82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15</w:t>
            </w:r>
          </w:p>
        </w:tc>
        <w:tc>
          <w:tcPr>
            <w:tcW w:w="87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7"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22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32"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224"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both"/>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224" w:type="dxa"/>
            <w:vMerge w:val="restart"/>
            <w:tcBorders>
              <w:top w:val="nil"/>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群众满意度</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1134"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98%</w:t>
            </w:r>
          </w:p>
        </w:tc>
        <w:tc>
          <w:tcPr>
            <w:tcW w:w="828"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873"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172" w:hRule="atLeast"/>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eastAsia="仿宋_GB2312" w:cs="Times New Roman"/>
                <w:color w:val="000000"/>
                <w:kern w:val="0"/>
                <w:sz w:val="21"/>
                <w:szCs w:val="21"/>
              </w:rPr>
            </w:pPr>
          </w:p>
        </w:tc>
        <w:tc>
          <w:tcPr>
            <w:tcW w:w="122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22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134"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28"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87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1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98</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kern w:val="0"/>
          <w:sz w:val="21"/>
          <w:szCs w:val="21"/>
        </w:rPr>
        <w:t>填表人：        填报日期：          联系电话：            单位负责人签字：</w:t>
      </w:r>
      <w:r>
        <w:rPr>
          <w:rFonts w:ascii="Times New Roman" w:hAnsi="Times New Roman" w:eastAsia="仿宋_GB2312" w:cs="Times New Roman"/>
          <w:kern w:val="0"/>
          <w:sz w:val="21"/>
          <w:szCs w:val="21"/>
        </w:rPr>
        <w:br w:type="page"/>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90F64"/>
    <w:multiLevelType w:val="singleLevel"/>
    <w:tmpl w:val="17D90F64"/>
    <w:lvl w:ilvl="0" w:tentative="0">
      <w:start w:val="5"/>
      <w:numFmt w:val="chineseCounting"/>
      <w:suff w:val="nothing"/>
      <w:lvlText w:val="%1、"/>
      <w:lvlJc w:val="left"/>
      <w:rPr>
        <w:rFonts w:hint="eastAsia"/>
      </w:rPr>
    </w:lvl>
  </w:abstractNum>
  <w:abstractNum w:abstractNumId="1">
    <w:nsid w:val="4AF98900"/>
    <w:multiLevelType w:val="singleLevel"/>
    <w:tmpl w:val="4AF98900"/>
    <w:lvl w:ilvl="0" w:tentative="0">
      <w:start w:val="3"/>
      <w:numFmt w:val="decimal"/>
      <w:suff w:val="nothing"/>
      <w:lvlText w:val="%1．"/>
      <w:lvlJc w:val="left"/>
    </w:lvl>
  </w:abstractNum>
  <w:abstractNum w:abstractNumId="2">
    <w:nsid w:val="5217F776"/>
    <w:multiLevelType w:val="singleLevel"/>
    <w:tmpl w:val="5217F77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ZWI1MTc5NWUwOTU3ZGYwMjU4ZTI2YzVmOWM2ZmYifQ=="/>
  </w:docVars>
  <w:rsids>
    <w:rsidRoot w:val="78BC3D13"/>
    <w:rsid w:val="026C31D1"/>
    <w:rsid w:val="049105D8"/>
    <w:rsid w:val="05EF3F4F"/>
    <w:rsid w:val="07286611"/>
    <w:rsid w:val="0A67415F"/>
    <w:rsid w:val="0AC73083"/>
    <w:rsid w:val="0AE823AD"/>
    <w:rsid w:val="0C1464BD"/>
    <w:rsid w:val="0C5C5076"/>
    <w:rsid w:val="0DCB704F"/>
    <w:rsid w:val="10401F77"/>
    <w:rsid w:val="105369DF"/>
    <w:rsid w:val="125407BD"/>
    <w:rsid w:val="12D034A3"/>
    <w:rsid w:val="141D576D"/>
    <w:rsid w:val="166C0D7D"/>
    <w:rsid w:val="185B5474"/>
    <w:rsid w:val="186A3A1F"/>
    <w:rsid w:val="18FA7DB2"/>
    <w:rsid w:val="19D47ED9"/>
    <w:rsid w:val="19DE5CD3"/>
    <w:rsid w:val="1B4A2A90"/>
    <w:rsid w:val="1B845153"/>
    <w:rsid w:val="1BAB0CC0"/>
    <w:rsid w:val="1C14576A"/>
    <w:rsid w:val="1CB139B3"/>
    <w:rsid w:val="1E116D00"/>
    <w:rsid w:val="1F2E7275"/>
    <w:rsid w:val="22372816"/>
    <w:rsid w:val="242D15FC"/>
    <w:rsid w:val="24393EEB"/>
    <w:rsid w:val="2478733C"/>
    <w:rsid w:val="24BC4B5A"/>
    <w:rsid w:val="279430C2"/>
    <w:rsid w:val="2A4C32F6"/>
    <w:rsid w:val="2B425832"/>
    <w:rsid w:val="2CCA2AA6"/>
    <w:rsid w:val="30BB7FF5"/>
    <w:rsid w:val="319F7E1A"/>
    <w:rsid w:val="31A33AA5"/>
    <w:rsid w:val="331C24AB"/>
    <w:rsid w:val="36D72EDD"/>
    <w:rsid w:val="370925EF"/>
    <w:rsid w:val="37FB72F6"/>
    <w:rsid w:val="38012C35"/>
    <w:rsid w:val="388913BE"/>
    <w:rsid w:val="3C997215"/>
    <w:rsid w:val="3E1877DF"/>
    <w:rsid w:val="3EB44C7C"/>
    <w:rsid w:val="40C955BA"/>
    <w:rsid w:val="41D41D35"/>
    <w:rsid w:val="42A264A8"/>
    <w:rsid w:val="4422063D"/>
    <w:rsid w:val="494E4757"/>
    <w:rsid w:val="4958156F"/>
    <w:rsid w:val="49B74062"/>
    <w:rsid w:val="4BA9391D"/>
    <w:rsid w:val="4F42736E"/>
    <w:rsid w:val="4F433522"/>
    <w:rsid w:val="4F6C3C98"/>
    <w:rsid w:val="4FF260E2"/>
    <w:rsid w:val="50D64CBE"/>
    <w:rsid w:val="51E87E4E"/>
    <w:rsid w:val="52750B36"/>
    <w:rsid w:val="54B6688E"/>
    <w:rsid w:val="55CE7630"/>
    <w:rsid w:val="57985CDF"/>
    <w:rsid w:val="58656D9C"/>
    <w:rsid w:val="58DF6166"/>
    <w:rsid w:val="5A4B4DA6"/>
    <w:rsid w:val="5AEF04D8"/>
    <w:rsid w:val="5B590DC3"/>
    <w:rsid w:val="5BB25227"/>
    <w:rsid w:val="5C837F16"/>
    <w:rsid w:val="60AD5683"/>
    <w:rsid w:val="61B80002"/>
    <w:rsid w:val="6214232C"/>
    <w:rsid w:val="66117C3F"/>
    <w:rsid w:val="675D69D6"/>
    <w:rsid w:val="67A253FA"/>
    <w:rsid w:val="68AD424C"/>
    <w:rsid w:val="690E676A"/>
    <w:rsid w:val="6A6C0D55"/>
    <w:rsid w:val="6C4036D1"/>
    <w:rsid w:val="6E6E4111"/>
    <w:rsid w:val="6EBA0AEB"/>
    <w:rsid w:val="706F2940"/>
    <w:rsid w:val="7097427D"/>
    <w:rsid w:val="72EA1F3A"/>
    <w:rsid w:val="767332E7"/>
    <w:rsid w:val="7763329E"/>
    <w:rsid w:val="78BC3D13"/>
    <w:rsid w:val="79860C21"/>
    <w:rsid w:val="79E139F7"/>
    <w:rsid w:val="7AC07CD8"/>
    <w:rsid w:val="7B952905"/>
    <w:rsid w:val="7C936510"/>
    <w:rsid w:val="7D641C74"/>
    <w:rsid w:val="7FE8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1852</Words>
  <Characters>2000</Characters>
  <Lines>0</Lines>
  <Paragraphs>0</Paragraphs>
  <TotalTime>5</TotalTime>
  <ScaleCrop>false</ScaleCrop>
  <LinksUpToDate>false</LinksUpToDate>
  <CharactersWithSpaces>2227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2022-10-09T07:23:00Z</dcterms:created>
  <dc:creator>蓦然回首  见的是阑珊°</dc:creator>
  <cp:lastModifiedBy>紫水灵儿</cp:lastModifiedBy>
  <dcterms:modified xsi:type="dcterms:W3CDTF">2023-04-07T02:48:20Z</dcterms:modified>
  <dc:title>2021年度养老保险补贴项目资金绩效自评报告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646D6B19D7DE41A09CD750A19CE22093</vt:lpwstr>
  </property>
</Properties>
</file>