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b/>
          <w:bCs/>
          <w:sz w:val="44"/>
          <w:szCs w:val="44"/>
          <w:highlight w:val="none"/>
        </w:rPr>
      </w:pPr>
      <w:r>
        <w:rPr>
          <w:rFonts w:hint="eastAsia" w:ascii="黑体" w:hAnsi="黑体" w:eastAsia="黑体" w:cs="黑体"/>
          <w:b/>
          <w:bCs/>
          <w:sz w:val="44"/>
          <w:szCs w:val="44"/>
          <w:highlight w:val="none"/>
          <w:lang w:val="en-US" w:eastAsia="zh-CN"/>
        </w:rPr>
        <w:t>2022年度</w:t>
      </w:r>
      <w:r>
        <w:rPr>
          <w:rFonts w:hint="eastAsia" w:ascii="黑体" w:hAnsi="黑体" w:eastAsia="黑体" w:cs="黑体"/>
          <w:b/>
          <w:bCs/>
          <w:sz w:val="44"/>
          <w:szCs w:val="44"/>
          <w:highlight w:val="none"/>
        </w:rPr>
        <w:t>益阳市资阳区人民政府办公室</w:t>
      </w:r>
    </w:p>
    <w:p>
      <w:pPr>
        <w:ind w:left="0" w:leftChars="0" w:firstLine="0" w:firstLineChars="0"/>
        <w:jc w:val="center"/>
        <w:rPr>
          <w:rFonts w:hint="eastAsia" w:ascii="黑体" w:hAnsi="黑体" w:eastAsia="黑体" w:cs="黑体"/>
          <w:b/>
          <w:bCs/>
          <w:sz w:val="44"/>
          <w:szCs w:val="44"/>
          <w:highlight w:val="none"/>
          <w:lang w:eastAsia="zh-CN"/>
        </w:rPr>
      </w:pPr>
      <w:r>
        <w:rPr>
          <w:rFonts w:hint="eastAsia" w:ascii="黑体" w:hAnsi="黑体" w:eastAsia="黑体" w:cs="黑体"/>
          <w:b/>
          <w:bCs/>
          <w:sz w:val="44"/>
          <w:szCs w:val="44"/>
          <w:highlight w:val="none"/>
          <w:lang w:eastAsia="zh-CN"/>
        </w:rPr>
        <w:t>督查项目支出绩效评价报告</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eastAsia="zh-CN"/>
        </w:rPr>
        <w:t>为进一步规范财政资金管理，牢固树立预算绩效理念，强化部门支出责任，提高财政资金使用效益，根据《中共中央</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国务院关于全面实施预算绩效管理的意见》（中发〔2018〕34号）、《财政部关于印发〈项目支出绩效评价管理办法〉的通知〉财预〔2020〕10号）和《中共湖南省委办公厅</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湖南省人民政府办公厅关于全面实施预算绩效管理的实施意见》（湘办发〔2019〕10号）等有关文件精神，将2022年度益阳市资阳区人民政府办公室部门督查项目支出绩效自评工作有关事项报告如下：</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val="en-US" w:eastAsia="zh-CN"/>
        </w:rPr>
        <w:t>一、</w:t>
      </w:r>
      <w:r>
        <w:rPr>
          <w:rFonts w:hint="eastAsia" w:ascii="黑体" w:hAnsi="黑体" w:eastAsia="黑体" w:cs="黑体"/>
          <w:b/>
          <w:bCs/>
          <w:sz w:val="32"/>
          <w:szCs w:val="32"/>
          <w:lang w:eastAsia="zh-CN"/>
        </w:rPr>
        <w:t>项目概况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项目基本性质：年初预算项目。</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用途和主要内容：督查上级政府重要决定、决策贯彻落实情况；做好区政府主要领导批示、交办事项的督办及并及时反馈落实情况；做好区政府工作报告、区政府常务会议、区长办公会议议决事项落实情况的督查督办。</w:t>
      </w:r>
    </w:p>
    <w:p>
      <w:pPr>
        <w:pStyle w:val="2"/>
        <w:rPr>
          <w:rFonts w:hint="default"/>
          <w:lang w:val="en-US" w:eastAsia="zh-CN"/>
        </w:rPr>
      </w:pPr>
      <w:r>
        <w:rPr>
          <w:rFonts w:hint="eastAsia" w:ascii="仿宋" w:hAnsi="仿宋" w:eastAsia="仿宋" w:cs="仿宋"/>
          <w:b w:val="0"/>
          <w:bCs w:val="0"/>
          <w:sz w:val="32"/>
          <w:szCs w:val="32"/>
          <w:lang w:val="en-US" w:eastAsia="zh-CN"/>
        </w:rPr>
        <w:t>3、财政拨款情况：一般公共预算当年指标25万元。</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二、绩效评价工作开展情况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专人专办负责该工作，设有</w:t>
      </w:r>
      <w:r>
        <w:rPr>
          <w:rFonts w:hint="eastAsia" w:ascii="仿宋" w:hAnsi="仿宋" w:eastAsia="仿宋" w:cs="仿宋"/>
          <w:b w:val="0"/>
          <w:bCs w:val="0"/>
          <w:sz w:val="32"/>
          <w:szCs w:val="32"/>
          <w:lang w:eastAsia="zh-CN"/>
        </w:rPr>
        <w:t>督查室。负责国务院、省政府、市政府、区政府重要决定、决策贯彻落实的督查和情况综合；负责区政府主要领导批示、交办事项的督办及落实情况的反馈；负责区政府工作报告、区政府常务会议、区长办公会议议决事项落实情况的督查督办；负责组织协调人大代表建议、政协委员提案办理工作。</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三、综合评价结论</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2022年度绩效自评得分为100分，自评结论为“优秀”。</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四、绩效目标实现情况分析</w:t>
      </w:r>
    </w:p>
    <w:p>
      <w:pPr>
        <w:pStyle w:val="8"/>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（一）项目资金使用及管理情况</w:t>
      </w:r>
    </w:p>
    <w:p>
      <w:pPr>
        <w:pStyle w:val="8"/>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1、项目资金安排、使用情况分析：年初预算安排25万元，实际支付25万元，结余为0万元。按照既定目标和工作要求使用于督查</w:t>
      </w:r>
      <w:r>
        <w:rPr>
          <w:rFonts w:hint="eastAsia" w:ascii="仿宋" w:hAnsi="仿宋" w:eastAsia="仿宋" w:cs="仿宋"/>
          <w:b w:val="0"/>
          <w:bCs w:val="0"/>
          <w:sz w:val="32"/>
          <w:szCs w:val="32"/>
          <w:lang w:eastAsia="zh-CN"/>
        </w:rPr>
        <w:t>国务院、省政府、市政府、区政府重要决定、决策贯彻落实情况综合；督查并反馈区政府主要领导批示、交办事项；督查区政府工作报告、区政府常务会议、区长办公会议议决事项落实情况等工作。</w:t>
      </w:r>
    </w:p>
    <w:p>
      <w:pPr>
        <w:pStyle w:val="8"/>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2、项目资金管理情况分析：为切实做好督查工作，我单位每年在自己开展联合其他部门共同开展了多次督查工作，并积极跟踪落实情况。</w:t>
      </w:r>
    </w:p>
    <w:p>
      <w:pPr>
        <w:pStyle w:val="8"/>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加大督查督办力度，严督细查上级交办事项、领导批示件，以及营商环境整治、重点项目建设、疫情防控、安全生产、各类巡视、审计整改等重点工作，及时办复上级交办事项20余件，印发《督查通报》30余期，对区政府工作报告和经济工作会议的重点任务、重大项目推进、民生实事、建议提案办理、市对区重要工作任务等方面开展专项督查，有力推进全年目标任务的完成。根据湖南省政府关于2022年真抓实干督查激励的有关要求，经市级初评和推荐、省级考评复核、厅（局）党组会议审议，湖南省水利厅、湖南省林业局公示了2022年省政府真抓实干督查激励拟推荐名单。河湖长制工作、林长制工作资阳区真抓实干成效明显，榜上有名。</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五、存在的问题和改进措施</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1、部门预算执行情况方面还需要进一步细化和规范，预算编制及调整管理有待加强。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val="en-US" w:eastAsia="zh-CN"/>
        </w:rPr>
        <w:t>2、对全面实施绩效评价的工作理念没有完整的意识，重视程度不够，对相关结果的运用程度还不够高。</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六、部门整体支出绩效自评结果拟应用和公开情况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按照区财政局相关通知要求，我部门在规定时间及网站向社会公开本部门预决算信息、部门绩效目标和整体绩效自评情况。</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七、其他需要说明的情况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无其他需要说明的情况。</w:t>
      </w:r>
    </w:p>
    <w:p>
      <w:pPr>
        <w:pStyle w:val="2"/>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附件：2022年度督查项目支岀绩效自评表</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p>
    <w:p>
      <w:pPr>
        <w:pStyle w:val="9"/>
        <w:keepNext/>
        <w:keepLines/>
        <w:widowControl w:val="0"/>
        <w:shd w:val="clear" w:color="auto" w:fill="auto"/>
        <w:bidi w:val="0"/>
        <w:spacing w:before="0" w:after="0" w:line="240" w:lineRule="auto"/>
        <w:ind w:left="0" w:right="0" w:firstLine="0"/>
        <w:jc w:val="center"/>
        <w:rPr>
          <w:sz w:val="34"/>
          <w:szCs w:val="34"/>
        </w:rPr>
      </w:pPr>
      <w:r>
        <w:rPr>
          <w:rFonts w:ascii="Times New Roman" w:hAnsi="Times New Roman" w:eastAsia="Times New Roman" w:cs="Times New Roman"/>
          <w:color w:val="000000"/>
          <w:spacing w:val="0"/>
          <w:w w:val="100"/>
          <w:position w:val="0"/>
          <w:sz w:val="36"/>
          <w:szCs w:val="36"/>
        </w:rPr>
        <w:t>2022</w:t>
      </w:r>
      <w:r>
        <w:rPr>
          <w:color w:val="000000"/>
          <w:spacing w:val="0"/>
          <w:w w:val="100"/>
          <w:position w:val="0"/>
          <w:sz w:val="34"/>
          <w:szCs w:val="34"/>
        </w:rPr>
        <w:t>年度</w:t>
      </w:r>
      <w:r>
        <w:rPr>
          <w:rFonts w:hint="eastAsia"/>
          <w:color w:val="000000"/>
          <w:spacing w:val="0"/>
          <w:w w:val="100"/>
          <w:position w:val="0"/>
          <w:sz w:val="34"/>
          <w:szCs w:val="34"/>
        </w:rPr>
        <w:t>督查</w:t>
      </w:r>
      <w:r>
        <w:rPr>
          <w:color w:val="000000"/>
          <w:spacing w:val="0"/>
          <w:w w:val="100"/>
          <w:position w:val="0"/>
          <w:sz w:val="34"/>
          <w:szCs w:val="34"/>
        </w:rPr>
        <w:t>项目支岀绩效自评表</w:t>
      </w:r>
    </w:p>
    <w:p>
      <w:pPr>
        <w:pStyle w:val="10"/>
        <w:keepNext w:val="0"/>
        <w:keepLines w:val="0"/>
        <w:widowControl w:val="0"/>
        <w:shd w:val="clear" w:color="auto" w:fill="auto"/>
        <w:tabs>
          <w:tab w:val="left" w:pos="2088"/>
          <w:tab w:val="left" w:pos="4099"/>
          <w:tab w:val="left" w:pos="6389"/>
        </w:tabs>
        <w:bidi w:val="0"/>
        <w:spacing w:before="0" w:after="0" w:line="240" w:lineRule="auto"/>
        <w:ind w:right="0"/>
        <w:jc w:val="left"/>
        <w:rPr>
          <w:color w:val="000000"/>
          <w:spacing w:val="0"/>
          <w:w w:val="100"/>
          <w:position w:val="0"/>
        </w:rPr>
      </w:pPr>
    </w:p>
    <w:tbl>
      <w:tblPr>
        <w:tblStyle w:val="6"/>
        <w:tblW w:w="9830" w:type="dxa"/>
        <w:jc w:val="center"/>
        <w:tblLayout w:type="fixed"/>
        <w:tblCellMar>
          <w:top w:w="0" w:type="dxa"/>
          <w:left w:w="10" w:type="dxa"/>
          <w:bottom w:w="0" w:type="dxa"/>
          <w:right w:w="10" w:type="dxa"/>
        </w:tblCellMar>
      </w:tblPr>
      <w:tblGrid>
        <w:gridCol w:w="1109"/>
        <w:gridCol w:w="1070"/>
        <w:gridCol w:w="1070"/>
        <w:gridCol w:w="1219"/>
        <w:gridCol w:w="1123"/>
        <w:gridCol w:w="7"/>
        <w:gridCol w:w="1131"/>
        <w:gridCol w:w="826"/>
        <w:gridCol w:w="864"/>
        <w:gridCol w:w="1411"/>
      </w:tblGrid>
      <w:tr>
        <w:tblPrEx>
          <w:tblCellMar>
            <w:top w:w="0" w:type="dxa"/>
            <w:left w:w="10" w:type="dxa"/>
            <w:bottom w:w="0" w:type="dxa"/>
            <w:right w:w="10" w:type="dxa"/>
          </w:tblCellMar>
        </w:tblPrEx>
        <w:trPr>
          <w:trHeight w:val="370" w:hRule="exact"/>
          <w:jc w:val="center"/>
        </w:trPr>
        <w:tc>
          <w:tcPr>
            <w:tcBorders>
              <w:top w:val="single" w:color="auto" w:sz="4" w:space="0"/>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项目名称</w:t>
            </w:r>
          </w:p>
        </w:tc>
        <w:tc>
          <w:tcPr>
            <w:tcW w:w="8721" w:type="dxa"/>
            <w:gridSpan w:val="9"/>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督查专项</w:t>
            </w:r>
          </w:p>
        </w:tc>
      </w:tr>
      <w:tr>
        <w:tblPrEx>
          <w:tblCellMar>
            <w:top w:w="0" w:type="dxa"/>
            <w:left w:w="10" w:type="dxa"/>
            <w:bottom w:w="0" w:type="dxa"/>
            <w:right w:w="10" w:type="dxa"/>
          </w:tblCellMar>
        </w:tblPrEx>
        <w:trPr>
          <w:trHeight w:val="288" w:hRule="exact"/>
          <w:jc w:val="center"/>
        </w:trPr>
        <w:tc>
          <w:tcPr>
            <w:tcBorders>
              <w:top w:val="single" w:color="auto" w:sz="4" w:space="0"/>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主管部门</w:t>
            </w:r>
          </w:p>
        </w:tc>
        <w:tc>
          <w:tcPr>
            <w:gridSpan w:val="4"/>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c>
          <w:tcPr>
            <w:gridSpan w:val="2"/>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right="0" w:firstLine="0" w:firstLineChars="0"/>
              <w:jc w:val="both"/>
              <w:textAlignment w:val="auto"/>
              <w:rPr>
                <w:sz w:val="20"/>
                <w:szCs w:val="20"/>
              </w:rPr>
            </w:pPr>
            <w:r>
              <w:rPr>
                <w:color w:val="000000"/>
                <w:spacing w:val="0"/>
                <w:w w:val="100"/>
                <w:position w:val="0"/>
                <w:sz w:val="20"/>
                <w:szCs w:val="20"/>
              </w:rPr>
              <w:t>实施单位</w:t>
            </w:r>
          </w:p>
        </w:tc>
        <w:tc>
          <w:tcPr>
            <w:tcW w:w="3101" w:type="dxa"/>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r>
      <w:tr>
        <w:tblPrEx>
          <w:tblCellMar>
            <w:top w:w="0" w:type="dxa"/>
            <w:left w:w="10" w:type="dxa"/>
            <w:bottom w:w="0" w:type="dxa"/>
            <w:right w:w="10" w:type="dxa"/>
          </w:tblCellMar>
        </w:tblPrEx>
        <w:trPr>
          <w:trHeight w:val="547" w:hRule="exact"/>
          <w:jc w:val="center"/>
        </w:trPr>
        <w:tc>
          <w:tcPr>
            <w:vMerge w:val="restart"/>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74" w:lineRule="exact"/>
              <w:ind w:left="220" w:right="0" w:firstLine="0" w:firstLineChars="0"/>
              <w:jc w:val="left"/>
              <w:textAlignment w:val="auto"/>
              <w:rPr>
                <w:sz w:val="20"/>
                <w:szCs w:val="20"/>
              </w:rPr>
            </w:pPr>
            <w:r>
              <w:rPr>
                <w:color w:val="000000"/>
                <w:spacing w:val="0"/>
                <w:w w:val="100"/>
                <w:position w:val="0"/>
                <w:sz w:val="20"/>
                <w:szCs w:val="20"/>
              </w:rPr>
              <w:t>项目资金: （万元）</w:t>
            </w:r>
          </w:p>
        </w:tc>
        <w:tc>
          <w:tcPr>
            <w:tcW w:w="2140" w:type="dxa"/>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219" w:type="dxa"/>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年初预算数</w:t>
            </w:r>
          </w:p>
        </w:tc>
        <w:tc>
          <w:tcPr>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全年预算数</w:t>
            </w:r>
          </w:p>
        </w:tc>
        <w:tc>
          <w:tcPr>
            <w:gridSpan w:val="2"/>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全年执行数</w:t>
            </w:r>
          </w:p>
        </w:tc>
        <w:tc>
          <w:tcPr>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执行率</w:t>
            </w:r>
          </w:p>
        </w:tc>
        <w:tc>
          <w:tcPr>
            <w:tcW w:w="1411" w:type="dxa"/>
            <w:tcBorders>
              <w:top w:val="single" w:color="auto" w:sz="4" w:space="0"/>
              <w:left w:val="single" w:color="auto" w:sz="4" w:space="0"/>
              <w:righ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bottom"/>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年度资金总额</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25</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25</w:t>
            </w: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25</w:t>
            </w:r>
          </w:p>
        </w:tc>
        <w:tc>
          <w:tcPr>
            <w:tcBorders>
              <w:top w:val="single" w:color="auto" w:sz="4" w:space="0"/>
              <w:left w:val="single" w:color="auto" w:sz="4" w:space="0"/>
            </w:tcBorders>
            <w:shd w:val="clear" w:color="auto" w:fill="FFFFFF"/>
            <w:vAlign w:val="bottom"/>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rFonts w:ascii="Times New Roman" w:hAnsi="Times New Roman" w:eastAsia="Times New Roman" w:cs="Times New Roman"/>
                <w:color w:val="000000"/>
                <w:spacing w:val="0"/>
                <w:w w:val="100"/>
                <w:position w:val="0"/>
                <w:sz w:val="20"/>
                <w:szCs w:val="20"/>
              </w:rPr>
              <w:t>10</w:t>
            </w:r>
            <w:r>
              <w:rPr>
                <w:color w:val="000000"/>
                <w:spacing w:val="0"/>
                <w:w w:val="100"/>
                <w:position w:val="0"/>
                <w:sz w:val="20"/>
                <w:szCs w:val="20"/>
              </w:rPr>
              <w:t>分</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b w:val="0"/>
                <w:bCs w:val="0"/>
                <w:color w:val="000000"/>
                <w:spacing w:val="0"/>
                <w:w w:val="100"/>
                <w:position w:val="0"/>
                <w:sz w:val="20"/>
                <w:szCs w:val="20"/>
                <w:shd w:val="clear" w:color="auto" w:fill="auto"/>
                <w:lang w:val="en-US" w:eastAsia="zh-CN" w:bidi="en-US"/>
              </w:rPr>
            </w:pPr>
            <w:r>
              <w:rPr>
                <w:rFonts w:hint="eastAsia" w:eastAsia="宋体"/>
                <w:b w:val="0"/>
                <w:bCs w:val="0"/>
                <w:sz w:val="20"/>
                <w:szCs w:val="20"/>
                <w:lang w:val="en-US" w:eastAsia="zh-CN"/>
              </w:rPr>
              <w:t>100%</w:t>
            </w: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其中：当年财政拨款</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10"/>
                <w:szCs w:val="10"/>
              </w:rPr>
            </w:pPr>
            <w:r>
              <w:rPr>
                <w:rFonts w:hint="eastAsia" w:eastAsia="宋体"/>
                <w:sz w:val="20"/>
                <w:szCs w:val="20"/>
                <w:lang w:val="en-US" w:eastAsia="zh-CN"/>
              </w:rPr>
              <w:t>25</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10"/>
                <w:szCs w:val="10"/>
              </w:rPr>
            </w:pPr>
            <w:r>
              <w:rPr>
                <w:rFonts w:hint="eastAsia" w:eastAsia="宋体"/>
                <w:sz w:val="20"/>
                <w:szCs w:val="20"/>
                <w:lang w:val="en-US" w:eastAsia="zh-CN"/>
              </w:rPr>
              <w:t>25</w:t>
            </w: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10"/>
                <w:szCs w:val="10"/>
              </w:rPr>
            </w:pPr>
            <w:r>
              <w:rPr>
                <w:rFonts w:hint="eastAsia" w:eastAsia="宋体"/>
                <w:sz w:val="20"/>
                <w:szCs w:val="20"/>
                <w:lang w:val="en-US" w:eastAsia="zh-CN"/>
              </w:rPr>
              <w:t>25</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8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上年结转资金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其他资金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restart"/>
            <w:tcBorders>
              <w:top w:val="single" w:color="auto" w:sz="4" w:space="0"/>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64" w:lineRule="exact"/>
              <w:ind w:left="0" w:right="0" w:firstLine="0" w:firstLineChars="0"/>
              <w:jc w:val="center"/>
              <w:textAlignment w:val="auto"/>
              <w:rPr>
                <w:sz w:val="20"/>
                <w:szCs w:val="20"/>
              </w:rPr>
            </w:pPr>
            <w:r>
              <w:rPr>
                <w:color w:val="000000"/>
                <w:spacing w:val="0"/>
                <w:w w:val="100"/>
                <w:position w:val="0"/>
                <w:sz w:val="20"/>
                <w:szCs w:val="20"/>
              </w:rPr>
              <w:t>年度总体 目标</w:t>
            </w:r>
          </w:p>
        </w:tc>
        <w:tc>
          <w:tcPr>
            <w:gridSpan w:val="4"/>
            <w:tcBorders>
              <w:top w:val="single" w:color="auto" w:sz="4" w:space="0"/>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预期目标</w:t>
            </w:r>
          </w:p>
        </w:tc>
        <w:tc>
          <w:tcPr>
            <w:tcW w:w="4239" w:type="dxa"/>
            <w:gridSpan w:val="5"/>
            <w:tcBorders>
              <w:top w:val="single" w:color="auto" w:sz="4" w:space="0"/>
              <w:left w:val="single" w:color="auto" w:sz="4" w:space="0"/>
              <w:righ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实际完成情况</w:t>
            </w:r>
          </w:p>
        </w:tc>
      </w:tr>
      <w:tr>
        <w:tblPrEx>
          <w:tblCellMar>
            <w:top w:w="0" w:type="dxa"/>
            <w:left w:w="10" w:type="dxa"/>
            <w:bottom w:w="0" w:type="dxa"/>
            <w:right w:w="10" w:type="dxa"/>
          </w:tblCellMar>
        </w:tblPrEx>
        <w:trPr>
          <w:trHeight w:val="833" w:hRule="exact"/>
          <w:jc w:val="center"/>
        </w:trPr>
        <w:tc>
          <w:tcPr>
            <w:vMerge w:val="continue"/>
            <w:tcBorders>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gridSpan w:val="4"/>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1"/>
                <w:szCs w:val="11"/>
              </w:rPr>
            </w:pPr>
            <w:r>
              <w:rPr>
                <w:rFonts w:hint="eastAsia"/>
                <w:sz w:val="11"/>
                <w:szCs w:val="11"/>
              </w:rPr>
              <w:t>督查上级政府重要决定、决策贯彻落实情况；做好区政府主要领导批示、交办事项的督办及并及时反馈落实情况；做好区政府工作报告、区政府常务会议、区长办公会议议决事项落实情况的督查督办。</w:t>
            </w:r>
          </w:p>
        </w:tc>
        <w:tc>
          <w:tcPr>
            <w:tcW w:w="4239" w:type="dxa"/>
            <w:gridSpan w:val="5"/>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1"/>
                <w:szCs w:val="11"/>
              </w:rPr>
            </w:pPr>
            <w:r>
              <w:rPr>
                <w:rFonts w:hint="eastAsia"/>
                <w:sz w:val="11"/>
                <w:szCs w:val="11"/>
              </w:rPr>
              <w:t>督查上级政府重要决定、决策贯彻落实情况；做好区政府主要领导批示、交办事项的督办及并及时反馈落实情况；做好区政府工作报告、区政府常务会议、区长办公会议议决事项落实情况的督查督办。</w:t>
            </w:r>
          </w:p>
        </w:tc>
      </w:tr>
      <w:tr>
        <w:tblPrEx>
          <w:tblCellMar>
            <w:top w:w="0" w:type="dxa"/>
            <w:left w:w="10" w:type="dxa"/>
            <w:bottom w:w="0" w:type="dxa"/>
            <w:right w:w="10" w:type="dxa"/>
          </w:tblCellMar>
        </w:tblPrEx>
        <w:trPr>
          <w:trHeight w:val="725" w:hRule="exact"/>
          <w:jc w:val="center"/>
        </w:trPr>
        <w:tc>
          <w:tcPr>
            <w:tcW w:w="1109" w:type="dxa"/>
            <w:vMerge w:val="restart"/>
            <w:tcBorders>
              <w:top w:val="single" w:color="auto" w:sz="4" w:space="0"/>
              <w:left w:val="single" w:color="auto" w:sz="4" w:space="0"/>
            </w:tcBorders>
            <w:shd w:val="clear" w:color="auto" w:fill="FFFFFF"/>
            <w:textDirection w:val="tbRlV"/>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pPr>
            <w:r>
              <w:rPr>
                <w:color w:val="000000"/>
                <w:spacing w:val="0"/>
                <w:w w:val="100"/>
                <w:position w:val="0"/>
              </w:rPr>
              <w:t>绩效指标</w:t>
            </w:r>
          </w:p>
        </w:tc>
        <w:tc>
          <w:tcPr>
            <w:tcW w:w="1070" w:type="dxa"/>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left"/>
              <w:textAlignment w:val="auto"/>
              <w:rPr>
                <w:sz w:val="20"/>
                <w:szCs w:val="20"/>
              </w:rPr>
            </w:pPr>
            <w:r>
              <w:rPr>
                <w:color w:val="000000"/>
                <w:spacing w:val="0"/>
                <w:w w:val="100"/>
                <w:position w:val="0"/>
                <w:sz w:val="20"/>
                <w:szCs w:val="20"/>
              </w:rPr>
              <w:t>一级指标</w:t>
            </w:r>
          </w:p>
        </w:tc>
        <w:tc>
          <w:tcPr>
            <w:tcW w:w="1070" w:type="dxa"/>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left"/>
              <w:textAlignment w:val="auto"/>
              <w:rPr>
                <w:sz w:val="20"/>
                <w:szCs w:val="20"/>
              </w:rPr>
            </w:pPr>
            <w:r>
              <w:rPr>
                <w:color w:val="000000"/>
                <w:spacing w:val="0"/>
                <w:w w:val="100"/>
                <w:position w:val="0"/>
                <w:sz w:val="20"/>
                <w:szCs w:val="20"/>
              </w:rPr>
              <w:t>二级指标</w:t>
            </w:r>
          </w:p>
        </w:tc>
        <w:tc>
          <w:tcPr>
            <w:tcW w:w="1219" w:type="dxa"/>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sz w:val="20"/>
                <w:szCs w:val="20"/>
              </w:rPr>
            </w:pPr>
            <w:r>
              <w:rPr>
                <w:color w:val="000000"/>
                <w:spacing w:val="0"/>
                <w:w w:val="100"/>
                <w:position w:val="0"/>
                <w:sz w:val="20"/>
                <w:szCs w:val="20"/>
              </w:rPr>
              <w:t>三级指标</w:t>
            </w:r>
          </w:p>
        </w:tc>
        <w:tc>
          <w:tcPr>
            <w:tcW w:w="1123" w:type="dxa"/>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sz w:val="20"/>
                <w:szCs w:val="20"/>
              </w:rPr>
            </w:pPr>
            <w:r>
              <w:rPr>
                <w:color w:val="000000"/>
                <w:spacing w:val="0"/>
                <w:w w:val="100"/>
                <w:position w:val="0"/>
                <w:sz w:val="20"/>
                <w:szCs w:val="20"/>
              </w:rPr>
              <w:t>年度指标值</w:t>
            </w:r>
          </w:p>
        </w:tc>
        <w:tc>
          <w:tcPr>
            <w:tcW w:w="1138" w:type="dxa"/>
            <w:gridSpan w:val="2"/>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sz w:val="20"/>
                <w:szCs w:val="20"/>
              </w:rPr>
            </w:pPr>
            <w:r>
              <w:rPr>
                <w:color w:val="000000"/>
                <w:spacing w:val="0"/>
                <w:w w:val="100"/>
                <w:position w:val="0"/>
                <w:sz w:val="20"/>
                <w:szCs w:val="20"/>
              </w:rPr>
              <w:t>实际完成值</w:t>
            </w:r>
          </w:p>
        </w:tc>
        <w:tc>
          <w:tcPr>
            <w:tcW w:w="826" w:type="dxa"/>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sz w:val="20"/>
                <w:szCs w:val="20"/>
              </w:rPr>
            </w:pPr>
            <w:r>
              <w:rPr>
                <w:color w:val="000000"/>
                <w:spacing w:val="0"/>
                <w:w w:val="100"/>
                <w:position w:val="0"/>
                <w:sz w:val="20"/>
                <w:szCs w:val="20"/>
              </w:rPr>
              <w:t>分值</w:t>
            </w:r>
          </w:p>
        </w:tc>
        <w:tc>
          <w:tcPr>
            <w:tcW w:w="864" w:type="dxa"/>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sz w:val="20"/>
                <w:szCs w:val="20"/>
              </w:rPr>
            </w:pPr>
            <w:r>
              <w:rPr>
                <w:color w:val="000000"/>
                <w:spacing w:val="0"/>
                <w:w w:val="100"/>
                <w:position w:val="0"/>
                <w:sz w:val="20"/>
                <w:szCs w:val="20"/>
              </w:rPr>
              <w:t>得分</w:t>
            </w:r>
          </w:p>
        </w:tc>
        <w:tc>
          <w:tcPr>
            <w:tcW w:w="1411" w:type="dxa"/>
            <w:tcBorders>
              <w:top w:val="single" w:color="auto" w:sz="4" w:space="0"/>
              <w:left w:val="single" w:color="auto" w:sz="4" w:space="0"/>
              <w:right w:val="single" w:color="auto" w:sz="4" w:space="0"/>
            </w:tcBorders>
            <w:shd w:val="clear" w:color="auto" w:fill="FFFFFF"/>
            <w:vAlign w:val="bottom"/>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偏差原因分析及</w:t>
            </w:r>
            <w:r>
              <w:rPr>
                <w:rFonts w:hint="eastAsia"/>
                <w:color w:val="000000"/>
                <w:spacing w:val="0"/>
                <w:w w:val="100"/>
                <w:position w:val="0"/>
                <w:sz w:val="20"/>
                <w:szCs w:val="20"/>
                <w:lang w:val="en-US" w:eastAsia="zh-CN"/>
              </w:rPr>
              <w:t>改进措施</w:t>
            </w:r>
          </w:p>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p>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leftChars="0" w:right="0" w:rightChars="0" w:firstLine="0" w:firstLineChars="0"/>
              <w:jc w:val="center"/>
              <w:textAlignment w:val="auto"/>
              <w:rPr>
                <w:color w:val="000000"/>
                <w:spacing w:val="0"/>
                <w:w w:val="100"/>
                <w:position w:val="0"/>
                <w:sz w:val="20"/>
                <w:szCs w:val="20"/>
              </w:rPr>
            </w:pPr>
          </w:p>
        </w:tc>
      </w:tr>
      <w:tr>
        <w:tblPrEx>
          <w:tblCellMar>
            <w:top w:w="0" w:type="dxa"/>
            <w:left w:w="10" w:type="dxa"/>
            <w:bottom w:w="0" w:type="dxa"/>
            <w:right w:w="10" w:type="dxa"/>
          </w:tblCellMar>
        </w:tblPrEx>
        <w:trPr>
          <w:trHeight w:val="743" w:hRule="exact"/>
          <w:jc w:val="center"/>
        </w:trPr>
        <w:tc>
          <w:tcPr>
            <w:tcW w:w="1109"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240" w:line="240" w:lineRule="auto"/>
              <w:ind w:left="0" w:right="0" w:firstLine="0" w:firstLineChars="0"/>
              <w:jc w:val="center"/>
              <w:textAlignment w:val="auto"/>
              <w:rPr>
                <w:sz w:val="20"/>
                <w:szCs w:val="20"/>
              </w:rPr>
            </w:pPr>
            <w:r>
              <w:rPr>
                <w:color w:val="000000"/>
                <w:spacing w:val="0"/>
                <w:w w:val="100"/>
                <w:position w:val="0"/>
                <w:sz w:val="20"/>
                <w:szCs w:val="20"/>
              </w:rPr>
              <w:t>产出指标</w:t>
            </w:r>
          </w:p>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ascii="Times New Roman" w:hAnsi="Times New Roman" w:eastAsia="Times New Roman" w:cs="Times New Roman"/>
                <w:color w:val="000000"/>
                <w:spacing w:val="0"/>
                <w:w w:val="100"/>
                <w:position w:val="0"/>
                <w:sz w:val="20"/>
                <w:szCs w:val="20"/>
              </w:rPr>
              <w:t>（5</w:t>
            </w:r>
            <w:r>
              <w:rPr>
                <w:rFonts w:hint="eastAsia" w:ascii="Times New Roman" w:hAnsi="Times New Roman" w:cs="Times New Roman"/>
                <w:color w:val="000000"/>
                <w:spacing w:val="0"/>
                <w:w w:val="100"/>
                <w:position w:val="0"/>
                <w:sz w:val="20"/>
                <w:szCs w:val="20"/>
                <w:lang w:val="en-US" w:eastAsia="zh-CN"/>
              </w:rPr>
              <w:t>0</w:t>
            </w:r>
            <w:r>
              <w:rPr>
                <w:color w:val="000000"/>
                <w:spacing w:val="0"/>
                <w:w w:val="100"/>
                <w:position w:val="0"/>
                <w:sz w:val="20"/>
                <w:szCs w:val="20"/>
              </w:rPr>
              <w:t>分）</w:t>
            </w:r>
          </w:p>
        </w:tc>
        <w:tc>
          <w:tcPr>
            <w:tcW w:w="1070"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数量指标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13"/>
                <w:szCs w:val="13"/>
                <w:u w:val="none"/>
                <w:shd w:val="clear" w:color="auto" w:fill="auto"/>
                <w:lang w:val="zh-TW" w:eastAsia="zh-TW" w:bidi="zh-TW"/>
              </w:rPr>
            </w:pPr>
            <w:r>
              <w:rPr>
                <w:rFonts w:hint="eastAsia" w:ascii="Times New Roman" w:hAnsi="Times New Roman" w:eastAsia="Times New Roman" w:cs="Times New Roman"/>
                <w:color w:val="000000"/>
                <w:spacing w:val="0"/>
                <w:w w:val="100"/>
                <w:position w:val="0"/>
                <w:sz w:val="20"/>
                <w:szCs w:val="20"/>
              </w:rPr>
              <w:t>切实履行职责</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符合工作要求</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符合工作要求</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913" w:hRule="exact"/>
          <w:jc w:val="center"/>
        </w:trPr>
        <w:tc>
          <w:tcPr>
            <w:tcW w:w="1109"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5"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质量指标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13"/>
                <w:szCs w:val="13"/>
                <w:u w:val="none"/>
                <w:shd w:val="clear" w:color="auto" w:fill="auto"/>
                <w:lang w:val="zh-TW" w:eastAsia="zh-TW" w:bidi="zh-TW"/>
              </w:rPr>
            </w:pPr>
            <w:r>
              <w:rPr>
                <w:rFonts w:hint="eastAsia"/>
                <w:color w:val="000000"/>
                <w:spacing w:val="0"/>
                <w:w w:val="100"/>
                <w:position w:val="0"/>
                <w:sz w:val="20"/>
                <w:szCs w:val="20"/>
              </w:rPr>
              <w:t>工作任务如期完成</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493" w:hRule="exact"/>
          <w:jc w:val="center"/>
        </w:trPr>
        <w:tc>
          <w:tcPr>
            <w:tcW w:w="1109"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时效指标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13"/>
                <w:szCs w:val="13"/>
                <w:shd w:val="clear" w:color="auto" w:fill="auto"/>
                <w:lang w:val="en-US" w:eastAsia="en-US" w:bidi="en-US"/>
              </w:rPr>
            </w:pPr>
            <w:r>
              <w:rPr>
                <w:rFonts w:hint="eastAsia"/>
                <w:sz w:val="20"/>
                <w:szCs w:val="20"/>
              </w:rPr>
              <w:t>完成时间</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723" w:hRule="exact"/>
          <w:jc w:val="center"/>
        </w:trPr>
        <w:tc>
          <w:tcPr>
            <w:tcW w:w="1109"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成本指标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hint="default" w:ascii="Times New Roman" w:hAnsi="Times New Roman" w:eastAsia="宋体" w:cs="Times New Roman"/>
                <w:color w:val="000000"/>
                <w:spacing w:val="0"/>
                <w:w w:val="100"/>
                <w:position w:val="0"/>
                <w:sz w:val="13"/>
                <w:szCs w:val="13"/>
                <w:shd w:val="clear" w:color="auto" w:fill="auto"/>
                <w:lang w:val="en-US" w:eastAsia="zh-CN" w:bidi="en-US"/>
              </w:rPr>
            </w:pPr>
            <w:r>
              <w:rPr>
                <w:rFonts w:hint="eastAsia"/>
                <w:sz w:val="20"/>
                <w:szCs w:val="20"/>
              </w:rPr>
              <w:t>成本控制</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828" w:hRule="exact"/>
          <w:jc w:val="center"/>
        </w:trPr>
        <w:tc>
          <w:tcPr>
            <w:tcW w:w="1109"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效益指标</w:t>
            </w:r>
          </w:p>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rFonts w:ascii="Times New Roman" w:hAnsi="Times New Roman" w:eastAsia="Times New Roman" w:cs="Times New Roman"/>
                <w:color w:val="000000"/>
                <w:spacing w:val="0"/>
                <w:w w:val="100"/>
                <w:position w:val="0"/>
                <w:sz w:val="20"/>
                <w:szCs w:val="20"/>
              </w:rPr>
              <w:t>（40</w:t>
            </w:r>
            <w:r>
              <w:rPr>
                <w:color w:val="000000"/>
                <w:spacing w:val="0"/>
                <w:w w:val="100"/>
                <w:position w:val="0"/>
                <w:sz w:val="20"/>
                <w:szCs w:val="20"/>
              </w:rPr>
              <w:t>分）</w:t>
            </w:r>
          </w:p>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4"/>
                <w:szCs w:val="24"/>
                <w:shd w:val="clear" w:color="auto" w:fill="auto"/>
                <w:lang w:val="en-US" w:eastAsia="en-US" w:bidi="en-US"/>
              </w:rPr>
            </w:pPr>
          </w:p>
        </w:tc>
        <w:tc>
          <w:tcPr>
            <w:tcW w:w="1070"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经济效益指标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13"/>
                <w:szCs w:val="13"/>
                <w:u w:val="none"/>
                <w:shd w:val="clear" w:color="auto" w:fill="auto"/>
                <w:lang w:val="zh-TW" w:eastAsia="zh-TW" w:bidi="zh-TW"/>
              </w:rPr>
            </w:pPr>
            <w:r>
              <w:rPr>
                <w:rFonts w:hint="eastAsia"/>
                <w:sz w:val="20"/>
                <w:szCs w:val="20"/>
                <w:lang w:val="en-US" w:eastAsia="zh-CN"/>
              </w:rPr>
              <w:t>经济</w:t>
            </w:r>
            <w:r>
              <w:rPr>
                <w:rFonts w:hint="eastAsia"/>
                <w:sz w:val="20"/>
                <w:szCs w:val="20"/>
              </w:rPr>
              <w:t>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较好维护人民群众财产安全</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913" w:hRule="exact"/>
          <w:jc w:val="center"/>
        </w:trPr>
        <w:tc>
          <w:tcPr>
            <w:tcW w:w="1109"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社会效益</w:t>
            </w:r>
            <w:r>
              <w:rPr>
                <w:rFonts w:hint="eastAsia" w:ascii="宋体" w:hAnsi="宋体" w:eastAsia="宋体" w:cs="宋体"/>
                <w:color w:val="000000"/>
                <w:spacing w:val="0"/>
                <w:w w:val="100"/>
                <w:position w:val="0"/>
                <w:sz w:val="20"/>
                <w:szCs w:val="20"/>
                <w:lang w:eastAsia="zh-CN"/>
              </w:rPr>
              <w:t>指</w:t>
            </w:r>
            <w:r>
              <w:rPr>
                <w:rFonts w:hint="eastAsia" w:ascii="宋体" w:hAnsi="宋体" w:eastAsia="宋体" w:cs="宋体"/>
                <w:color w:val="000000"/>
                <w:spacing w:val="0"/>
                <w:w w:val="100"/>
                <w:position w:val="0"/>
                <w:sz w:val="20"/>
                <w:szCs w:val="20"/>
              </w:rPr>
              <w:t>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13"/>
                <w:szCs w:val="13"/>
                <w:shd w:val="clear" w:color="auto" w:fill="auto"/>
                <w:lang w:val="en-US" w:eastAsia="en-US" w:bidi="en-US"/>
              </w:rPr>
            </w:pPr>
            <w:r>
              <w:rPr>
                <w:rFonts w:hint="eastAsia" w:eastAsia="宋体"/>
                <w:sz w:val="20"/>
                <w:szCs w:val="20"/>
                <w:lang w:val="en-US" w:eastAsia="zh-CN"/>
              </w:rPr>
              <w:t>社会</w:t>
            </w:r>
            <w:r>
              <w:rPr>
                <w:rFonts w:hint="eastAsia"/>
                <w:sz w:val="20"/>
                <w:szCs w:val="20"/>
              </w:rPr>
              <w:t>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较好维护社会安全稳定，实际对社会安全稳定有较好促进作用</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较好维护社会安全稳定，实际对社会安全稳定有较好促进作用</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883" w:hRule="exact"/>
          <w:jc w:val="center"/>
        </w:trPr>
        <w:tc>
          <w:tcPr>
            <w:tcW w:w="1109"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14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生态效益指标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13"/>
                <w:szCs w:val="13"/>
                <w:u w:val="none"/>
                <w:shd w:val="clear" w:color="auto" w:fill="auto"/>
                <w:lang w:val="zh-TW" w:eastAsia="zh-TW" w:bidi="zh-TW"/>
              </w:rPr>
            </w:pPr>
            <w:r>
              <w:rPr>
                <w:rFonts w:hint="eastAsia"/>
                <w:color w:val="000000"/>
                <w:spacing w:val="0"/>
                <w:w w:val="100"/>
                <w:position w:val="0"/>
                <w:sz w:val="20"/>
                <w:szCs w:val="20"/>
              </w:rPr>
              <w:t>生态效益指标合理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及时处理生态相关</w:t>
            </w:r>
            <w:r>
              <w:rPr>
                <w:rFonts w:hint="eastAsia" w:eastAsia="宋体" w:cs="Times New Roman"/>
                <w:color w:val="000000"/>
                <w:spacing w:val="0"/>
                <w:w w:val="100"/>
                <w:position w:val="0"/>
                <w:sz w:val="18"/>
                <w:szCs w:val="18"/>
                <w:shd w:val="clear" w:color="auto" w:fill="auto"/>
                <w:lang w:val="en-US" w:eastAsia="zh-CN" w:bidi="en-US"/>
              </w:rPr>
              <w:t>信息</w:t>
            </w: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，维护良好生态</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较好</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033" w:hRule="exact"/>
          <w:jc w:val="center"/>
        </w:trPr>
        <w:tc>
          <w:tcPr>
            <w:tcW w:w="1109"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sz w:val="20"/>
                <w:szCs w:val="20"/>
                <w:lang w:eastAsia="zh-CN"/>
              </w:rPr>
              <w:t>可持续影响指标</w:t>
            </w:r>
          </w:p>
        </w:tc>
        <w:tc>
          <w:tcPr>
            <w:tcW w:w="1219" w:type="dxa"/>
            <w:tcBorders>
              <w:top w:val="single" w:color="auto" w:sz="4" w:space="0"/>
              <w:left w:val="single" w:color="auto" w:sz="4" w:space="0"/>
              <w:bottom w:val="single" w:color="auto"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default" w:ascii="宋体" w:hAnsi="宋体" w:eastAsia="宋体" w:cs="宋体"/>
                <w:color w:val="000000"/>
                <w:spacing w:val="0"/>
                <w:w w:val="100"/>
                <w:position w:val="0"/>
                <w:sz w:val="13"/>
                <w:szCs w:val="13"/>
                <w:u w:val="none"/>
                <w:shd w:val="clear" w:color="auto" w:fill="auto"/>
                <w:lang w:val="en-US" w:eastAsia="zh-CN" w:bidi="zh-TW"/>
              </w:rPr>
            </w:pPr>
            <w:r>
              <w:rPr>
                <w:rFonts w:hint="eastAsia"/>
                <w:sz w:val="20"/>
                <w:szCs w:val="20"/>
                <w:lang w:val="en-US" w:eastAsia="zh-CN"/>
              </w:rPr>
              <w:t>有利于可持续发展</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768" w:hRule="exact"/>
          <w:jc w:val="center"/>
        </w:trPr>
        <w:tc>
          <w:tcPr>
            <w:tcW w:w="1109" w:type="dxa"/>
            <w:vMerge w:val="continue"/>
            <w:tcBorders>
              <w:left w:val="single" w:color="auto" w:sz="4" w:space="0"/>
              <w:bottom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服务对象满意度指标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13"/>
                <w:szCs w:val="13"/>
                <w:shd w:val="clear" w:color="auto" w:fill="auto"/>
                <w:lang w:val="en-US" w:eastAsia="en-US" w:bidi="en-US"/>
              </w:rPr>
            </w:pPr>
            <w:r>
              <w:rPr>
                <w:rFonts w:hint="eastAsia"/>
                <w:sz w:val="20"/>
                <w:szCs w:val="20"/>
              </w:rPr>
              <w:t>人民群众总体满意</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≥95%</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99</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298" w:hRule="exact"/>
          <w:jc w:val="center"/>
        </w:trPr>
        <w:tc>
          <w:tcPr>
            <w:gridSpan w:val="7"/>
            <w:tcBorders>
              <w:top w:val="single" w:color="auto" w:sz="4" w:space="0"/>
              <w:left w:val="single" w:color="auto" w:sz="4" w:space="0"/>
              <w:bottom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总分</w:t>
            </w:r>
          </w:p>
        </w:tc>
        <w:tc>
          <w:tcPr>
            <w:tcBorders>
              <w:top w:val="single" w:color="auto" w:sz="4" w:space="0"/>
              <w:left w:val="single" w:color="auto" w:sz="4" w:space="0"/>
              <w:bottom w:val="single" w:color="auto" w:sz="4" w:space="0"/>
            </w:tcBorders>
            <w:shd w:val="clear" w:color="auto" w:fill="FFFFFF"/>
            <w:vAlign w:val="top"/>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rFonts w:ascii="Times New Roman" w:hAnsi="Times New Roman" w:eastAsia="Times New Roman" w:cs="Times New Roman"/>
                <w:color w:val="000000"/>
                <w:spacing w:val="0"/>
                <w:w w:val="100"/>
                <w:position w:val="0"/>
                <w:sz w:val="20"/>
                <w:szCs w:val="20"/>
              </w:rPr>
              <w:t>100</w:t>
            </w:r>
            <w:r>
              <w:rPr>
                <w:color w:val="000000"/>
                <w:spacing w:val="0"/>
                <w:w w:val="100"/>
                <w:position w:val="0"/>
                <w:sz w:val="20"/>
                <w:szCs w:val="20"/>
              </w:rPr>
              <w:t>分</w:t>
            </w:r>
          </w:p>
        </w:tc>
        <w:tc>
          <w:tcPr>
            <w:tcBorders>
              <w:top w:val="single" w:color="auto" w:sz="4" w:space="0"/>
              <w:left w:val="single" w:color="auto" w:sz="4" w:space="0"/>
              <w:bottom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10"/>
                <w:szCs w:val="10"/>
              </w:rPr>
            </w:pPr>
            <w:r>
              <w:rPr>
                <w:rFonts w:ascii="Times New Roman" w:hAnsi="Times New Roman" w:eastAsia="Times New Roman" w:cs="Times New Roman"/>
                <w:color w:val="000000"/>
                <w:spacing w:val="0"/>
                <w:w w:val="100"/>
                <w:position w:val="0"/>
                <w:sz w:val="20"/>
                <w:szCs w:val="20"/>
              </w:rPr>
              <w:t>100</w:t>
            </w:r>
            <w:r>
              <w:rPr>
                <w:color w:val="000000"/>
                <w:spacing w:val="0"/>
                <w:w w:val="100"/>
                <w:position w:val="0"/>
                <w:sz w:val="20"/>
                <w:szCs w:val="20"/>
              </w:rPr>
              <w:t>分</w:t>
            </w:r>
            <w:bookmarkStart w:id="0" w:name="_GoBack"/>
            <w:bookmarkEnd w:id="0"/>
          </w:p>
        </w:tc>
        <w:tc>
          <w:tcPr>
            <w:tcW w:w="1411"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bl>
    <w:p>
      <w:pPr>
        <w:pStyle w:val="10"/>
        <w:keepNext w:val="0"/>
        <w:keepLines w:val="0"/>
        <w:widowControl w:val="0"/>
        <w:shd w:val="clear" w:color="auto" w:fill="auto"/>
        <w:tabs>
          <w:tab w:val="left" w:pos="2088"/>
          <w:tab w:val="left" w:pos="4099"/>
          <w:tab w:val="left" w:pos="6389"/>
        </w:tabs>
        <w:bidi w:val="0"/>
        <w:spacing w:before="0" w:after="0" w:line="240" w:lineRule="auto"/>
        <w:ind w:left="0" w:leftChars="0" w:right="0" w:firstLine="0" w:firstLineChars="0"/>
        <w:jc w:val="left"/>
        <w:rPr>
          <w:color w:val="000000"/>
          <w:spacing w:val="0"/>
          <w:w w:val="100"/>
          <w:position w:val="0"/>
        </w:rPr>
      </w:pPr>
      <w:r>
        <w:rPr>
          <w:color w:val="000000"/>
          <w:spacing w:val="0"/>
          <w:w w:val="100"/>
          <w:position w:val="0"/>
        </w:rPr>
        <w:t>填表人：</w:t>
      </w:r>
      <w:r>
        <w:rPr>
          <w:rFonts w:hint="eastAsia"/>
          <w:color w:val="000000"/>
          <w:spacing w:val="0"/>
          <w:w w:val="100"/>
          <w:position w:val="0"/>
          <w:lang w:val="en-US" w:eastAsia="zh-CN"/>
        </w:rPr>
        <w:t xml:space="preserve">龙娟     </w:t>
      </w:r>
      <w:r>
        <w:rPr>
          <w:color w:val="000000"/>
          <w:spacing w:val="0"/>
          <w:w w:val="100"/>
          <w:position w:val="0"/>
        </w:rPr>
        <w:t>填报日期：</w:t>
      </w:r>
      <w:r>
        <w:rPr>
          <w:rFonts w:hint="eastAsia"/>
          <w:color w:val="000000"/>
          <w:spacing w:val="0"/>
          <w:w w:val="100"/>
          <w:position w:val="0"/>
          <w:lang w:val="en-US" w:eastAsia="zh-CN"/>
        </w:rPr>
        <w:t>2023.04.25</w:t>
      </w:r>
      <w:r>
        <w:rPr>
          <w:color w:val="000000"/>
          <w:spacing w:val="0"/>
          <w:w w:val="100"/>
          <w:position w:val="0"/>
        </w:rPr>
        <w:tab/>
      </w:r>
      <w:r>
        <w:rPr>
          <w:color w:val="000000"/>
          <w:spacing w:val="0"/>
          <w:w w:val="100"/>
          <w:position w:val="0"/>
        </w:rPr>
        <w:t>联系电话：</w:t>
      </w:r>
      <w:r>
        <w:rPr>
          <w:color w:val="000000"/>
          <w:spacing w:val="0"/>
          <w:w w:val="100"/>
          <w:position w:val="0"/>
        </w:rPr>
        <w:tab/>
      </w:r>
      <w:r>
        <w:rPr>
          <w:color w:val="000000"/>
          <w:spacing w:val="0"/>
          <w:w w:val="100"/>
          <w:position w:val="0"/>
        </w:rPr>
        <w:t>单位负责人签字:</w:t>
      </w:r>
    </w:p>
    <w:p>
      <w:pPr>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eastAsia" w:ascii="仿宋" w:hAnsi="仿宋" w:eastAsia="仿宋" w:cs="仿宋"/>
          <w:b w:val="0"/>
          <w:bCs w:val="0"/>
          <w:sz w:val="32"/>
          <w:szCs w:val="32"/>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lMTBjYzFjNjAwYWE2YTFlOWNjZDlkMWQxMzdmODAifQ=="/>
  </w:docVars>
  <w:rsids>
    <w:rsidRoot w:val="2B5D01A7"/>
    <w:rsid w:val="018D52A0"/>
    <w:rsid w:val="1138217A"/>
    <w:rsid w:val="13CD16C2"/>
    <w:rsid w:val="26416A52"/>
    <w:rsid w:val="2B5D01A7"/>
    <w:rsid w:val="339F04B3"/>
    <w:rsid w:val="5B012879"/>
    <w:rsid w:val="5FD303F8"/>
    <w:rsid w:val="6AF92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120" w:firstLineChars="200"/>
      <w:jc w:val="both"/>
    </w:pPr>
    <w:rPr>
      <w:rFonts w:eastAsia="宋体" w:asciiTheme="minorAscii" w:hAnsiTheme="minorAscii" w:cstheme="minorBidi"/>
      <w:kern w:val="2"/>
      <w:sz w:val="32"/>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ind w:firstLine="0" w:firstLineChars="0"/>
      <w:outlineLvl w:val="0"/>
    </w:pPr>
    <w:rPr>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Body text|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9">
    <w:name w:val="Heading #3|1"/>
    <w:basedOn w:val="1"/>
    <w:qFormat/>
    <w:uiPriority w:val="0"/>
    <w:pPr>
      <w:widowControl w:val="0"/>
      <w:shd w:val="clear" w:color="auto" w:fill="auto"/>
      <w:spacing w:after="380"/>
      <w:outlineLvl w:val="2"/>
    </w:pPr>
    <w:rPr>
      <w:rFonts w:ascii="宋体" w:hAnsi="宋体" w:eastAsia="宋体" w:cs="宋体"/>
      <w:sz w:val="42"/>
      <w:szCs w:val="42"/>
      <w:u w:val="none"/>
      <w:shd w:val="clear" w:color="auto" w:fill="auto"/>
      <w:lang w:val="zh-TW" w:eastAsia="zh-TW" w:bidi="zh-TW"/>
    </w:rPr>
  </w:style>
  <w:style w:type="paragraph" w:customStyle="1" w:styleId="10">
    <w:name w:val="Table caption|1"/>
    <w:basedOn w:val="1"/>
    <w:qFormat/>
    <w:uiPriority w:val="0"/>
    <w:pPr>
      <w:widowControl w:val="0"/>
      <w:shd w:val="clear" w:color="auto" w:fill="auto"/>
      <w:spacing w:line="307" w:lineRule="exact"/>
    </w:pPr>
    <w:rPr>
      <w:rFonts w:ascii="宋体" w:hAnsi="宋体" w:eastAsia="宋体" w:cs="宋体"/>
      <w:sz w:val="20"/>
      <w:szCs w:val="20"/>
      <w:u w:val="none"/>
      <w:shd w:val="clear" w:color="auto" w:fill="auto"/>
      <w:lang w:val="zh-TW" w:eastAsia="zh-TW" w:bidi="zh-TW"/>
    </w:rPr>
  </w:style>
  <w:style w:type="paragraph" w:customStyle="1" w:styleId="11">
    <w:name w:val="Other|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12">
    <w:name w:val="Other|2"/>
    <w:basedOn w:val="1"/>
    <w:qFormat/>
    <w:uiPriority w:val="0"/>
    <w:pPr>
      <w:widowControl w:val="0"/>
      <w:shd w:val="clear" w:color="auto" w:fill="auto"/>
      <w:spacing w:before="180" w:line="225" w:lineRule="exact"/>
      <w:ind w:left="140" w:firstLine="2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1995</Words>
  <Characters>2079</Characters>
  <Lines>0</Lines>
  <Paragraphs>0</Paragraphs>
  <TotalTime>0</TotalTime>
  <ScaleCrop>false</ScaleCrop>
  <LinksUpToDate>false</LinksUpToDate>
  <CharactersWithSpaces>2090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2023-04-24T09:09:00Z</dcterms:created>
  <dc:creator>乘风而翔</dc:creator>
  <cp:lastModifiedBy>资阳区政府办公室</cp:lastModifiedBy>
  <cp:lastPrinted>2023-04-27T01:48:17Z</cp:lastPrinted>
  <dcterms:modified xsi:type="dcterms:W3CDTF">2023-04-27T01:56:47Z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A40D65143E354337AC44817738F5ADBC_11</vt:lpwstr>
  </property>
</Properties>
</file>