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b/>
          <w:bCs/>
          <w:sz w:val="44"/>
          <w:szCs w:val="44"/>
          <w:highlight w:val="none"/>
        </w:rPr>
      </w:pPr>
      <w:r>
        <w:rPr>
          <w:rFonts w:hint="eastAsia" w:ascii="黑体" w:hAnsi="黑体" w:eastAsia="黑体" w:cs="黑体"/>
          <w:b/>
          <w:bCs/>
          <w:sz w:val="44"/>
          <w:szCs w:val="44"/>
          <w:highlight w:val="none"/>
          <w:lang w:val="en-US" w:eastAsia="zh-CN"/>
        </w:rPr>
        <w:t>2022年度</w:t>
      </w:r>
      <w:r>
        <w:rPr>
          <w:rFonts w:hint="eastAsia" w:ascii="黑体" w:hAnsi="黑体" w:eastAsia="黑体" w:cs="黑体"/>
          <w:b/>
          <w:bCs/>
          <w:sz w:val="44"/>
          <w:szCs w:val="44"/>
          <w:highlight w:val="none"/>
        </w:rPr>
        <w:t>益阳市资阳区人民政府办公室</w:t>
      </w:r>
    </w:p>
    <w:p>
      <w:pPr>
        <w:ind w:left="0" w:leftChars="0" w:firstLine="0" w:firstLineChars="0"/>
        <w:jc w:val="center"/>
        <w:rPr>
          <w:rFonts w:hint="eastAsia" w:ascii="黑体" w:hAnsi="黑体" w:eastAsia="黑体" w:cs="黑体"/>
          <w:b/>
          <w:bCs/>
          <w:sz w:val="44"/>
          <w:szCs w:val="44"/>
          <w:highlight w:val="none"/>
          <w:lang w:eastAsia="zh-CN"/>
        </w:rPr>
      </w:pPr>
      <w:r>
        <w:rPr>
          <w:rFonts w:hint="eastAsia" w:ascii="黑体" w:hAnsi="黑体" w:eastAsia="黑体" w:cs="黑体"/>
          <w:b/>
          <w:bCs/>
          <w:sz w:val="44"/>
          <w:szCs w:val="44"/>
          <w:highlight w:val="none"/>
          <w:lang w:eastAsia="zh-CN"/>
        </w:rPr>
        <w:t>政府公报项目支出绩效评价报告</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eastAsia="zh-CN"/>
        </w:rPr>
        <w:t>为进一步规范财政资金管理，牢固树立预算绩效理念，强化部门支出责任，提高财政资金使用效益，根据《中共中央</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国务院关于全面实施预算绩效管理的意见》（中发〔2018〕34号）、《财政部关于印发〈项目支出绩效评价管理办法〉的通知〉财预〔2020〕10号）和《中共湖南省委办公厅</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lang w:eastAsia="zh-CN"/>
        </w:rPr>
        <w:t>湖南省人民政府办公厅关于全面实施预算绩效管理的实施意见》（湘办发〔2019〕10号）等有关文件精神，将2022年度益阳市资阳区人民政府办公室部门政府公报项目支出绩效自评工作有关事项报告如下：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val="en-US" w:eastAsia="zh-CN"/>
        </w:rPr>
        <w:t>一、</w:t>
      </w:r>
      <w:r>
        <w:rPr>
          <w:rFonts w:hint="eastAsia" w:ascii="黑体" w:hAnsi="黑体" w:eastAsia="黑体" w:cs="黑体"/>
          <w:b/>
          <w:bCs/>
          <w:sz w:val="32"/>
          <w:szCs w:val="32"/>
          <w:lang w:eastAsia="zh-CN"/>
        </w:rPr>
        <w:t>项目概况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项目基本性质：年初预算项目。</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用途和主要内容：做好区政府和区政府办公室信息发布工作，编辑《益阳市资阳区人民政府公报》。</w:t>
      </w:r>
    </w:p>
    <w:p>
      <w:pPr>
        <w:pStyle w:val="2"/>
        <w:rPr>
          <w:rFonts w:hint="default"/>
          <w:lang w:val="en-US" w:eastAsia="zh-CN"/>
        </w:rPr>
      </w:pPr>
      <w:r>
        <w:rPr>
          <w:rFonts w:hint="eastAsia" w:ascii="仿宋" w:hAnsi="仿宋" w:eastAsia="仿宋" w:cs="仿宋"/>
          <w:b w:val="0"/>
          <w:bCs w:val="0"/>
          <w:sz w:val="32"/>
          <w:szCs w:val="32"/>
          <w:lang w:val="en-US" w:eastAsia="zh-CN"/>
        </w:rPr>
        <w:t>3、财政拨款情况：一般公共预算当年指标35万元。</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二、绩效评价工作开展情况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专人专办负责该工作，设有</w:t>
      </w:r>
      <w:r>
        <w:rPr>
          <w:rFonts w:hint="eastAsia" w:ascii="仿宋" w:hAnsi="仿宋" w:eastAsia="仿宋" w:cs="仿宋"/>
          <w:b w:val="0"/>
          <w:bCs w:val="0"/>
          <w:sz w:val="32"/>
          <w:szCs w:val="32"/>
          <w:lang w:eastAsia="zh-CN"/>
        </w:rPr>
        <w:t>经济研究室。负责起草《政府工作报告》、区政府主要领导同志重要讲话、重要汇报材料和综合性材料；参与起草区政府重要规范性文件；围绕区政府中心工作，牵头组织调查研究，提出意见建议，推广典型；定期综合分析经济工作形势，撰写分析报告；编辑《资阳经济》等内部刊物。</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三、综合评价结论</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2022年度绩效自评得分为100分</w:t>
      </w:r>
      <w:bookmarkStart w:id="0" w:name="_GoBack"/>
      <w:bookmarkEnd w:id="0"/>
      <w:r>
        <w:rPr>
          <w:rFonts w:hint="eastAsia" w:ascii="仿宋" w:hAnsi="仿宋" w:eastAsia="仿宋" w:cs="仿宋"/>
          <w:b w:val="0"/>
          <w:bCs w:val="0"/>
          <w:sz w:val="32"/>
          <w:szCs w:val="32"/>
          <w:lang w:val="en-US" w:eastAsia="zh-CN"/>
        </w:rPr>
        <w:t>，自评结论为“优秀”。</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四、绩效目标实现情况分析</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（一）项目资金使用及管理情况</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1、项目资金安排、使用情况分析：年初预算安排35万元，实际支付35万元，结余为0万元。按照既定目标和工作要求使用于</w:t>
      </w:r>
      <w:r>
        <w:rPr>
          <w:rFonts w:hint="eastAsia" w:ascii="仿宋" w:hAnsi="仿宋" w:eastAsia="仿宋" w:cs="仿宋"/>
          <w:b w:val="0"/>
          <w:bCs w:val="0"/>
          <w:sz w:val="32"/>
          <w:szCs w:val="32"/>
          <w:lang w:eastAsia="zh-CN"/>
        </w:rPr>
        <w:t>起草《政府工作报告》、区政府主要领导同志重要讲话、重要汇报材料和综合性材料；参与起草区政府重要规范性文件；围绕区政府中心工作，牵头组织调查研究，提出意见建议，推广典型；定期综合分析经济工作形势，撰写分析报告；编辑《资阳经济》等内部刊物等工作。</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val="0"/>
          <w:bCs w:val="0"/>
          <w:kern w:val="2"/>
          <w:sz w:val="32"/>
          <w:szCs w:val="32"/>
          <w:u w:val="none"/>
          <w:shd w:val="clear"/>
          <w:lang w:val="en-US" w:eastAsia="zh-CN" w:bidi="ar-SA"/>
        </w:rPr>
      </w:pPr>
      <w:r>
        <w:rPr>
          <w:rFonts w:hint="eastAsia" w:ascii="仿宋" w:hAnsi="仿宋" w:eastAsia="仿宋" w:cs="仿宋"/>
          <w:b w:val="0"/>
          <w:bCs w:val="0"/>
          <w:kern w:val="2"/>
          <w:sz w:val="32"/>
          <w:szCs w:val="32"/>
          <w:u w:val="none"/>
          <w:shd w:val="clear"/>
          <w:lang w:val="en-US" w:eastAsia="zh-CN" w:bidi="ar-SA"/>
        </w:rPr>
        <w:t>2、项目资金管理情况分析： 为切实做好政府公报工作，我单位每年在资阳区人民政府官网公开了一系列规范性文件。</w:t>
      </w:r>
    </w:p>
    <w:p>
      <w:pPr>
        <w:pStyle w:val="7"/>
        <w:keepNext w:val="0"/>
        <w:keepLines w:val="0"/>
        <w:widowControl w:val="0"/>
        <w:shd w:val="clear" w:color="auto" w:fill="auto"/>
        <w:tabs>
          <w:tab w:val="left" w:pos="1692"/>
        </w:tabs>
        <w:bidi w:val="0"/>
        <w:spacing w:before="0" w:after="220" w:line="610" w:lineRule="exact"/>
        <w:ind w:right="0"/>
        <w:jc w:val="both"/>
        <w:rPr>
          <w:rFonts w:hint="eastAsia" w:ascii="仿宋" w:hAnsi="仿宋" w:eastAsia="仿宋" w:cs="仿宋"/>
          <w:b/>
          <w:bCs/>
          <w:kern w:val="2"/>
          <w:sz w:val="32"/>
          <w:szCs w:val="32"/>
          <w:u w:val="none"/>
          <w:shd w:val="clear"/>
          <w:lang w:val="en-US" w:eastAsia="zh-CN" w:bidi="ar-SA"/>
        </w:rPr>
      </w:pPr>
      <w:r>
        <w:rPr>
          <w:rFonts w:hint="eastAsia" w:ascii="仿宋" w:hAnsi="仿宋" w:eastAsia="仿宋" w:cs="仿宋"/>
          <w:b/>
          <w:bCs/>
          <w:kern w:val="2"/>
          <w:sz w:val="32"/>
          <w:szCs w:val="32"/>
          <w:u w:val="none"/>
          <w:shd w:val="clear"/>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注意收集素材，及时掌握有关情况。对起草、修改的公文、讲话，尽量采用合理的结构，把握好内容，力求文字简洁、意思表达准确，努力做到字斟句酌，精益求精。传达学习了《国务院办公厅关于进一步加强政府信息公开保密审查工作的通知》，进一步落实保密责任制，坚持严把文字关、严把政策关。全年草拟各类汇报、领导讲话材料130余份、《政府工作报告》1份，全年印发公文230余份，收文2774件，发文230件。服务区政府常务会19次，区政府党组（扩大）会议9次，电视电话会议90余次。主动打通了区至乡至村的视频会议系统，为疫情防控和应急处置工作筑好基础平台。</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五、存在的问题和改进措施</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1、部门预算执行情况方面还需要进一步细化和规范，预算编制及调整管理有待加强。</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jc w:val="both"/>
        <w:textAlignment w:val="auto"/>
        <w:rPr>
          <w:rFonts w:hint="eastAsia"/>
          <w:lang w:eastAsia="zh-CN"/>
        </w:rPr>
      </w:pPr>
      <w:r>
        <w:rPr>
          <w:rFonts w:hint="eastAsia" w:ascii="仿宋" w:hAnsi="仿宋" w:eastAsia="仿宋" w:cs="仿宋"/>
          <w:b w:val="0"/>
          <w:bCs w:val="0"/>
          <w:sz w:val="32"/>
          <w:szCs w:val="32"/>
          <w:lang w:val="en-US" w:eastAsia="zh-CN"/>
        </w:rPr>
        <w:t>2、对全面实施绩效评价的工作理念没有完整的意识，重视程度不够，对相关结果的运用程度还不够高。</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按照区财政局相关通知要求，我部门在规定时间及网站向社会公开本部门预决算信息、部门绩效目标和整体绩效自评情况。</w:t>
      </w:r>
    </w:p>
    <w:p>
      <w:pPr>
        <w:keepNext w:val="0"/>
        <w:keepLines w:val="0"/>
        <w:pageBreakBefore w:val="0"/>
        <w:widowControl w:val="0"/>
        <w:kinsoku/>
        <w:wordWrap/>
        <w:overflowPunct/>
        <w:topLinePunct w:val="0"/>
        <w:autoSpaceDE/>
        <w:autoSpaceDN/>
        <w:bidi w:val="0"/>
        <w:adjustRightInd/>
        <w:snapToGrid/>
        <w:ind w:left="0" w:leftChars="0"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七、其他需要说明的情况</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无其他需要说明的情况。</w:t>
      </w:r>
    </w:p>
    <w:p>
      <w:pPr>
        <w:pStyle w:val="2"/>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附件：2022年度政府公报项目支岀绩效自评表</w:t>
      </w:r>
    </w:p>
    <w:p>
      <w:pPr>
        <w:pStyle w:val="2"/>
        <w:rPr>
          <w:rFonts w:hint="eastAsia" w:ascii="仿宋" w:hAnsi="仿宋" w:eastAsia="仿宋" w:cs="仿宋"/>
          <w:b w:val="0"/>
          <w:bCs w:val="0"/>
          <w:sz w:val="32"/>
          <w:szCs w:val="32"/>
          <w:lang w:eastAsia="zh-CN"/>
        </w:rPr>
      </w:pPr>
    </w:p>
    <w:p>
      <w:pPr>
        <w:pStyle w:val="2"/>
        <w:rPr>
          <w:rFonts w:hint="eastAsia" w:ascii="仿宋" w:hAnsi="仿宋" w:eastAsia="仿宋" w:cs="仿宋"/>
          <w:b w:val="0"/>
          <w:bCs w:val="0"/>
          <w:sz w:val="32"/>
          <w:szCs w:val="32"/>
          <w:lang w:eastAsia="zh-CN"/>
        </w:rPr>
      </w:pPr>
    </w:p>
    <w:p>
      <w:pPr>
        <w:pStyle w:val="2"/>
        <w:rPr>
          <w:rFonts w:hint="eastAsia" w:ascii="仿宋" w:hAnsi="仿宋" w:eastAsia="仿宋" w:cs="仿宋"/>
          <w:b w:val="0"/>
          <w:bCs w:val="0"/>
          <w:sz w:val="32"/>
          <w:szCs w:val="32"/>
          <w:lang w:eastAsia="zh-CN"/>
        </w:rPr>
      </w:pPr>
    </w:p>
    <w:p>
      <w:pPr>
        <w:pStyle w:val="2"/>
        <w:rPr>
          <w:color w:val="000000"/>
          <w:spacing w:val="0"/>
          <w:w w:val="100"/>
          <w:position w:val="0"/>
        </w:rPr>
      </w:pPr>
      <w:r>
        <w:rPr>
          <w:rFonts w:ascii="Times New Roman" w:hAnsi="Times New Roman" w:eastAsia="Times New Roman" w:cs="Times New Roman"/>
          <w:color w:val="000000"/>
          <w:spacing w:val="0"/>
          <w:w w:val="100"/>
          <w:position w:val="0"/>
          <w:sz w:val="36"/>
          <w:szCs w:val="36"/>
        </w:rPr>
        <w:t>2022</w:t>
      </w:r>
      <w:r>
        <w:rPr>
          <w:color w:val="000000"/>
          <w:spacing w:val="0"/>
          <w:w w:val="100"/>
          <w:position w:val="0"/>
          <w:sz w:val="34"/>
          <w:szCs w:val="34"/>
        </w:rPr>
        <w:t>年度</w:t>
      </w:r>
      <w:r>
        <w:rPr>
          <w:rFonts w:hint="eastAsia"/>
          <w:color w:val="000000"/>
          <w:spacing w:val="0"/>
          <w:w w:val="100"/>
          <w:position w:val="0"/>
          <w:sz w:val="34"/>
          <w:szCs w:val="34"/>
        </w:rPr>
        <w:t>政府公报</w:t>
      </w:r>
      <w:r>
        <w:rPr>
          <w:color w:val="000000"/>
          <w:spacing w:val="0"/>
          <w:w w:val="100"/>
          <w:position w:val="0"/>
          <w:sz w:val="34"/>
          <w:szCs w:val="34"/>
        </w:rPr>
        <w:t>项目支岀绩效自评表</w:t>
      </w:r>
    </w:p>
    <w:tbl>
      <w:tblPr>
        <w:tblStyle w:val="5"/>
        <w:tblW w:w="9830" w:type="dxa"/>
        <w:jc w:val="center"/>
        <w:tblLayout w:type="fixed"/>
        <w:tblCellMar>
          <w:top w:w="0" w:type="dxa"/>
          <w:left w:w="10" w:type="dxa"/>
          <w:bottom w:w="0" w:type="dxa"/>
          <w:right w:w="10" w:type="dxa"/>
        </w:tblCellMar>
      </w:tblPr>
      <w:tblGrid>
        <w:gridCol w:w="1109"/>
        <w:gridCol w:w="1070"/>
        <w:gridCol w:w="1070"/>
        <w:gridCol w:w="1219"/>
        <w:gridCol w:w="1123"/>
        <w:gridCol w:w="7"/>
        <w:gridCol w:w="1131"/>
        <w:gridCol w:w="826"/>
        <w:gridCol w:w="864"/>
        <w:gridCol w:w="1411"/>
      </w:tblGrid>
      <w:tr>
        <w:tblPrEx>
          <w:tblCellMar>
            <w:top w:w="0" w:type="dxa"/>
            <w:left w:w="10" w:type="dxa"/>
            <w:bottom w:w="0" w:type="dxa"/>
            <w:right w:w="10" w:type="dxa"/>
          </w:tblCellMar>
        </w:tblPrEx>
        <w:trPr>
          <w:trHeight w:val="370" w:hRule="exact"/>
          <w:jc w:val="center"/>
        </w:trPr>
        <w:tc>
          <w:tcPr>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项目名称</w:t>
            </w:r>
          </w:p>
        </w:tc>
        <w:tc>
          <w:tcPr>
            <w:gridSpan w:val="9"/>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政府公报</w:t>
            </w:r>
          </w:p>
        </w:tc>
      </w:tr>
      <w:tr>
        <w:tblPrEx>
          <w:tblCellMar>
            <w:top w:w="0" w:type="dxa"/>
            <w:left w:w="10" w:type="dxa"/>
            <w:bottom w:w="0" w:type="dxa"/>
            <w:right w:w="10" w:type="dxa"/>
          </w:tblCellMar>
        </w:tblPrEx>
        <w:trPr>
          <w:trHeight w:val="288" w:hRule="exact"/>
          <w:jc w:val="center"/>
        </w:trPr>
        <w:tc>
          <w:tcPr>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主管部门</w:t>
            </w:r>
          </w:p>
        </w:tc>
        <w:tc>
          <w:tcPr>
            <w:gridSpan w:val="4"/>
            <w:tcBorders>
              <w:top w:val="single" w:color="auto" w:sz="4" w:space="0"/>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c>
          <w:tcPr>
            <w:gridSpan w:val="2"/>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both"/>
              <w:textAlignment w:val="auto"/>
              <w:rPr>
                <w:sz w:val="20"/>
                <w:szCs w:val="20"/>
              </w:rPr>
            </w:pPr>
            <w:r>
              <w:rPr>
                <w:color w:val="000000"/>
                <w:spacing w:val="0"/>
                <w:w w:val="100"/>
                <w:position w:val="0"/>
                <w:sz w:val="20"/>
                <w:szCs w:val="20"/>
              </w:rPr>
              <w:t>实施单位</w:t>
            </w:r>
          </w:p>
        </w:tc>
        <w:tc>
          <w:tcPr>
            <w:gridSpan w:val="3"/>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jc w:val="both"/>
              <w:textAlignment w:val="auto"/>
              <w:rPr>
                <w:sz w:val="20"/>
                <w:szCs w:val="20"/>
              </w:rPr>
            </w:pPr>
            <w:r>
              <w:rPr>
                <w:rFonts w:hint="eastAsia"/>
                <w:sz w:val="20"/>
                <w:szCs w:val="20"/>
              </w:rPr>
              <w:t>益阳市资阳区人民政府办公室</w:t>
            </w:r>
          </w:p>
        </w:tc>
      </w:tr>
      <w:tr>
        <w:tblPrEx>
          <w:tblCellMar>
            <w:top w:w="0" w:type="dxa"/>
            <w:left w:w="10" w:type="dxa"/>
            <w:bottom w:w="0" w:type="dxa"/>
            <w:right w:w="10" w:type="dxa"/>
          </w:tblCellMar>
        </w:tblPrEx>
        <w:trPr>
          <w:trHeight w:val="547" w:hRule="exact"/>
          <w:jc w:val="center"/>
        </w:trPr>
        <w:tc>
          <w:tcPr>
            <w:vMerge w:val="restart"/>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74" w:lineRule="exact"/>
              <w:ind w:left="220" w:right="0" w:firstLine="0" w:firstLineChars="0"/>
              <w:jc w:val="left"/>
              <w:textAlignment w:val="auto"/>
              <w:rPr>
                <w:sz w:val="20"/>
                <w:szCs w:val="20"/>
              </w:rPr>
            </w:pPr>
            <w:r>
              <w:rPr>
                <w:color w:val="000000"/>
                <w:spacing w:val="0"/>
                <w:w w:val="100"/>
                <w:position w:val="0"/>
                <w:sz w:val="20"/>
                <w:szCs w:val="20"/>
              </w:rPr>
              <w:t>项目资金: （万元）</w:t>
            </w:r>
          </w:p>
        </w:tc>
        <w:tc>
          <w:tcPr>
            <w:tcW w:w="2140" w:type="dxa"/>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219" w:type="dxa"/>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年初预算数</w:t>
            </w:r>
          </w:p>
        </w:tc>
        <w:tc>
          <w:tcPr>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全年预算数</w:t>
            </w:r>
          </w:p>
        </w:tc>
        <w:tc>
          <w:tcPr>
            <w:gridSpan w:val="2"/>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78" w:lineRule="exact"/>
              <w:ind w:left="0" w:right="0" w:firstLine="0" w:firstLineChars="0"/>
              <w:jc w:val="center"/>
              <w:textAlignment w:val="auto"/>
              <w:rPr>
                <w:sz w:val="20"/>
                <w:szCs w:val="20"/>
              </w:rPr>
            </w:pPr>
            <w:r>
              <w:rPr>
                <w:color w:val="000000"/>
                <w:spacing w:val="0"/>
                <w:w w:val="100"/>
                <w:position w:val="0"/>
                <w:sz w:val="20"/>
                <w:szCs w:val="20"/>
              </w:rPr>
              <w:t>全年执行数</w:t>
            </w:r>
          </w:p>
        </w:tc>
        <w:tc>
          <w:tcPr>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执行率</w:t>
            </w:r>
          </w:p>
        </w:tc>
        <w:tc>
          <w:tcPr>
            <w:tcW w:w="1411" w:type="dxa"/>
            <w:tcBorders>
              <w:top w:val="single" w:color="auto" w:sz="4" w:space="0"/>
              <w:left w:val="single" w:color="auto" w:sz="4" w:space="0"/>
              <w:righ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bottom"/>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年度资金总额</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eastAsia="宋体"/>
                <w:sz w:val="20"/>
                <w:szCs w:val="20"/>
                <w:lang w:val="en-US" w:eastAsia="zh-CN"/>
              </w:rPr>
            </w:pPr>
            <w:r>
              <w:rPr>
                <w:rFonts w:hint="eastAsia" w:eastAsia="宋体"/>
                <w:sz w:val="20"/>
                <w:szCs w:val="20"/>
                <w:lang w:val="en-US" w:eastAsia="zh-CN"/>
              </w:rPr>
              <w:t>35</w:t>
            </w:r>
          </w:p>
        </w:tc>
        <w:tc>
          <w:tcPr>
            <w:tcBorders>
              <w:top w:val="single" w:color="auto" w:sz="4" w:space="0"/>
              <w:left w:val="single" w:color="auto" w:sz="4" w:space="0"/>
            </w:tcBorders>
            <w:shd w:val="clear" w:color="auto" w:fill="FFFFFF"/>
            <w:vAlign w:val="bottom"/>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rFonts w:ascii="Times New Roman" w:hAnsi="Times New Roman" w:eastAsia="Times New Roman" w:cs="Times New Roman"/>
                <w:color w:val="000000"/>
                <w:spacing w:val="0"/>
                <w:w w:val="100"/>
                <w:position w:val="0"/>
                <w:sz w:val="20"/>
                <w:szCs w:val="20"/>
              </w:rPr>
              <w:t>10</w:t>
            </w:r>
            <w:r>
              <w:rPr>
                <w:color w:val="000000"/>
                <w:spacing w:val="0"/>
                <w:w w:val="100"/>
                <w:position w:val="0"/>
                <w:sz w:val="20"/>
                <w:szCs w:val="20"/>
              </w:rPr>
              <w:t>分</w:t>
            </w: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b w:val="0"/>
                <w:bCs w:val="0"/>
                <w:color w:val="000000"/>
                <w:spacing w:val="0"/>
                <w:w w:val="100"/>
                <w:position w:val="0"/>
                <w:sz w:val="20"/>
                <w:szCs w:val="20"/>
                <w:shd w:val="clear" w:color="auto" w:fill="auto"/>
                <w:lang w:val="en-US" w:eastAsia="zh-CN" w:bidi="en-US"/>
              </w:rPr>
            </w:pPr>
            <w:r>
              <w:rPr>
                <w:rFonts w:hint="eastAsia" w:eastAsia="宋体"/>
                <w:b w:val="0"/>
                <w:bCs w:val="0"/>
                <w:sz w:val="20"/>
                <w:szCs w:val="20"/>
                <w:lang w:val="en-US" w:eastAsia="zh-CN"/>
              </w:rPr>
              <w:t>100%</w:t>
            </w: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r>
      <w:tr>
        <w:tblPrEx>
          <w:tblCellMar>
            <w:top w:w="0" w:type="dxa"/>
            <w:left w:w="10" w:type="dxa"/>
            <w:bottom w:w="0" w:type="dxa"/>
            <w:right w:w="10" w:type="dxa"/>
          </w:tblCellMar>
        </w:tblPrEx>
        <w:trPr>
          <w:trHeight w:val="283"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其中：当年财政拨款</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35</w:t>
            </w: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35</w:t>
            </w: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8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上年结转资金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tcW w:w="2140" w:type="dxa"/>
            <w:gridSpan w:val="2"/>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其他资金</w:t>
            </w:r>
          </w:p>
        </w:tc>
        <w:tc>
          <w:tcPr>
            <w:tcW w:w="1219"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gridSpan w:val="2"/>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864"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c>
          <w:tcPr>
            <w:tcW w:w="1411" w:type="dxa"/>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r>
        <w:tblPrEx>
          <w:tblCellMar>
            <w:top w:w="0" w:type="dxa"/>
            <w:left w:w="10" w:type="dxa"/>
            <w:bottom w:w="0" w:type="dxa"/>
            <w:right w:w="10" w:type="dxa"/>
          </w:tblCellMar>
        </w:tblPrEx>
        <w:trPr>
          <w:trHeight w:val="278" w:hRule="exact"/>
          <w:jc w:val="center"/>
        </w:trPr>
        <w:tc>
          <w:tcPr>
            <w:vMerge w:val="restart"/>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64" w:lineRule="exact"/>
              <w:ind w:left="0" w:right="0" w:firstLine="0" w:firstLineChars="0"/>
              <w:jc w:val="center"/>
              <w:textAlignment w:val="auto"/>
              <w:rPr>
                <w:sz w:val="20"/>
                <w:szCs w:val="20"/>
              </w:rPr>
            </w:pPr>
            <w:r>
              <w:rPr>
                <w:color w:val="000000"/>
                <w:spacing w:val="0"/>
                <w:w w:val="100"/>
                <w:position w:val="0"/>
                <w:sz w:val="20"/>
                <w:szCs w:val="20"/>
              </w:rPr>
              <w:t>年度总体 目标</w:t>
            </w:r>
          </w:p>
        </w:tc>
        <w:tc>
          <w:tcPr>
            <w:gridSpan w:val="4"/>
            <w:tcBorders>
              <w:top w:val="single" w:color="auto" w:sz="4" w:space="0"/>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预期目标</w:t>
            </w:r>
          </w:p>
        </w:tc>
        <w:tc>
          <w:tcPr>
            <w:gridSpan w:val="5"/>
            <w:tcBorders>
              <w:top w:val="single" w:color="auto" w:sz="4" w:space="0"/>
              <w:left w:val="single" w:color="auto" w:sz="4" w:space="0"/>
              <w:righ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实际完成情况</w:t>
            </w:r>
          </w:p>
        </w:tc>
      </w:tr>
      <w:tr>
        <w:tblPrEx>
          <w:tblCellMar>
            <w:top w:w="0" w:type="dxa"/>
            <w:left w:w="10" w:type="dxa"/>
            <w:bottom w:w="0" w:type="dxa"/>
            <w:right w:w="10" w:type="dxa"/>
          </w:tblCellMar>
        </w:tblPrEx>
        <w:trPr>
          <w:trHeight w:val="833" w:hRule="exact"/>
          <w:jc w:val="center"/>
        </w:trPr>
        <w:tc>
          <w:tcPr>
            <w:vMerge w:val="continue"/>
            <w:tcBorders>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pPr>
          </w:p>
        </w:tc>
        <w:tc>
          <w:tcPr>
            <w:gridSpan w:val="4"/>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21"/>
                <w:szCs w:val="21"/>
              </w:rPr>
            </w:pPr>
            <w:r>
              <w:rPr>
                <w:rFonts w:hint="eastAsia"/>
                <w:sz w:val="22"/>
                <w:szCs w:val="22"/>
              </w:rPr>
              <w:t>做好区政府和区政府办公室信息发布工作，编辑《益阳市资阳区人民政府公报》。</w:t>
            </w:r>
          </w:p>
        </w:tc>
        <w:tc>
          <w:tcPr>
            <w:gridSpan w:val="5"/>
            <w:tcBorders>
              <w:top w:val="single" w:color="auto" w:sz="4" w:space="0"/>
              <w:left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21"/>
                <w:szCs w:val="21"/>
              </w:rPr>
            </w:pPr>
            <w:r>
              <w:rPr>
                <w:rFonts w:hint="eastAsia"/>
                <w:sz w:val="22"/>
                <w:szCs w:val="22"/>
              </w:rPr>
              <w:t>做好区政府和区政府办公室信息发布工作，编辑《益阳市资阳区人民政府公报》。</w:t>
            </w:r>
          </w:p>
        </w:tc>
      </w:tr>
      <w:tr>
        <w:tblPrEx>
          <w:tblCellMar>
            <w:top w:w="0" w:type="dxa"/>
            <w:left w:w="10" w:type="dxa"/>
            <w:bottom w:w="0" w:type="dxa"/>
            <w:right w:w="10" w:type="dxa"/>
          </w:tblCellMar>
        </w:tblPrEx>
        <w:trPr>
          <w:trHeight w:val="725" w:hRule="exact"/>
          <w:jc w:val="center"/>
        </w:trPr>
        <w:tc>
          <w:tcPr>
            <w:tcW w:w="1109" w:type="dxa"/>
            <w:vMerge w:val="restart"/>
            <w:tcBorders>
              <w:top w:val="single" w:color="auto" w:sz="4" w:space="0"/>
              <w:left w:val="single" w:color="auto" w:sz="4" w:space="0"/>
            </w:tcBorders>
            <w:shd w:val="clear" w:color="auto" w:fill="FFFFFF"/>
            <w:textDirection w:val="tbRlV"/>
            <w:vAlign w:val="center"/>
          </w:tcPr>
          <w:p>
            <w:pPr>
              <w:pStyle w:val="10"/>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pPr>
            <w:r>
              <w:rPr>
                <w:color w:val="000000"/>
                <w:spacing w:val="0"/>
                <w:w w:val="100"/>
                <w:position w:val="0"/>
              </w:rPr>
              <w:t>绩效指标</w:t>
            </w:r>
          </w:p>
        </w:tc>
        <w:tc>
          <w:tcPr>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一级指标</w:t>
            </w:r>
          </w:p>
        </w:tc>
        <w:tc>
          <w:tcPr>
            <w:tcW w:w="1070" w:type="dxa"/>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left"/>
              <w:textAlignment w:val="auto"/>
              <w:rPr>
                <w:sz w:val="20"/>
                <w:szCs w:val="20"/>
              </w:rPr>
            </w:pPr>
            <w:r>
              <w:rPr>
                <w:color w:val="000000"/>
                <w:spacing w:val="0"/>
                <w:w w:val="100"/>
                <w:position w:val="0"/>
                <w:sz w:val="20"/>
                <w:szCs w:val="20"/>
              </w:rPr>
              <w:t>二级指标</w:t>
            </w:r>
          </w:p>
        </w:tc>
        <w:tc>
          <w:tcPr>
            <w:tcW w:w="1219" w:type="dxa"/>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三级指标</w:t>
            </w:r>
          </w:p>
        </w:tc>
        <w:tc>
          <w:tcPr>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年度指标值</w:t>
            </w:r>
          </w:p>
        </w:tc>
        <w:tc>
          <w:tcPr>
            <w:gridSpan w:val="2"/>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right="0" w:firstLine="0" w:firstLineChars="0"/>
              <w:jc w:val="center"/>
              <w:textAlignment w:val="auto"/>
              <w:rPr>
                <w:sz w:val="20"/>
                <w:szCs w:val="20"/>
              </w:rPr>
            </w:pPr>
            <w:r>
              <w:rPr>
                <w:color w:val="000000"/>
                <w:spacing w:val="0"/>
                <w:w w:val="100"/>
                <w:position w:val="0"/>
                <w:sz w:val="20"/>
                <w:szCs w:val="20"/>
              </w:rPr>
              <w:t>实际完成值</w:t>
            </w:r>
          </w:p>
        </w:tc>
        <w:tc>
          <w:tcPr>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分值</w:t>
            </w:r>
          </w:p>
        </w:tc>
        <w:tc>
          <w:tcPr>
            <w:tcW w:w="864" w:type="dxa"/>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得分</w:t>
            </w:r>
          </w:p>
        </w:tc>
        <w:tc>
          <w:tcPr>
            <w:tcW w:w="1411" w:type="dxa"/>
            <w:tcBorders>
              <w:top w:val="single" w:color="auto" w:sz="4" w:space="0"/>
              <w:left w:val="single" w:color="auto" w:sz="4" w:space="0"/>
              <w:right w:val="single" w:color="auto" w:sz="4" w:space="0"/>
            </w:tcBorders>
            <w:shd w:val="clear" w:color="auto" w:fill="FFFFFF"/>
            <w:vAlign w:val="bottom"/>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偏差原因分析及</w:t>
            </w:r>
            <w:r>
              <w:rPr>
                <w:rFonts w:hint="eastAsia"/>
                <w:color w:val="000000"/>
                <w:spacing w:val="0"/>
                <w:w w:val="100"/>
                <w:position w:val="0"/>
                <w:sz w:val="20"/>
                <w:szCs w:val="20"/>
                <w:lang w:val="en-US" w:eastAsia="zh-CN"/>
              </w:rPr>
              <w:t>改进措施</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2" w:lineRule="exact"/>
              <w:ind w:left="0" w:right="0" w:firstLine="0" w:firstLineChars="0"/>
              <w:jc w:val="center"/>
              <w:textAlignment w:val="auto"/>
              <w:rPr>
                <w:color w:val="000000"/>
                <w:spacing w:val="0"/>
                <w:w w:val="100"/>
                <w:position w:val="0"/>
                <w:sz w:val="20"/>
                <w:szCs w:val="20"/>
              </w:rPr>
            </w:pPr>
          </w:p>
        </w:tc>
      </w:tr>
      <w:tr>
        <w:tblPrEx>
          <w:tblCellMar>
            <w:top w:w="0" w:type="dxa"/>
            <w:left w:w="10" w:type="dxa"/>
            <w:bottom w:w="0" w:type="dxa"/>
            <w:right w:w="10" w:type="dxa"/>
          </w:tblCellMar>
        </w:tblPrEx>
        <w:trPr>
          <w:trHeight w:val="578"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240" w:line="240" w:lineRule="auto"/>
              <w:ind w:left="0" w:right="0" w:firstLine="0" w:firstLineChars="0"/>
              <w:jc w:val="center"/>
              <w:textAlignment w:val="auto"/>
              <w:rPr>
                <w:sz w:val="20"/>
                <w:szCs w:val="20"/>
              </w:rPr>
            </w:pPr>
            <w:r>
              <w:rPr>
                <w:color w:val="000000"/>
                <w:spacing w:val="0"/>
                <w:w w:val="100"/>
                <w:position w:val="0"/>
                <w:sz w:val="20"/>
                <w:szCs w:val="20"/>
              </w:rPr>
              <w:t>产出指标</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ascii="Times New Roman" w:hAnsi="Times New Roman" w:eastAsia="Times New Roman" w:cs="Times New Roman"/>
                <w:color w:val="000000"/>
                <w:spacing w:val="0"/>
                <w:w w:val="100"/>
                <w:position w:val="0"/>
                <w:sz w:val="20"/>
                <w:szCs w:val="20"/>
              </w:rPr>
              <w:t>（5</w:t>
            </w:r>
            <w:r>
              <w:rPr>
                <w:rFonts w:hint="eastAsia" w:ascii="Times New Roman" w:hAnsi="Times New Roman" w:cs="Times New Roman"/>
                <w:color w:val="000000"/>
                <w:spacing w:val="0"/>
                <w:w w:val="100"/>
                <w:position w:val="0"/>
                <w:sz w:val="20"/>
                <w:szCs w:val="20"/>
                <w:lang w:val="en-US" w:eastAsia="zh-CN"/>
              </w:rPr>
              <w:t>0</w:t>
            </w:r>
            <w:r>
              <w:rPr>
                <w:color w:val="000000"/>
                <w:spacing w:val="0"/>
                <w:w w:val="100"/>
                <w:position w:val="0"/>
                <w:sz w:val="20"/>
                <w:szCs w:val="20"/>
              </w:rPr>
              <w:t>分）</w:t>
            </w:r>
          </w:p>
        </w:tc>
        <w:tc>
          <w:tcPr>
            <w:tcW w:w="1070"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数量指标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ascii="Times New Roman" w:hAnsi="Times New Roman" w:eastAsia="Times New Roman" w:cs="Times New Roman"/>
                <w:color w:val="000000"/>
                <w:spacing w:val="0"/>
                <w:w w:val="100"/>
                <w:position w:val="0"/>
                <w:sz w:val="20"/>
                <w:szCs w:val="20"/>
              </w:rPr>
              <w:t>切实履行职责</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符合工作要求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003"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5"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质量指标</w:t>
            </w:r>
          </w:p>
        </w:tc>
        <w:tc>
          <w:tcPr>
            <w:tcW w:w="1219"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color w:val="000000"/>
                <w:spacing w:val="0"/>
                <w:w w:val="100"/>
                <w:position w:val="0"/>
                <w:sz w:val="20"/>
                <w:szCs w:val="20"/>
              </w:rPr>
              <w:t>工作任务如期完成</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工作质量达到各项工作要求</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20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688"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时效指标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sz w:val="20"/>
                <w:szCs w:val="20"/>
              </w:rPr>
              <w:t>完成时间</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及时高效</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828"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成本指标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sz w:val="20"/>
                <w:szCs w:val="20"/>
              </w:rPr>
              <w:t>成本控制</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严格在预算范围内执行</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693"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restart"/>
            <w:tcBorders>
              <w:top w:val="single" w:color="auto" w:sz="4" w:space="0"/>
              <w:left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color w:val="000000"/>
                <w:spacing w:val="0"/>
                <w:w w:val="100"/>
                <w:position w:val="0"/>
                <w:sz w:val="20"/>
                <w:szCs w:val="20"/>
              </w:rPr>
              <w:t>效益指标</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220" w:line="240" w:lineRule="auto"/>
              <w:ind w:left="0" w:right="0" w:firstLine="0" w:firstLineChars="0"/>
              <w:jc w:val="center"/>
              <w:textAlignment w:val="auto"/>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rPr>
              <w:t>（40</w:t>
            </w:r>
            <w:r>
              <w:rPr>
                <w:color w:val="000000"/>
                <w:spacing w:val="0"/>
                <w:w w:val="100"/>
                <w:position w:val="0"/>
                <w:sz w:val="20"/>
                <w:szCs w:val="20"/>
              </w:rPr>
              <w:t>分）</w:t>
            </w: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4"/>
                <w:szCs w:val="24"/>
                <w:shd w:val="clear" w:color="auto" w:fill="auto"/>
                <w:lang w:val="en-US" w:eastAsia="en-US" w:bidi="en-US"/>
              </w:rPr>
            </w:pPr>
          </w:p>
        </w:tc>
        <w:tc>
          <w:tcPr>
            <w:tcW w:w="1070"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经济效益指标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sz w:val="20"/>
                <w:szCs w:val="20"/>
                <w:lang w:val="en-US" w:eastAsia="zh-CN"/>
              </w:rPr>
              <w:t>经济</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较好维护人民群众财产安全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及时发布涉及经济效益信息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948"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社会效益</w:t>
            </w:r>
            <w:r>
              <w:rPr>
                <w:rFonts w:hint="eastAsia" w:ascii="宋体" w:hAnsi="宋体" w:eastAsia="宋体" w:cs="宋体"/>
                <w:color w:val="000000"/>
                <w:spacing w:val="0"/>
                <w:w w:val="100"/>
                <w:position w:val="0"/>
                <w:sz w:val="20"/>
                <w:szCs w:val="20"/>
                <w:lang w:eastAsia="zh-CN"/>
              </w:rPr>
              <w:t>指</w:t>
            </w:r>
            <w:r>
              <w:rPr>
                <w:rFonts w:hint="eastAsia" w:ascii="宋体" w:hAnsi="宋体" w:eastAsia="宋体" w:cs="宋体"/>
                <w:color w:val="000000"/>
                <w:spacing w:val="0"/>
                <w:w w:val="100"/>
                <w:position w:val="0"/>
                <w:sz w:val="20"/>
                <w:szCs w:val="20"/>
              </w:rPr>
              <w:t>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社会</w:t>
            </w:r>
            <w:r>
              <w:rPr>
                <w:rFonts w:hint="eastAsia"/>
                <w:sz w:val="20"/>
                <w:szCs w:val="20"/>
              </w:rPr>
              <w:t>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较好维护社会安全稳定，实际对社会安全稳定有较好促进作用</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及时发布涉及</w:t>
            </w:r>
            <w:r>
              <w:rPr>
                <w:rFonts w:hint="eastAsia" w:eastAsia="宋体" w:cs="Times New Roman"/>
                <w:color w:val="000000"/>
                <w:spacing w:val="0"/>
                <w:w w:val="100"/>
                <w:position w:val="0"/>
                <w:sz w:val="20"/>
                <w:szCs w:val="20"/>
                <w:shd w:val="clear" w:color="auto" w:fill="auto"/>
                <w:lang w:val="en-US" w:eastAsia="zh-CN" w:bidi="en-US"/>
              </w:rPr>
              <w:t>社会</w:t>
            </w: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效益信息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1243"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14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color w:val="000000"/>
                <w:spacing w:val="0"/>
                <w:w w:val="100"/>
                <w:position w:val="0"/>
                <w:sz w:val="20"/>
                <w:szCs w:val="20"/>
              </w:rPr>
              <w:t>生态效益指标</w:t>
            </w:r>
          </w:p>
        </w:tc>
        <w:tc>
          <w:tcPr>
            <w:tcW w:w="1219"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ascii="宋体" w:hAnsi="宋体" w:eastAsia="宋体" w:cs="宋体"/>
                <w:color w:val="000000"/>
                <w:spacing w:val="0"/>
                <w:w w:val="100"/>
                <w:position w:val="0"/>
                <w:sz w:val="20"/>
                <w:szCs w:val="20"/>
                <w:u w:val="none"/>
                <w:shd w:val="clear" w:color="auto" w:fill="auto"/>
                <w:lang w:val="zh-TW" w:eastAsia="zh-TW" w:bidi="zh-TW"/>
              </w:rPr>
            </w:pPr>
            <w:r>
              <w:rPr>
                <w:rFonts w:hint="eastAsia"/>
                <w:color w:val="000000"/>
                <w:spacing w:val="0"/>
                <w:w w:val="100"/>
                <w:position w:val="0"/>
                <w:sz w:val="20"/>
                <w:szCs w:val="20"/>
              </w:rPr>
              <w:t>生态效益指标合理</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及时处理生态相关</w:t>
            </w:r>
            <w:r>
              <w:rPr>
                <w:rFonts w:hint="eastAsia" w:eastAsia="宋体" w:cs="Times New Roman"/>
                <w:color w:val="000000"/>
                <w:spacing w:val="0"/>
                <w:w w:val="100"/>
                <w:position w:val="0"/>
                <w:sz w:val="20"/>
                <w:szCs w:val="20"/>
                <w:shd w:val="clear" w:color="auto" w:fill="auto"/>
                <w:lang w:val="en-US" w:eastAsia="zh-CN" w:bidi="en-US"/>
              </w:rPr>
              <w:t>信息</w:t>
            </w: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，维护良好生态</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及时发布涉及</w:t>
            </w:r>
            <w:r>
              <w:rPr>
                <w:rFonts w:hint="eastAsia" w:eastAsia="宋体" w:cs="Times New Roman"/>
                <w:color w:val="000000"/>
                <w:spacing w:val="0"/>
                <w:w w:val="100"/>
                <w:position w:val="0"/>
                <w:sz w:val="20"/>
                <w:szCs w:val="20"/>
                <w:shd w:val="clear" w:color="auto" w:fill="auto"/>
                <w:lang w:val="en-US" w:eastAsia="zh-CN" w:bidi="en-US"/>
              </w:rPr>
              <w:t>生态</w:t>
            </w: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效益信息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78" w:hRule="exact"/>
          <w:jc w:val="center"/>
        </w:trPr>
        <w:tc>
          <w:tcPr>
            <w:tcW w:w="1109"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exact"/>
              <w:ind w:left="0" w:leftChars="0" w:right="0" w:rightChars="0" w:firstLine="0" w:firstLineChars="0"/>
              <w:jc w:val="left"/>
              <w:textAlignment w:val="auto"/>
              <w:rPr>
                <w:rFonts w:hint="eastAsia" w:ascii="宋体" w:hAnsi="宋体" w:eastAsia="宋体" w:cs="宋体"/>
                <w:color w:val="000000"/>
                <w:spacing w:val="0"/>
                <w:w w:val="100"/>
                <w:position w:val="0"/>
                <w:sz w:val="20"/>
                <w:szCs w:val="20"/>
                <w:u w:val="none"/>
                <w:shd w:val="clear" w:color="auto" w:fill="auto"/>
                <w:lang w:val="zh-TW" w:eastAsia="zh-TW" w:bidi="zh-TW"/>
              </w:rPr>
            </w:pPr>
            <w:r>
              <w:rPr>
                <w:rFonts w:hint="eastAsia" w:ascii="宋体" w:hAnsi="宋体" w:eastAsia="宋体" w:cs="宋体"/>
                <w:sz w:val="20"/>
                <w:szCs w:val="20"/>
                <w:lang w:eastAsia="zh-CN"/>
              </w:rPr>
              <w:t>可持续影响指标</w:t>
            </w:r>
          </w:p>
        </w:tc>
        <w:tc>
          <w:tcPr>
            <w:tcW w:w="1219" w:type="dxa"/>
            <w:tcBorders>
              <w:top w:val="single" w:color="auto" w:sz="4" w:space="0"/>
              <w:left w:val="single" w:color="auto" w:sz="4" w:space="0"/>
              <w:bottom w:val="single" w:color="auto" w:sz="4" w:space="0"/>
            </w:tcBorders>
            <w:shd w:val="clear" w:color="auto" w:fill="FFFFFF"/>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00" w:lineRule="atLeast"/>
              <w:ind w:left="0" w:leftChars="0" w:right="0" w:rightChars="0" w:firstLine="0" w:firstLineChars="0"/>
              <w:jc w:val="both"/>
              <w:textAlignment w:val="auto"/>
              <w:rPr>
                <w:rFonts w:hint="default" w:ascii="宋体" w:hAnsi="宋体" w:eastAsia="宋体" w:cs="宋体"/>
                <w:color w:val="000000"/>
                <w:spacing w:val="0"/>
                <w:w w:val="100"/>
                <w:position w:val="0"/>
                <w:sz w:val="20"/>
                <w:szCs w:val="20"/>
                <w:u w:val="none"/>
                <w:shd w:val="clear" w:color="auto" w:fill="auto"/>
                <w:lang w:val="en-US" w:eastAsia="zh-CN" w:bidi="zh-TW"/>
              </w:rPr>
            </w:pPr>
            <w:r>
              <w:rPr>
                <w:rFonts w:hint="eastAsia"/>
                <w:sz w:val="20"/>
                <w:szCs w:val="20"/>
                <w:lang w:val="en-US" w:eastAsia="zh-CN"/>
              </w:rPr>
              <w:t>有利于可持续发展</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是</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sz w:val="20"/>
                <w:szCs w:val="20"/>
                <w:lang w:val="en-US" w:eastAsia="zh-CN"/>
              </w:rPr>
              <w:t>5</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723" w:hRule="exact"/>
          <w:jc w:val="center"/>
        </w:trPr>
        <w:tc>
          <w:tcPr>
            <w:tcW w:w="1109" w:type="dxa"/>
            <w:vMerge w:val="continue"/>
            <w:tcBorders>
              <w:left w:val="single" w:color="auto" w:sz="4" w:space="0"/>
              <w:bottom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vMerge w:val="continue"/>
            <w:tcBorders>
              <w:left w:val="single" w:color="auto" w:sz="4" w:space="0"/>
              <w:bottom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color w:val="000000"/>
                <w:spacing w:val="0"/>
                <w:w w:val="100"/>
                <w:position w:val="0"/>
                <w:sz w:val="20"/>
                <w:szCs w:val="20"/>
              </w:rPr>
            </w:pPr>
          </w:p>
        </w:tc>
        <w:tc>
          <w:tcPr>
            <w:tcW w:w="1070"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color w:val="000000"/>
                <w:spacing w:val="0"/>
                <w:w w:val="100"/>
                <w:position w:val="0"/>
                <w:sz w:val="20"/>
                <w:szCs w:val="20"/>
                <w:shd w:val="clear" w:color="auto" w:fill="auto"/>
                <w:lang w:val="en-US" w:eastAsia="en-US" w:bidi="en-US"/>
              </w:rPr>
            </w:pPr>
            <w:r>
              <w:rPr>
                <w:rFonts w:hint="eastAsia" w:ascii="宋体" w:hAnsi="宋体" w:eastAsia="宋体" w:cs="宋体"/>
                <w:color w:val="000000"/>
                <w:spacing w:val="0"/>
                <w:w w:val="100"/>
                <w:position w:val="0"/>
                <w:sz w:val="20"/>
                <w:szCs w:val="20"/>
              </w:rPr>
              <w:t>服务对象满意度指标</w:t>
            </w:r>
          </w:p>
        </w:tc>
        <w:tc>
          <w:tcPr>
            <w:tcW w:w="1219"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00" w:lineRule="atLeast"/>
              <w:ind w:left="0" w:leftChars="0" w:right="0" w:rightChars="0" w:firstLine="0" w:firstLineChars="0"/>
              <w:jc w:val="both"/>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sz w:val="20"/>
                <w:szCs w:val="20"/>
              </w:rPr>
              <w:t>人民群众总体满意</w:t>
            </w:r>
          </w:p>
        </w:tc>
        <w:tc>
          <w:tcPr>
            <w:tcW w:w="1130" w:type="dxa"/>
            <w:gridSpan w:val="2"/>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ascii="Times New Roman" w:hAnsi="Times New Roman" w:eastAsia="Times New Roman" w:cs="Times New Roman"/>
                <w:color w:val="000000"/>
                <w:spacing w:val="0"/>
                <w:w w:val="100"/>
                <w:position w:val="0"/>
                <w:sz w:val="20"/>
                <w:szCs w:val="20"/>
                <w:shd w:val="clear" w:color="auto" w:fill="auto"/>
                <w:lang w:val="en-US" w:eastAsia="en-US" w:bidi="en-US"/>
              </w:rPr>
              <w:t>≥95%</w:t>
            </w:r>
          </w:p>
        </w:tc>
        <w:tc>
          <w:tcPr>
            <w:tcW w:w="1131"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rPr>
                <w:rFonts w:hint="default" w:ascii="Times New Roman" w:hAnsi="Times New Roman" w:eastAsia="宋体" w:cs="Times New Roman"/>
                <w:color w:val="000000"/>
                <w:spacing w:val="0"/>
                <w:w w:val="100"/>
                <w:position w:val="0"/>
                <w:sz w:val="20"/>
                <w:szCs w:val="20"/>
                <w:shd w:val="clear" w:color="auto" w:fill="auto"/>
                <w:lang w:val="en-US" w:eastAsia="zh-CN" w:bidi="en-US"/>
              </w:rPr>
            </w:pPr>
            <w:r>
              <w:rPr>
                <w:rFonts w:hint="eastAsia" w:eastAsia="宋体" w:cs="Times New Roman"/>
                <w:color w:val="000000"/>
                <w:spacing w:val="0"/>
                <w:w w:val="100"/>
                <w:position w:val="0"/>
                <w:sz w:val="20"/>
                <w:szCs w:val="20"/>
                <w:shd w:val="clear" w:color="auto" w:fill="auto"/>
                <w:lang w:val="en-US" w:eastAsia="zh-CN" w:bidi="en-US"/>
              </w:rPr>
              <w:t>100</w:t>
            </w:r>
          </w:p>
        </w:tc>
        <w:tc>
          <w:tcPr>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864" w:type="dxa"/>
            <w:tcBorders>
              <w:top w:val="single" w:color="auto" w:sz="4" w:space="0"/>
              <w:left w:val="single" w:color="auto" w:sz="4" w:space="0"/>
              <w:bottom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r>
              <w:rPr>
                <w:rFonts w:hint="eastAsia" w:eastAsia="宋体"/>
                <w:sz w:val="20"/>
                <w:szCs w:val="20"/>
                <w:lang w:val="en-US" w:eastAsia="zh-CN"/>
              </w:rPr>
              <w:t>10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ascii="Times New Roman" w:hAnsi="Times New Roman" w:eastAsia="Times New Roman" w:cs="Times New Roman"/>
                <w:color w:val="000000"/>
                <w:spacing w:val="0"/>
                <w:w w:val="100"/>
                <w:position w:val="0"/>
                <w:sz w:val="20"/>
                <w:szCs w:val="20"/>
                <w:shd w:val="clear" w:color="auto" w:fill="auto"/>
                <w:lang w:val="en-US" w:eastAsia="en-US" w:bidi="en-US"/>
              </w:rPr>
            </w:pPr>
          </w:p>
        </w:tc>
      </w:tr>
      <w:tr>
        <w:tblPrEx>
          <w:tblCellMar>
            <w:top w:w="0" w:type="dxa"/>
            <w:left w:w="10" w:type="dxa"/>
            <w:bottom w:w="0" w:type="dxa"/>
            <w:right w:w="10" w:type="dxa"/>
          </w:tblCellMar>
        </w:tblPrEx>
        <w:trPr>
          <w:trHeight w:val="298" w:hRule="exact"/>
          <w:jc w:val="center"/>
        </w:trPr>
        <w:tc>
          <w:tcPr>
            <w:gridSpan w:val="7"/>
            <w:tcBorders>
              <w:top w:val="single" w:color="auto" w:sz="4" w:space="0"/>
              <w:left w:val="single" w:color="auto" w:sz="4" w:space="0"/>
              <w:bottom w:val="single" w:color="auto" w:sz="4" w:space="0"/>
            </w:tcBorders>
            <w:shd w:val="clear" w:color="auto" w:fill="FFFFFF"/>
            <w:vAlign w:val="top"/>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firstLineChars="0"/>
              <w:jc w:val="center"/>
              <w:textAlignment w:val="auto"/>
              <w:rPr>
                <w:sz w:val="20"/>
                <w:szCs w:val="20"/>
              </w:rPr>
            </w:pPr>
            <w:r>
              <w:rPr>
                <w:color w:val="000000"/>
                <w:spacing w:val="0"/>
                <w:w w:val="100"/>
                <w:position w:val="0"/>
                <w:sz w:val="20"/>
                <w:szCs w:val="20"/>
              </w:rPr>
              <w:t>总分</w:t>
            </w:r>
          </w:p>
        </w:tc>
        <w:tc>
          <w:tcPr>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eastAsia="宋体"/>
                <w:sz w:val="20"/>
                <w:szCs w:val="20"/>
                <w:lang w:val="en-US" w:eastAsia="zh-CN"/>
              </w:rPr>
            </w:pPr>
            <w:r>
              <w:rPr>
                <w:rFonts w:ascii="Times New Roman" w:hAnsi="Times New Roman" w:eastAsia="Times New Roman" w:cs="Times New Roman"/>
                <w:color w:val="000000"/>
                <w:spacing w:val="0"/>
                <w:w w:val="100"/>
                <w:position w:val="0"/>
                <w:sz w:val="20"/>
                <w:szCs w:val="20"/>
              </w:rPr>
              <w:t>100</w:t>
            </w:r>
            <w:r>
              <w:rPr>
                <w:rFonts w:hint="eastAsia" w:eastAsia="宋体" w:cs="Times New Roman"/>
                <w:color w:val="000000"/>
                <w:spacing w:val="0"/>
                <w:w w:val="100"/>
                <w:position w:val="0"/>
                <w:sz w:val="20"/>
                <w:szCs w:val="20"/>
                <w:lang w:val="en-US" w:eastAsia="zh-CN"/>
              </w:rPr>
              <w:t>分</w:t>
            </w:r>
          </w:p>
        </w:tc>
        <w:tc>
          <w:tcPr>
            <w:tcW w:w="864" w:type="dxa"/>
            <w:tcBorders>
              <w:top w:val="single" w:color="auto" w:sz="4" w:space="0"/>
              <w:left w:val="single" w:color="auto" w:sz="4" w:space="0"/>
              <w:bottom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default" w:eastAsia="宋体"/>
                <w:sz w:val="10"/>
                <w:szCs w:val="10"/>
                <w:lang w:val="en-US" w:eastAsia="zh-CN"/>
              </w:rPr>
            </w:pPr>
            <w:r>
              <w:rPr>
                <w:rFonts w:ascii="Times New Roman" w:hAnsi="Times New Roman" w:eastAsia="Times New Roman" w:cs="Times New Roman"/>
                <w:color w:val="000000"/>
                <w:spacing w:val="0"/>
                <w:w w:val="100"/>
                <w:position w:val="0"/>
                <w:sz w:val="20"/>
                <w:szCs w:val="20"/>
              </w:rPr>
              <w:t>100</w:t>
            </w:r>
            <w:r>
              <w:rPr>
                <w:rFonts w:hint="eastAsia" w:eastAsia="宋体" w:cs="Times New Roman"/>
                <w:color w:val="000000"/>
                <w:spacing w:val="0"/>
                <w:w w:val="100"/>
                <w:position w:val="0"/>
                <w:sz w:val="20"/>
                <w:szCs w:val="20"/>
                <w:lang w:val="en-US" w:eastAsia="zh-CN"/>
              </w:rPr>
              <w:t>分</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ind w:firstLine="0" w:firstLineChars="0"/>
              <w:textAlignment w:val="auto"/>
              <w:rPr>
                <w:sz w:val="10"/>
                <w:szCs w:val="10"/>
              </w:rPr>
            </w:pPr>
          </w:p>
        </w:tc>
      </w:tr>
    </w:tbl>
    <w:p>
      <w:pPr>
        <w:pStyle w:val="11"/>
        <w:keepNext w:val="0"/>
        <w:keepLines w:val="0"/>
        <w:widowControl w:val="0"/>
        <w:shd w:val="clear" w:color="auto" w:fill="auto"/>
        <w:tabs>
          <w:tab w:val="left" w:pos="2088"/>
          <w:tab w:val="left" w:pos="4099"/>
          <w:tab w:val="left" w:pos="6389"/>
        </w:tabs>
        <w:bidi w:val="0"/>
        <w:spacing w:before="0" w:after="0" w:line="240" w:lineRule="auto"/>
        <w:ind w:left="0" w:leftChars="0" w:right="0" w:firstLine="0" w:firstLineChars="0"/>
        <w:jc w:val="left"/>
        <w:rPr>
          <w:rFonts w:hint="eastAsia" w:ascii="仿宋" w:hAnsi="仿宋" w:eastAsia="仿宋" w:cs="仿宋"/>
          <w:b w:val="0"/>
          <w:bCs w:val="0"/>
          <w:sz w:val="32"/>
          <w:szCs w:val="32"/>
          <w:lang w:eastAsia="zh-CN"/>
        </w:rPr>
      </w:pPr>
      <w:r>
        <w:rPr>
          <w:color w:val="000000"/>
          <w:spacing w:val="0"/>
          <w:w w:val="100"/>
          <w:position w:val="0"/>
        </w:rPr>
        <w:t>填表人：</w:t>
      </w:r>
      <w:r>
        <w:rPr>
          <w:rFonts w:hint="eastAsia"/>
          <w:color w:val="000000"/>
          <w:spacing w:val="0"/>
          <w:w w:val="100"/>
          <w:position w:val="0"/>
          <w:lang w:val="en-US" w:eastAsia="zh-CN"/>
        </w:rPr>
        <w:t xml:space="preserve">龙娟     </w:t>
      </w:r>
      <w:r>
        <w:rPr>
          <w:color w:val="000000"/>
          <w:spacing w:val="0"/>
          <w:w w:val="100"/>
          <w:position w:val="0"/>
        </w:rPr>
        <w:t>填报日期：</w:t>
      </w:r>
      <w:r>
        <w:rPr>
          <w:rFonts w:hint="eastAsia"/>
          <w:color w:val="000000"/>
          <w:spacing w:val="0"/>
          <w:w w:val="100"/>
          <w:position w:val="0"/>
          <w:lang w:val="en-US" w:eastAsia="zh-CN"/>
        </w:rPr>
        <w:t>2023.04.25</w:t>
      </w:r>
      <w:r>
        <w:rPr>
          <w:color w:val="000000"/>
          <w:spacing w:val="0"/>
          <w:w w:val="100"/>
          <w:position w:val="0"/>
        </w:rPr>
        <w:tab/>
      </w:r>
      <w:r>
        <w:rPr>
          <w:color w:val="000000"/>
          <w:spacing w:val="0"/>
          <w:w w:val="100"/>
          <w:position w:val="0"/>
        </w:rPr>
        <w:t>联系电话：</w:t>
      </w:r>
      <w:r>
        <w:rPr>
          <w:color w:val="000000"/>
          <w:spacing w:val="0"/>
          <w:w w:val="100"/>
          <w:position w:val="0"/>
        </w:rPr>
        <w:tab/>
      </w:r>
      <w:r>
        <w:rPr>
          <w:color w:val="000000"/>
          <w:spacing w:val="0"/>
          <w:w w:val="100"/>
          <w:position w:val="0"/>
        </w:rPr>
        <w:t>单位负责人签字:</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lMTBjYzFjNjAwYWE2YTFlOWNjZDlkMWQxMzdmODAifQ=="/>
  </w:docVars>
  <w:rsids>
    <w:rsidRoot w:val="2B5D01A7"/>
    <w:rsid w:val="1138217A"/>
    <w:rsid w:val="13CD16C2"/>
    <w:rsid w:val="2B5D01A7"/>
    <w:rsid w:val="2CFE7148"/>
    <w:rsid w:val="341F0C41"/>
    <w:rsid w:val="3D4F00B7"/>
    <w:rsid w:val="6AF92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120" w:firstLineChars="200"/>
      <w:jc w:val="both"/>
    </w:pPr>
    <w:rPr>
      <w:rFonts w:eastAsia="宋体" w:asciiTheme="minorAscii" w:hAnsiTheme="minorAscii" w:cstheme="minorBidi"/>
      <w:kern w:val="2"/>
      <w:sz w:val="32"/>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ind w:firstLine="0" w:firstLineChars="0"/>
      <w:outlineLvl w:val="0"/>
    </w:pPr>
    <w:rPr>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customStyle="1" w:styleId="7">
    <w:name w:val="Body text|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Heading #3|1"/>
    <w:basedOn w:val="1"/>
    <w:qFormat/>
    <w:uiPriority w:val="0"/>
    <w:pPr>
      <w:widowControl w:val="0"/>
      <w:shd w:val="clear" w:color="auto" w:fill="auto"/>
      <w:spacing w:after="380"/>
      <w:outlineLvl w:val="2"/>
    </w:pPr>
    <w:rPr>
      <w:rFonts w:ascii="宋体" w:hAnsi="宋体" w:eastAsia="宋体" w:cs="宋体"/>
      <w:sz w:val="42"/>
      <w:szCs w:val="42"/>
      <w:u w:val="none"/>
      <w:shd w:val="clear" w:color="auto" w:fill="auto"/>
      <w:lang w:val="zh-TW" w:eastAsia="zh-TW" w:bidi="zh-TW"/>
    </w:rPr>
  </w:style>
  <w:style w:type="paragraph" w:customStyle="1" w:styleId="9">
    <w:name w:val="Other|1"/>
    <w:basedOn w:val="1"/>
    <w:qFormat/>
    <w:uiPriority w:val="0"/>
    <w:pPr>
      <w:widowControl w:val="0"/>
      <w:shd w:val="clear" w:color="auto" w:fill="auto"/>
      <w:spacing w:line="420" w:lineRule="auto"/>
      <w:ind w:firstLine="400"/>
    </w:pPr>
    <w:rPr>
      <w:rFonts w:ascii="宋体" w:hAnsi="宋体" w:eastAsia="宋体" w:cs="宋体"/>
      <w:sz w:val="30"/>
      <w:szCs w:val="30"/>
      <w:u w:val="none"/>
      <w:shd w:val="clear" w:color="auto" w:fill="auto"/>
      <w:lang w:val="zh-TW" w:eastAsia="zh-TW" w:bidi="zh-TW"/>
    </w:rPr>
  </w:style>
  <w:style w:type="paragraph" w:customStyle="1" w:styleId="10">
    <w:name w:val="Other|2"/>
    <w:basedOn w:val="1"/>
    <w:qFormat/>
    <w:uiPriority w:val="0"/>
    <w:pPr>
      <w:widowControl w:val="0"/>
      <w:shd w:val="clear" w:color="auto" w:fill="auto"/>
      <w:spacing w:before="180" w:line="225" w:lineRule="exact"/>
      <w:ind w:left="140" w:firstLine="20"/>
    </w:pPr>
    <w:rPr>
      <w:rFonts w:ascii="宋体" w:hAnsi="宋体" w:eastAsia="宋体" w:cs="宋体"/>
      <w:sz w:val="22"/>
      <w:szCs w:val="22"/>
      <w:u w:val="none"/>
      <w:shd w:val="clear" w:color="auto" w:fill="auto"/>
      <w:lang w:val="zh-TW" w:eastAsia="zh-TW" w:bidi="zh-TW"/>
    </w:rPr>
  </w:style>
  <w:style w:type="paragraph" w:customStyle="1" w:styleId="11">
    <w:name w:val="Table caption|1"/>
    <w:basedOn w:val="1"/>
    <w:qFormat/>
    <w:uiPriority w:val="0"/>
    <w:pPr>
      <w:widowControl w:val="0"/>
      <w:shd w:val="clear" w:color="auto" w:fill="auto"/>
      <w:spacing w:line="307" w:lineRule="exact"/>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1842</Words>
  <Characters>1930</Characters>
  <Lines>0</Lines>
  <Paragraphs>0</Paragraphs>
  <TotalTime>1</TotalTime>
  <ScaleCrop>false</ScaleCrop>
  <LinksUpToDate>false</LinksUpToDate>
  <CharactersWithSpaces>1942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2023-04-24T09:09:00Z</dcterms:created>
  <dc:creator>乘风而翔</dc:creator>
  <cp:lastModifiedBy>资阳区政府办公室</cp:lastModifiedBy>
  <cp:lastPrinted>2023-04-27T01:46:49Z</cp:lastPrinted>
  <dcterms:modified xsi:type="dcterms:W3CDTF">2023-04-27T01:50:38Z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A40D65143E354337AC44817738F5ADBC_11</vt:lpwstr>
  </property>
</Properties>
</file>