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lang w:val="en-US" w:eastAsia="zh-CN"/>
        </w:rPr>
        <w:t>2022年度</w:t>
      </w:r>
      <w:r>
        <w:rPr>
          <w:rFonts w:hint="eastAsia" w:ascii="黑体" w:hAnsi="黑体" w:eastAsia="黑体" w:cs="黑体"/>
          <w:b/>
          <w:bCs/>
          <w:sz w:val="44"/>
          <w:szCs w:val="44"/>
          <w:highlight w:val="none"/>
        </w:rPr>
        <w:t>益阳市资阳区人民政府办公室</w:t>
      </w:r>
    </w:p>
    <w:p>
      <w:pPr>
        <w:ind w:left="0" w:leftChars="0" w:firstLine="0" w:firstLineChars="0"/>
        <w:jc w:val="center"/>
        <w:rPr>
          <w:rFonts w:hint="eastAsia" w:ascii="黑体" w:hAnsi="黑体" w:eastAsia="黑体" w:cs="黑体"/>
          <w:b/>
          <w:bCs/>
          <w:sz w:val="44"/>
          <w:szCs w:val="44"/>
          <w:highlight w:val="none"/>
          <w:lang w:eastAsia="zh-CN"/>
        </w:rPr>
      </w:pPr>
      <w:r>
        <w:rPr>
          <w:rFonts w:hint="eastAsia" w:ascii="黑体" w:hAnsi="黑体" w:eastAsia="黑体" w:cs="黑体"/>
          <w:b/>
          <w:bCs/>
          <w:sz w:val="44"/>
          <w:szCs w:val="44"/>
          <w:highlight w:val="none"/>
          <w:lang w:eastAsia="zh-CN"/>
        </w:rPr>
        <w:t>区长热线项目支出绩效评价报告</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eastAsia="zh-CN"/>
        </w:rPr>
        <w:t>为进一步规范财政资金管理，牢固树立预算绩效理念，强化部门支出责任，提高财政资金使用效益，根据《中共中央</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国务院关于全面实施预算绩效管理的意见》（中发〔2018〕34号）、《财政部关于印发〈项目支出绩效评价管理办法〉的通知〉财预〔2020〕10号）和《中共湖南省委办公厅</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湖南省人民政府办公厅关于全面实施预算绩效管理的实施意见》（湘办发〔2019〕10号）等有关文件精神，将2022年度益阳市资阳区人民政府办公室部门区长热线项目支出绩效自评工作有关事项报告如下：</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lang w:eastAsia="zh-CN"/>
        </w:rPr>
        <w:t>项目概况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项目基本性质：年初预算项目。</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用途和主要内容：处理好市民通过电话、电子邮件和媒体网络等提出的咨询、建议、批评、投诉和求助。</w:t>
      </w:r>
    </w:p>
    <w:p>
      <w:pPr>
        <w:pStyle w:val="2"/>
        <w:rPr>
          <w:rFonts w:hint="default"/>
          <w:lang w:val="en-US" w:eastAsia="zh-CN"/>
        </w:rPr>
      </w:pPr>
      <w:r>
        <w:rPr>
          <w:rFonts w:hint="eastAsia" w:ascii="仿宋" w:hAnsi="仿宋" w:eastAsia="仿宋" w:cs="仿宋"/>
          <w:b w:val="0"/>
          <w:bCs w:val="0"/>
          <w:sz w:val="32"/>
          <w:szCs w:val="32"/>
          <w:lang w:val="en-US" w:eastAsia="zh-CN"/>
        </w:rPr>
        <w:t>3、财政拨款情况：一般公共预算当年指标30万元。</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专人专办负责该工作，设有</w:t>
      </w:r>
      <w:r>
        <w:rPr>
          <w:rFonts w:hint="eastAsia" w:ascii="仿宋" w:hAnsi="仿宋" w:eastAsia="仿宋" w:cs="仿宋"/>
          <w:b w:val="0"/>
          <w:bCs w:val="0"/>
          <w:sz w:val="32"/>
          <w:szCs w:val="32"/>
          <w:lang w:eastAsia="zh-CN"/>
        </w:rPr>
        <w:t>区长热线办，负责处理市民通过电话、电子邮件和媒体网络等提出的咨询、建议、批评、投诉和求助；负责管理312345热线平台；负责区长热线工作督查和区长交办件督办；负责值班、信息汇总报送、综合协调和上传下达工作。</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三、综合评价结论</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2022年度绩效自评得分为100分，自评结论为“优秀”。</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四、绩效目标实现情况分析</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（一）项目资金使用及管理情况</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1、项目资金安排、使用情况分析：年初预算安排30万元，实际支付30万元，结余为0万元。按照既定目标和工作要求使用于</w:t>
      </w:r>
      <w:r>
        <w:rPr>
          <w:rFonts w:hint="eastAsia" w:ascii="仿宋" w:hAnsi="仿宋" w:eastAsia="仿宋" w:cs="仿宋"/>
          <w:b w:val="0"/>
          <w:bCs w:val="0"/>
          <w:sz w:val="32"/>
          <w:szCs w:val="32"/>
          <w:lang w:eastAsia="zh-CN"/>
        </w:rPr>
        <w:t>处理市民通过电话、电子邮件和媒体网络等提出的咨询、建议、批评、投诉和求助工作，热线平台管理工作等。</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2、项目资金管理情况分析：</w:t>
      </w:r>
      <w:bookmarkStart w:id="3" w:name="_GoBack"/>
      <w:bookmarkEnd w:id="3"/>
      <w:r>
        <w:rPr>
          <w:rFonts w:hint="eastAsia" w:ascii="仿宋" w:hAnsi="仿宋" w:eastAsia="仿宋" w:cs="仿宋"/>
          <w:b w:val="0"/>
          <w:bCs w:val="0"/>
          <w:kern w:val="2"/>
          <w:sz w:val="32"/>
          <w:szCs w:val="32"/>
          <w:u w:val="none"/>
          <w:shd w:val="clear"/>
          <w:lang w:val="en-US" w:eastAsia="zh-CN" w:bidi="ar-SA"/>
        </w:rPr>
        <w:t>为切实做好区长热线工作，规范服务行为，严肃工作纪律，强化工作责任，提高工作效能，不断强化民本思想和服务意识，着力推进民本政府和效能政府建设，印发了《资阳区区长热线工作问责暂行办法》的通知。</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始终坚持“全心全意为人民服务”的宗旨，牢固树立“群众利益无小事”的观念，倾听民众心声，真心实意地帮助群众排忧解难。截止12月初，承办市长热线7971件，接待群众来访来电2000余次，办理网上留言100余件，热切回应了人民群众关心的热点、难点、重点问题，得到了人民群众的高度肯定。严格执行领导带班和24小时值班制度，切实做到值班电话“随响随接、随接随办、随办随记”，全面做好信息报送工作，确保信息报送及时准确。</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五、存在的问题和改进措施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1、部门预算执行情况方面还需要进一步细化和规范，预算编制及调整管理有待加强。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val="en-US" w:eastAsia="zh-CN"/>
        </w:rPr>
        <w:t>2、对全面实施绩效评价的工作理念没有完整的意识，重视程度不够，对相关结果的运用程度还不够高。</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按照区财政局相关通知要求，我部门在规定时间及网站向社会公开本部门预决算信息、部门绩效目标和整体绩效自评情况。</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七、其他需要说明的情况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无其他需要说明的情况。</w:t>
      </w:r>
    </w:p>
    <w:p>
      <w:pPr>
        <w:pStyle w:val="2"/>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附件：2022年度区长热线项目支岀绩效自评表</w:t>
      </w:r>
    </w:p>
    <w:p>
      <w:pPr>
        <w:pStyle w:val="9"/>
        <w:keepNext/>
        <w:keepLines/>
        <w:widowControl w:val="0"/>
        <w:shd w:val="clear" w:color="auto" w:fill="auto"/>
        <w:bidi w:val="0"/>
        <w:spacing w:before="0" w:after="0" w:line="240" w:lineRule="auto"/>
        <w:ind w:left="0" w:leftChars="0" w:right="0" w:firstLine="0" w:firstLineChars="0"/>
        <w:jc w:val="both"/>
        <w:rPr>
          <w:rFonts w:ascii="Times New Roman" w:hAnsi="Times New Roman" w:eastAsia="Times New Roman" w:cs="Times New Roman"/>
          <w:color w:val="000000"/>
          <w:spacing w:val="0"/>
          <w:w w:val="100"/>
          <w:position w:val="0"/>
          <w:sz w:val="36"/>
          <w:szCs w:val="36"/>
        </w:rPr>
      </w:pPr>
      <w:bookmarkStart w:id="0" w:name="bookmark53"/>
      <w:bookmarkStart w:id="1" w:name="bookmark52"/>
      <w:bookmarkStart w:id="2" w:name="bookmark51"/>
    </w:p>
    <w:p>
      <w:pPr>
        <w:pStyle w:val="9"/>
        <w:keepNext/>
        <w:keepLines/>
        <w:widowControl w:val="0"/>
        <w:shd w:val="clear" w:color="auto" w:fill="auto"/>
        <w:bidi w:val="0"/>
        <w:spacing w:before="0" w:after="0" w:line="240" w:lineRule="auto"/>
        <w:ind w:left="0" w:leftChars="0" w:right="0" w:firstLine="0" w:firstLineChars="0"/>
        <w:jc w:val="both"/>
        <w:rPr>
          <w:rFonts w:ascii="Times New Roman" w:hAnsi="Times New Roman" w:eastAsia="Times New Roman" w:cs="Times New Roman"/>
          <w:color w:val="000000"/>
          <w:spacing w:val="0"/>
          <w:w w:val="100"/>
          <w:position w:val="0"/>
          <w:sz w:val="36"/>
          <w:szCs w:val="36"/>
        </w:rPr>
      </w:pPr>
    </w:p>
    <w:p>
      <w:pPr>
        <w:pStyle w:val="9"/>
        <w:keepNext/>
        <w:keepLines/>
        <w:widowControl w:val="0"/>
        <w:shd w:val="clear" w:color="auto" w:fill="auto"/>
        <w:bidi w:val="0"/>
        <w:spacing w:before="0" w:after="0" w:line="240" w:lineRule="auto"/>
        <w:ind w:left="0" w:leftChars="0" w:right="0" w:firstLine="0" w:firstLineChars="0"/>
        <w:jc w:val="both"/>
        <w:rPr>
          <w:rFonts w:ascii="Times New Roman" w:hAnsi="Times New Roman" w:eastAsia="Times New Roman" w:cs="Times New Roman"/>
          <w:color w:val="000000"/>
          <w:spacing w:val="0"/>
          <w:w w:val="100"/>
          <w:position w:val="0"/>
          <w:sz w:val="36"/>
          <w:szCs w:val="36"/>
        </w:rPr>
      </w:pPr>
    </w:p>
    <w:p>
      <w:pPr>
        <w:pStyle w:val="9"/>
        <w:keepNext/>
        <w:keepLines/>
        <w:widowControl w:val="0"/>
        <w:shd w:val="clear" w:color="auto" w:fill="auto"/>
        <w:bidi w:val="0"/>
        <w:spacing w:before="0" w:after="0" w:line="240" w:lineRule="auto"/>
        <w:ind w:left="0" w:leftChars="0" w:right="0" w:firstLine="0" w:firstLineChars="0"/>
        <w:jc w:val="both"/>
        <w:rPr>
          <w:rFonts w:ascii="Times New Roman" w:hAnsi="Times New Roman" w:eastAsia="Times New Roman" w:cs="Times New Roman"/>
          <w:color w:val="000000"/>
          <w:spacing w:val="0"/>
          <w:w w:val="100"/>
          <w:position w:val="0"/>
          <w:sz w:val="36"/>
          <w:szCs w:val="36"/>
        </w:rPr>
      </w:pPr>
    </w:p>
    <w:p>
      <w:pPr>
        <w:rPr>
          <w:rFonts w:ascii="Times New Roman" w:hAnsi="Times New Roman" w:eastAsia="Times New Roman" w:cs="Times New Roman"/>
          <w:color w:val="000000"/>
          <w:spacing w:val="0"/>
          <w:w w:val="100"/>
          <w:position w:val="0"/>
          <w:sz w:val="36"/>
          <w:szCs w:val="36"/>
        </w:rPr>
      </w:pPr>
      <w:r>
        <w:rPr>
          <w:rFonts w:ascii="Times New Roman" w:hAnsi="Times New Roman" w:eastAsia="Times New Roman" w:cs="Times New Roman"/>
          <w:color w:val="000000"/>
          <w:spacing w:val="0"/>
          <w:w w:val="100"/>
          <w:position w:val="0"/>
          <w:sz w:val="36"/>
          <w:szCs w:val="36"/>
        </w:rPr>
        <w:br w:type="page"/>
      </w:r>
    </w:p>
    <w:p>
      <w:pPr>
        <w:pStyle w:val="9"/>
        <w:keepNext/>
        <w:keepLines/>
        <w:widowControl w:val="0"/>
        <w:shd w:val="clear" w:color="auto" w:fill="auto"/>
        <w:bidi w:val="0"/>
        <w:spacing w:before="0" w:after="0" w:line="240" w:lineRule="auto"/>
        <w:ind w:left="0" w:leftChars="0" w:right="0" w:firstLine="0" w:firstLineChars="0"/>
        <w:jc w:val="center"/>
        <w:rPr>
          <w:sz w:val="34"/>
          <w:szCs w:val="34"/>
        </w:rPr>
      </w:pPr>
      <w:r>
        <w:rPr>
          <w:rFonts w:ascii="Times New Roman" w:hAnsi="Times New Roman" w:eastAsia="Times New Roman" w:cs="Times New Roman"/>
          <w:color w:val="000000"/>
          <w:spacing w:val="0"/>
          <w:w w:val="100"/>
          <w:position w:val="0"/>
          <w:sz w:val="36"/>
          <w:szCs w:val="36"/>
        </w:rPr>
        <w:t>2022</w:t>
      </w:r>
      <w:r>
        <w:rPr>
          <w:color w:val="000000"/>
          <w:spacing w:val="0"/>
          <w:w w:val="100"/>
          <w:position w:val="0"/>
          <w:sz w:val="34"/>
          <w:szCs w:val="34"/>
        </w:rPr>
        <w:t>年度</w:t>
      </w:r>
      <w:r>
        <w:rPr>
          <w:rFonts w:hint="eastAsia"/>
          <w:color w:val="000000"/>
          <w:spacing w:val="0"/>
          <w:w w:val="100"/>
          <w:position w:val="0"/>
          <w:sz w:val="34"/>
          <w:szCs w:val="34"/>
        </w:rPr>
        <w:t>区长热线</w:t>
      </w:r>
      <w:r>
        <w:rPr>
          <w:color w:val="000000"/>
          <w:spacing w:val="0"/>
          <w:w w:val="100"/>
          <w:position w:val="0"/>
          <w:sz w:val="34"/>
          <w:szCs w:val="34"/>
        </w:rPr>
        <w:t>项目支岀绩效自评表</w:t>
      </w:r>
      <w:bookmarkEnd w:id="0"/>
      <w:bookmarkEnd w:id="1"/>
      <w:bookmarkEnd w:id="2"/>
    </w:p>
    <w:tbl>
      <w:tblPr>
        <w:tblStyle w:val="5"/>
        <w:tblW w:w="9830" w:type="dxa"/>
        <w:jc w:val="center"/>
        <w:tblLayout w:type="fixed"/>
        <w:tblCellMar>
          <w:top w:w="0" w:type="dxa"/>
          <w:left w:w="10" w:type="dxa"/>
          <w:bottom w:w="0" w:type="dxa"/>
          <w:right w:w="10" w:type="dxa"/>
        </w:tblCellMar>
      </w:tblPr>
      <w:tblGrid>
        <w:gridCol w:w="1109"/>
        <w:gridCol w:w="1070"/>
        <w:gridCol w:w="1070"/>
        <w:gridCol w:w="1219"/>
        <w:gridCol w:w="1123"/>
        <w:gridCol w:w="1138"/>
        <w:gridCol w:w="826"/>
        <w:gridCol w:w="864"/>
        <w:gridCol w:w="1411"/>
      </w:tblGrid>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项目名称</w:t>
            </w:r>
          </w:p>
        </w:tc>
        <w:tc>
          <w:tcPr>
            <w:gridSpan w:val="8"/>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区长热线</w:t>
            </w:r>
          </w:p>
        </w:tc>
      </w:tr>
      <w:tr>
        <w:tblPrEx>
          <w:tblCellMar>
            <w:top w:w="0" w:type="dxa"/>
            <w:left w:w="10" w:type="dxa"/>
            <w:bottom w:w="0" w:type="dxa"/>
            <w:right w:w="10" w:type="dxa"/>
          </w:tblCellMar>
        </w:tblPrEx>
        <w:trPr>
          <w:trHeight w:val="288" w:hRule="exact"/>
          <w:jc w:val="center"/>
        </w:trPr>
        <w:tc>
          <w:tcPr>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主管部门</w:t>
            </w:r>
          </w:p>
        </w:tc>
        <w:tc>
          <w:tcPr>
            <w:tcW w:w="4482" w:type="dxa"/>
            <w:gridSpan w:val="4"/>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c>
          <w:tcPr>
            <w:tcW w:w="1138"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both"/>
              <w:textAlignment w:val="auto"/>
              <w:rPr>
                <w:sz w:val="20"/>
                <w:szCs w:val="20"/>
              </w:rPr>
            </w:pPr>
            <w:r>
              <w:rPr>
                <w:color w:val="000000"/>
                <w:spacing w:val="0"/>
                <w:w w:val="100"/>
                <w:position w:val="0"/>
                <w:sz w:val="20"/>
                <w:szCs w:val="20"/>
              </w:rPr>
              <w:t>实施单位</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r>
      <w:tr>
        <w:tblPrEx>
          <w:tblCellMar>
            <w:top w:w="0" w:type="dxa"/>
            <w:left w:w="10" w:type="dxa"/>
            <w:bottom w:w="0" w:type="dxa"/>
            <w:right w:w="10" w:type="dxa"/>
          </w:tblCellMar>
        </w:tblPrEx>
        <w:trPr>
          <w:trHeight w:val="547" w:hRule="exact"/>
          <w:jc w:val="center"/>
        </w:trPr>
        <w:tc>
          <w:tcPr>
            <w:vMerge w:val="restart"/>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4" w:lineRule="exact"/>
              <w:ind w:left="220" w:right="0" w:firstLine="0" w:firstLineChars="0"/>
              <w:jc w:val="left"/>
              <w:textAlignment w:val="auto"/>
              <w:rPr>
                <w:sz w:val="20"/>
                <w:szCs w:val="20"/>
              </w:rPr>
            </w:pPr>
            <w:r>
              <w:rPr>
                <w:color w:val="000000"/>
                <w:spacing w:val="0"/>
                <w:w w:val="100"/>
                <w:position w:val="0"/>
                <w:sz w:val="20"/>
                <w:szCs w:val="20"/>
              </w:rPr>
              <w:t>项目资金: （万元）</w:t>
            </w:r>
          </w:p>
        </w:tc>
        <w:tc>
          <w:tcPr>
            <w:tcW w:w="2140" w:type="dxa"/>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219"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年初预算数</w:t>
            </w:r>
          </w:p>
        </w:tc>
        <w:tc>
          <w:tcPr>
            <w:tcW w:w="1123"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全年预算数</w:t>
            </w:r>
          </w:p>
        </w:tc>
        <w:tc>
          <w:tcPr>
            <w:tcW w:w="1138"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全年执行数</w:t>
            </w:r>
          </w:p>
        </w:tc>
        <w:tc>
          <w:tcPr>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执行率</w:t>
            </w:r>
          </w:p>
        </w:tc>
        <w:tc>
          <w:tcPr>
            <w:tcW w:w="1411" w:type="dxa"/>
            <w:tcBorders>
              <w:top w:val="single" w:color="auto" w:sz="4" w:space="0"/>
              <w:left w:val="single" w:color="auto" w:sz="4" w:space="0"/>
              <w:righ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bottom"/>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年度资金总额</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30</w:t>
            </w:r>
          </w:p>
        </w:tc>
        <w:tc>
          <w:tcPr>
            <w:tcW w:w="1123"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30</w:t>
            </w:r>
          </w:p>
        </w:tc>
        <w:tc>
          <w:tcPr>
            <w:tcW w:w="1138"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30</w:t>
            </w:r>
          </w:p>
        </w:tc>
        <w:tc>
          <w:tcPr>
            <w:tcBorders>
              <w:top w:val="single" w:color="auto" w:sz="4" w:space="0"/>
              <w:left w:val="single" w:color="auto" w:sz="4" w:space="0"/>
            </w:tcBorders>
            <w:shd w:val="clear" w:color="auto" w:fill="FFFFFF"/>
            <w:vAlign w:val="bottom"/>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rPr>
              <w:t>10</w:t>
            </w:r>
            <w:r>
              <w:rPr>
                <w:color w:val="000000"/>
                <w:spacing w:val="0"/>
                <w:w w:val="100"/>
                <w:position w:val="0"/>
                <w:sz w:val="20"/>
                <w:szCs w:val="20"/>
              </w:rPr>
              <w:t>分</w:t>
            </w: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b w:val="0"/>
                <w:bCs w:val="0"/>
                <w:color w:val="000000"/>
                <w:spacing w:val="0"/>
                <w:w w:val="100"/>
                <w:position w:val="0"/>
                <w:sz w:val="20"/>
                <w:szCs w:val="20"/>
                <w:shd w:val="clear" w:color="auto" w:fill="auto"/>
                <w:lang w:val="en-US" w:eastAsia="zh-CN" w:bidi="en-US"/>
              </w:rPr>
            </w:pPr>
            <w:r>
              <w:rPr>
                <w:rFonts w:hint="eastAsia" w:eastAsia="宋体"/>
                <w:b w:val="0"/>
                <w:bCs w:val="0"/>
                <w:sz w:val="20"/>
                <w:szCs w:val="20"/>
                <w:lang w:val="en-US" w:eastAsia="zh-CN"/>
              </w:rPr>
              <w:t>100%</w:t>
            </w: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其中：当年财政拨款</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30</w:t>
            </w:r>
          </w:p>
        </w:tc>
        <w:tc>
          <w:tcPr>
            <w:tcW w:w="1123"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30</w:t>
            </w:r>
          </w:p>
        </w:tc>
        <w:tc>
          <w:tcPr>
            <w:tcW w:w="1138"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30</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8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上年结转资金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123"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138"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其他资金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123"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138"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restart"/>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64" w:lineRule="exact"/>
              <w:ind w:left="0" w:right="0" w:firstLine="0" w:firstLineChars="0"/>
              <w:jc w:val="center"/>
              <w:textAlignment w:val="auto"/>
              <w:rPr>
                <w:sz w:val="20"/>
                <w:szCs w:val="20"/>
              </w:rPr>
            </w:pPr>
            <w:r>
              <w:rPr>
                <w:color w:val="000000"/>
                <w:spacing w:val="0"/>
                <w:w w:val="100"/>
                <w:position w:val="0"/>
                <w:sz w:val="20"/>
                <w:szCs w:val="20"/>
              </w:rPr>
              <w:t>年度总体 目标</w:t>
            </w:r>
          </w:p>
        </w:tc>
        <w:tc>
          <w:tcPr>
            <w:tcW w:w="4482" w:type="dxa"/>
            <w:gridSpan w:val="4"/>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预期目标</w:t>
            </w:r>
          </w:p>
        </w:tc>
        <w:tc>
          <w:tcPr>
            <w:tcW w:w="4239" w:type="dxa"/>
            <w:gridSpan w:val="4"/>
            <w:tcBorders>
              <w:top w:val="single" w:color="auto" w:sz="4" w:space="0"/>
              <w:left w:val="single" w:color="auto" w:sz="4" w:space="0"/>
              <w:righ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实际完成情况</w:t>
            </w:r>
          </w:p>
        </w:tc>
      </w:tr>
      <w:tr>
        <w:tblPrEx>
          <w:tblCellMar>
            <w:top w:w="0" w:type="dxa"/>
            <w:left w:w="10" w:type="dxa"/>
            <w:bottom w:w="0" w:type="dxa"/>
            <w:right w:w="10" w:type="dxa"/>
          </w:tblCellMar>
        </w:tblPrEx>
        <w:trPr>
          <w:trHeight w:val="833" w:hRule="exact"/>
          <w:jc w:val="center"/>
        </w:trPr>
        <w:tc>
          <w:tcPr>
            <w:vMerge w:val="continue"/>
            <w:tcBorders>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482" w:type="dxa"/>
            <w:gridSpan w:val="4"/>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22"/>
                <w:szCs w:val="22"/>
              </w:rPr>
            </w:pPr>
            <w:r>
              <w:rPr>
                <w:rFonts w:hint="eastAsia"/>
                <w:sz w:val="22"/>
                <w:szCs w:val="22"/>
              </w:rPr>
              <w:t>处理好市民通过电话、电子邮件和媒体网络等提出的咨询、建议、批评、投诉和求助。</w:t>
            </w:r>
          </w:p>
        </w:tc>
        <w:tc>
          <w:tcPr>
            <w:tcW w:w="4239" w:type="dxa"/>
            <w:gridSpan w:val="4"/>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22"/>
                <w:szCs w:val="22"/>
              </w:rPr>
            </w:pPr>
            <w:r>
              <w:rPr>
                <w:rFonts w:hint="eastAsia"/>
                <w:sz w:val="22"/>
                <w:szCs w:val="22"/>
              </w:rPr>
              <w:t>处理好市民通过电话、电子邮件和媒体网络等提出的咨询、建议、批评、投诉和求助。</w:t>
            </w:r>
          </w:p>
        </w:tc>
      </w:tr>
      <w:tr>
        <w:tblPrEx>
          <w:tblCellMar>
            <w:top w:w="0" w:type="dxa"/>
            <w:left w:w="10" w:type="dxa"/>
            <w:bottom w:w="0" w:type="dxa"/>
            <w:right w:w="10" w:type="dxa"/>
          </w:tblCellMar>
        </w:tblPrEx>
        <w:trPr>
          <w:trHeight w:val="725" w:hRule="exact"/>
          <w:jc w:val="center"/>
        </w:trPr>
        <w:tc>
          <w:tcPr>
            <w:tcW w:w="1109" w:type="dxa"/>
            <w:vMerge w:val="restart"/>
            <w:tcBorders>
              <w:top w:val="single" w:color="auto" w:sz="4" w:space="0"/>
              <w:left w:val="single" w:color="auto" w:sz="4" w:space="0"/>
            </w:tcBorders>
            <w:shd w:val="clear" w:color="auto" w:fill="FFFFFF"/>
            <w:textDirection w:val="tbRlV"/>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pPr>
            <w:r>
              <w:rPr>
                <w:color w:val="000000"/>
                <w:spacing w:val="0"/>
                <w:w w:val="100"/>
                <w:position w:val="0"/>
              </w:rPr>
              <w:t>绩效指标</w:t>
            </w:r>
          </w:p>
        </w:tc>
        <w:tc>
          <w:tcPr>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一级指标</w:t>
            </w:r>
          </w:p>
        </w:tc>
        <w:tc>
          <w:tcPr>
            <w:tcW w:w="1070"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二级指标</w:t>
            </w:r>
          </w:p>
        </w:tc>
        <w:tc>
          <w:tcPr>
            <w:tcW w:w="1219"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三级指标</w:t>
            </w:r>
          </w:p>
        </w:tc>
        <w:tc>
          <w:tcPr>
            <w:tcW w:w="1123"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年度指标值</w:t>
            </w:r>
          </w:p>
        </w:tc>
        <w:tc>
          <w:tcPr>
            <w:tcW w:w="1138"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实际完成值</w:t>
            </w:r>
          </w:p>
        </w:tc>
        <w:tc>
          <w:tcPr>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c>
          <w:tcPr>
            <w:tcW w:w="1411" w:type="dxa"/>
            <w:tcBorders>
              <w:top w:val="single" w:color="auto" w:sz="4" w:space="0"/>
              <w:left w:val="single" w:color="auto" w:sz="4" w:space="0"/>
              <w:right w:val="single" w:color="auto" w:sz="4" w:space="0"/>
            </w:tcBorders>
            <w:shd w:val="clear" w:color="auto" w:fill="FFFFFF"/>
            <w:vAlign w:val="bottom"/>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偏差原因分析及</w:t>
            </w:r>
            <w:r>
              <w:rPr>
                <w:rFonts w:hint="eastAsia"/>
                <w:color w:val="000000"/>
                <w:spacing w:val="0"/>
                <w:w w:val="100"/>
                <w:position w:val="0"/>
                <w:sz w:val="20"/>
                <w:szCs w:val="20"/>
                <w:lang w:val="en-US" w:eastAsia="zh-CN"/>
              </w:rPr>
              <w:t>改进措施</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tc>
      </w:tr>
      <w:tr>
        <w:tblPrEx>
          <w:tblCellMar>
            <w:top w:w="0" w:type="dxa"/>
            <w:left w:w="10" w:type="dxa"/>
            <w:bottom w:w="0" w:type="dxa"/>
            <w:right w:w="10" w:type="dxa"/>
          </w:tblCellMar>
        </w:tblPrEx>
        <w:trPr>
          <w:trHeight w:val="120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240" w:line="240" w:lineRule="auto"/>
              <w:ind w:left="0" w:right="0" w:firstLine="0" w:firstLineChars="0"/>
              <w:jc w:val="center"/>
              <w:textAlignment w:val="auto"/>
              <w:rPr>
                <w:sz w:val="20"/>
                <w:szCs w:val="20"/>
              </w:rPr>
            </w:pPr>
            <w:r>
              <w:rPr>
                <w:color w:val="000000"/>
                <w:spacing w:val="0"/>
                <w:w w:val="100"/>
                <w:position w:val="0"/>
                <w:sz w:val="20"/>
                <w:szCs w:val="20"/>
              </w:rPr>
              <w:t>产出指标</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ascii="Times New Roman" w:hAnsi="Times New Roman" w:eastAsia="Times New Roman" w:cs="Times New Roman"/>
                <w:color w:val="000000"/>
                <w:spacing w:val="0"/>
                <w:w w:val="100"/>
                <w:position w:val="0"/>
                <w:sz w:val="20"/>
                <w:szCs w:val="20"/>
              </w:rPr>
              <w:t>（5</w:t>
            </w:r>
            <w:r>
              <w:rPr>
                <w:rFonts w:hint="eastAsia" w:ascii="Times New Roman" w:hAnsi="Times New Roman" w:cs="Times New Roman"/>
                <w:color w:val="000000"/>
                <w:spacing w:val="0"/>
                <w:w w:val="100"/>
                <w:position w:val="0"/>
                <w:sz w:val="20"/>
                <w:szCs w:val="20"/>
                <w:lang w:val="en-US" w:eastAsia="zh-CN"/>
              </w:rPr>
              <w:t>0</w:t>
            </w:r>
            <w:r>
              <w:rPr>
                <w:color w:val="000000"/>
                <w:spacing w:val="0"/>
                <w:w w:val="100"/>
                <w:position w:val="0"/>
                <w:sz w:val="20"/>
                <w:szCs w:val="20"/>
              </w:rPr>
              <w:t>分）</w:t>
            </w: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数量指标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ascii="Times New Roman" w:hAnsi="Times New Roman" w:eastAsia="Times New Roman" w:cs="Times New Roman"/>
                <w:color w:val="000000"/>
                <w:spacing w:val="0"/>
                <w:w w:val="100"/>
                <w:position w:val="0"/>
                <w:sz w:val="20"/>
                <w:szCs w:val="20"/>
              </w:rPr>
              <w:t>切实履行职责</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18"/>
                <w:szCs w:val="18"/>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u w:val="none"/>
                <w:shd w:val="clear" w:color="auto" w:fill="auto"/>
                <w:lang w:val="zh-TW" w:eastAsia="zh-CN" w:bidi="zh-TW"/>
              </w:rPr>
              <w:t>承办市长热线7971件，接待群众来访来电2000余次</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00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质量指标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color w:val="000000"/>
                <w:spacing w:val="0"/>
                <w:w w:val="100"/>
                <w:position w:val="0"/>
                <w:sz w:val="20"/>
                <w:szCs w:val="20"/>
              </w:rPr>
              <w:t>工作任务如期完成</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68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时效指标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sz w:val="20"/>
                <w:szCs w:val="20"/>
              </w:rPr>
              <w:t>完成时间</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2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成本指标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sz w:val="20"/>
                <w:szCs w:val="20"/>
              </w:rPr>
              <w:t>成本控制</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69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效益指标</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rPr>
              <w:t>（40</w:t>
            </w:r>
            <w:r>
              <w:rPr>
                <w:color w:val="000000"/>
                <w:spacing w:val="0"/>
                <w:w w:val="100"/>
                <w:position w:val="0"/>
                <w:sz w:val="20"/>
                <w:szCs w:val="20"/>
              </w:rPr>
              <w:t>分）</w:t>
            </w: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4"/>
                <w:szCs w:val="24"/>
                <w:shd w:val="clear" w:color="auto" w:fill="auto"/>
                <w:lang w:val="en-US" w:eastAsia="en-US" w:bidi="en-US"/>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经济效益指标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sz w:val="20"/>
                <w:szCs w:val="20"/>
                <w:lang w:val="en-US" w:eastAsia="zh-CN"/>
              </w:rPr>
              <w:t>经济</w:t>
            </w:r>
            <w:r>
              <w:rPr>
                <w:rFonts w:hint="eastAsia"/>
                <w:sz w:val="20"/>
                <w:szCs w:val="20"/>
              </w:rPr>
              <w:t>效益指标合理</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较好维护人民群众财产安全</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较好维护人民群众财产安全</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66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社会效益</w:t>
            </w:r>
            <w:r>
              <w:rPr>
                <w:rFonts w:hint="eastAsia" w:ascii="宋体" w:hAnsi="宋体" w:eastAsia="宋体" w:cs="宋体"/>
                <w:color w:val="000000"/>
                <w:spacing w:val="0"/>
                <w:w w:val="100"/>
                <w:position w:val="0"/>
                <w:sz w:val="20"/>
                <w:szCs w:val="20"/>
                <w:lang w:eastAsia="zh-CN"/>
              </w:rPr>
              <w:t>指</w:t>
            </w:r>
            <w:r>
              <w:rPr>
                <w:rFonts w:hint="eastAsia" w:ascii="宋体" w:hAnsi="宋体" w:eastAsia="宋体" w:cs="宋体"/>
                <w:color w:val="000000"/>
                <w:spacing w:val="0"/>
                <w:w w:val="100"/>
                <w:position w:val="0"/>
                <w:sz w:val="20"/>
                <w:szCs w:val="20"/>
              </w:rPr>
              <w:t>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社会</w:t>
            </w:r>
            <w:r>
              <w:rPr>
                <w:rFonts w:hint="eastAsia"/>
                <w:sz w:val="20"/>
                <w:szCs w:val="20"/>
              </w:rPr>
              <w:t>效益指标合理</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18"/>
                <w:szCs w:val="18"/>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18"/>
                <w:szCs w:val="18"/>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4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14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生态效益指标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color w:val="000000"/>
                <w:spacing w:val="0"/>
                <w:w w:val="100"/>
                <w:position w:val="0"/>
                <w:sz w:val="20"/>
                <w:szCs w:val="20"/>
              </w:rPr>
              <w:t>生态效益指标合理</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及时处理生态相关热线，维护良好生态</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及时处理生态相关热线，维护良好生态</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7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sz w:val="20"/>
                <w:szCs w:val="20"/>
                <w:lang w:eastAsia="zh-CN"/>
              </w:rPr>
              <w:t>可持续影响指标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default" w:ascii="宋体" w:hAnsi="宋体" w:eastAsia="宋体" w:cs="宋体"/>
                <w:color w:val="000000"/>
                <w:spacing w:val="0"/>
                <w:w w:val="100"/>
                <w:position w:val="0"/>
                <w:sz w:val="20"/>
                <w:szCs w:val="20"/>
                <w:u w:val="none"/>
                <w:shd w:val="clear" w:color="auto" w:fill="auto"/>
                <w:lang w:val="en-US" w:eastAsia="zh-CN" w:bidi="zh-TW"/>
              </w:rPr>
            </w:pPr>
            <w:r>
              <w:rPr>
                <w:rFonts w:hint="eastAsia"/>
                <w:sz w:val="20"/>
                <w:szCs w:val="20"/>
                <w:lang w:val="en-US" w:eastAsia="zh-CN"/>
              </w:rPr>
              <w:t>有利于可持续发展</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628" w:hRule="exact"/>
          <w:jc w:val="center"/>
        </w:trPr>
        <w:tc>
          <w:tcPr>
            <w:tcW w:w="1109" w:type="dxa"/>
            <w:vMerge w:val="continue"/>
            <w:tcBorders>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服务对象满意度指标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sz w:val="20"/>
                <w:szCs w:val="20"/>
              </w:rPr>
              <w:t>人民群众总体满意</w:t>
            </w:r>
          </w:p>
        </w:tc>
        <w:tc>
          <w:tcPr>
            <w:tcW w:w="1123"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≥95%</w:t>
            </w:r>
          </w:p>
        </w:tc>
        <w:tc>
          <w:tcPr>
            <w:tcW w:w="113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98</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298" w:hRule="exact"/>
          <w:jc w:val="center"/>
        </w:trPr>
        <w:tc>
          <w:tcPr>
            <w:gridSpan w:val="6"/>
            <w:tcBorders>
              <w:top w:val="single" w:color="auto" w:sz="4" w:space="0"/>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总分</w:t>
            </w:r>
          </w:p>
        </w:tc>
        <w:tc>
          <w:tcPr>
            <w:tcBorders>
              <w:top w:val="single" w:color="auto" w:sz="4" w:space="0"/>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p>
        </w:tc>
        <w:tc>
          <w:tcPr>
            <w:tcW w:w="864" w:type="dxa"/>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bl>
    <w:p>
      <w:pPr>
        <w:pStyle w:val="11"/>
        <w:keepNext w:val="0"/>
        <w:keepLines w:val="0"/>
        <w:widowControl w:val="0"/>
        <w:shd w:val="clear" w:color="auto" w:fill="auto"/>
        <w:tabs>
          <w:tab w:val="left" w:pos="2088"/>
          <w:tab w:val="left" w:pos="4099"/>
          <w:tab w:val="left" w:pos="6389"/>
        </w:tabs>
        <w:bidi w:val="0"/>
        <w:spacing w:before="0" w:after="0" w:line="240" w:lineRule="auto"/>
        <w:ind w:right="0"/>
        <w:jc w:val="left"/>
        <w:rPr>
          <w:rFonts w:hint="eastAsia" w:ascii="仿宋" w:hAnsi="仿宋" w:eastAsia="仿宋" w:cs="仿宋"/>
          <w:b w:val="0"/>
          <w:bCs w:val="0"/>
          <w:sz w:val="32"/>
          <w:szCs w:val="32"/>
          <w:lang w:eastAsia="zh-CN"/>
        </w:rPr>
      </w:pPr>
      <w:r>
        <w:rPr>
          <w:color w:val="000000"/>
          <w:spacing w:val="0"/>
          <w:w w:val="100"/>
          <w:position w:val="0"/>
          <w:sz w:val="18"/>
          <w:szCs w:val="18"/>
        </w:rPr>
        <w:t>填表人：</w:t>
      </w:r>
      <w:r>
        <w:rPr>
          <w:rFonts w:hint="eastAsia"/>
          <w:color w:val="000000"/>
          <w:spacing w:val="0"/>
          <w:w w:val="100"/>
          <w:position w:val="0"/>
          <w:sz w:val="18"/>
          <w:szCs w:val="18"/>
          <w:lang w:val="en-US" w:eastAsia="zh-CN"/>
        </w:rPr>
        <w:t xml:space="preserve">龙娟     </w:t>
      </w:r>
      <w:r>
        <w:rPr>
          <w:color w:val="000000"/>
          <w:spacing w:val="0"/>
          <w:w w:val="100"/>
          <w:position w:val="0"/>
          <w:sz w:val="18"/>
          <w:szCs w:val="18"/>
        </w:rPr>
        <w:t>填报日期：</w:t>
      </w:r>
      <w:r>
        <w:rPr>
          <w:rFonts w:hint="eastAsia"/>
          <w:color w:val="000000"/>
          <w:spacing w:val="0"/>
          <w:w w:val="100"/>
          <w:position w:val="0"/>
          <w:sz w:val="18"/>
          <w:szCs w:val="18"/>
          <w:lang w:val="en-US" w:eastAsia="zh-CN"/>
        </w:rPr>
        <w:t>2023.04.25</w:t>
      </w:r>
      <w:r>
        <w:rPr>
          <w:color w:val="000000"/>
          <w:spacing w:val="0"/>
          <w:w w:val="100"/>
          <w:position w:val="0"/>
          <w:sz w:val="18"/>
          <w:szCs w:val="18"/>
        </w:rPr>
        <w:tab/>
      </w:r>
      <w:r>
        <w:rPr>
          <w:color w:val="000000"/>
          <w:spacing w:val="0"/>
          <w:w w:val="100"/>
          <w:position w:val="0"/>
          <w:sz w:val="18"/>
          <w:szCs w:val="18"/>
        </w:rPr>
        <w:t>联系电话：</w:t>
      </w:r>
      <w:r>
        <w:rPr>
          <w:color w:val="000000"/>
          <w:spacing w:val="0"/>
          <w:w w:val="100"/>
          <w:position w:val="0"/>
          <w:sz w:val="18"/>
          <w:szCs w:val="18"/>
        </w:rPr>
        <w:tab/>
      </w:r>
      <w:r>
        <w:rPr>
          <w:color w:val="000000"/>
          <w:spacing w:val="0"/>
          <w:w w:val="100"/>
          <w:position w:val="0"/>
          <w:sz w:val="18"/>
          <w:szCs w:val="18"/>
        </w:rPr>
        <w:t>单位负责人签字</w:t>
      </w:r>
      <w:r>
        <w:rPr>
          <w:rFonts w:hint="eastAsia"/>
          <w:color w:val="000000"/>
          <w:spacing w:val="0"/>
          <w:w w:val="100"/>
          <w:position w:val="0"/>
          <w:sz w:val="18"/>
          <w:szCs w:val="18"/>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2B5D01A7"/>
    <w:rsid w:val="02054BBD"/>
    <w:rsid w:val="1138217A"/>
    <w:rsid w:val="13CD16C2"/>
    <w:rsid w:val="2B5D01A7"/>
    <w:rsid w:val="4B8837C4"/>
    <w:rsid w:val="51557E26"/>
    <w:rsid w:val="51593E4B"/>
    <w:rsid w:val="54005D09"/>
    <w:rsid w:val="567D2A8C"/>
    <w:rsid w:val="5BD8787A"/>
    <w:rsid w:val="6AF92994"/>
    <w:rsid w:val="7AD922EE"/>
    <w:rsid w:val="7B274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120" w:firstLineChars="200"/>
      <w:jc w:val="both"/>
    </w:pPr>
    <w:rPr>
      <w:rFonts w:eastAsia="宋体" w:asciiTheme="minorAscii" w:hAnsiTheme="minorAscii" w:cstheme="minorBidi"/>
      <w:kern w:val="2"/>
      <w:sz w:val="32"/>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ind w:firstLine="0" w:firstLineChars="0"/>
      <w:outlineLvl w:val="0"/>
    </w:pPr>
    <w:rPr>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customStyle="1" w:styleId="7">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9">
    <w:name w:val="Heading #3|1"/>
    <w:basedOn w:val="1"/>
    <w:qFormat/>
    <w:uiPriority w:val="0"/>
    <w:pPr>
      <w:widowControl w:val="0"/>
      <w:shd w:val="clear" w:color="auto" w:fill="auto"/>
      <w:spacing w:after="380"/>
      <w:outlineLvl w:val="2"/>
    </w:pPr>
    <w:rPr>
      <w:rFonts w:ascii="宋体" w:hAnsi="宋体" w:eastAsia="宋体" w:cs="宋体"/>
      <w:sz w:val="42"/>
      <w:szCs w:val="42"/>
      <w:u w:val="none"/>
      <w:shd w:val="clear" w:color="auto" w:fill="auto"/>
      <w:lang w:val="zh-TW" w:eastAsia="zh-TW" w:bidi="zh-TW"/>
    </w:rPr>
  </w:style>
  <w:style w:type="paragraph" w:customStyle="1" w:styleId="10">
    <w:name w:val="Other|2"/>
    <w:basedOn w:val="1"/>
    <w:qFormat/>
    <w:uiPriority w:val="0"/>
    <w:pPr>
      <w:widowControl w:val="0"/>
      <w:shd w:val="clear" w:color="auto" w:fill="auto"/>
      <w:spacing w:before="180" w:line="225" w:lineRule="exact"/>
      <w:ind w:left="140" w:firstLine="20"/>
    </w:pPr>
    <w:rPr>
      <w:rFonts w:ascii="宋体" w:hAnsi="宋体" w:eastAsia="宋体" w:cs="宋体"/>
      <w:sz w:val="22"/>
      <w:szCs w:val="22"/>
      <w:u w:val="none"/>
      <w:shd w:val="clear" w:color="auto" w:fill="auto"/>
      <w:lang w:val="zh-TW" w:eastAsia="zh-TW" w:bidi="zh-TW"/>
    </w:rPr>
  </w:style>
  <w:style w:type="paragraph" w:customStyle="1" w:styleId="11">
    <w:name w:val="Table caption|1"/>
    <w:basedOn w:val="1"/>
    <w:qFormat/>
    <w:uiPriority w:val="0"/>
    <w:pPr>
      <w:widowControl w:val="0"/>
      <w:shd w:val="clear" w:color="auto" w:fill="auto"/>
      <w:spacing w:line="307" w:lineRule="exact"/>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1775</Words>
  <Characters>1872</Characters>
  <Lines>0</Lines>
  <Paragraphs>0</Paragraphs>
  <TotalTime>1</TotalTime>
  <ScaleCrop>false</ScaleCrop>
  <LinksUpToDate>false</LinksUpToDate>
  <CharactersWithSpaces>1884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2023-04-24T09:09:00Z</dcterms:created>
  <dc:creator>乘风而翔</dc:creator>
  <cp:lastModifiedBy>资阳区政府办公室</cp:lastModifiedBy>
  <dcterms:modified xsi:type="dcterms:W3CDTF">2023-04-27T01:55:34Z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A40D65143E354337AC44817738F5ADBC_11</vt:lpwstr>
  </property>
</Properties>
</file>