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b/>
          <w:bCs/>
          <w:sz w:val="44"/>
          <w:szCs w:val="44"/>
          <w:highlight w:val="none"/>
        </w:rPr>
      </w:pPr>
      <w:r>
        <w:rPr>
          <w:rFonts w:hint="eastAsia" w:ascii="黑体" w:hAnsi="黑体" w:eastAsia="黑体" w:cs="黑体"/>
          <w:b/>
          <w:bCs/>
          <w:sz w:val="44"/>
          <w:szCs w:val="44"/>
          <w:highlight w:val="none"/>
          <w:lang w:val="en-US" w:eastAsia="zh-CN"/>
        </w:rPr>
        <w:t>2022年度</w:t>
      </w:r>
      <w:r>
        <w:rPr>
          <w:rFonts w:hint="eastAsia" w:ascii="黑体" w:hAnsi="黑体" w:eastAsia="黑体" w:cs="黑体"/>
          <w:b/>
          <w:bCs/>
          <w:sz w:val="44"/>
          <w:szCs w:val="44"/>
          <w:highlight w:val="none"/>
        </w:rPr>
        <w:t>益阳市资阳区人民政府办公室</w:t>
      </w:r>
    </w:p>
    <w:p>
      <w:pPr>
        <w:ind w:left="0" w:leftChars="0" w:firstLine="0" w:firstLineChars="0"/>
        <w:jc w:val="center"/>
        <w:rPr>
          <w:rFonts w:hint="eastAsia" w:ascii="黑体" w:hAnsi="黑体" w:eastAsia="黑体" w:cs="黑体"/>
          <w:b/>
          <w:bCs/>
          <w:sz w:val="44"/>
          <w:szCs w:val="44"/>
          <w:highlight w:val="none"/>
          <w:lang w:eastAsia="zh-CN"/>
        </w:rPr>
      </w:pPr>
      <w:r>
        <w:rPr>
          <w:rFonts w:hint="eastAsia" w:ascii="黑体" w:hAnsi="黑体" w:eastAsia="黑体" w:cs="黑体"/>
          <w:b/>
          <w:bCs/>
          <w:sz w:val="44"/>
          <w:szCs w:val="44"/>
          <w:highlight w:val="none"/>
          <w:lang w:eastAsia="zh-CN"/>
        </w:rPr>
        <w:t>信息中心项目支出绩效评价报告</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lang w:eastAsia="zh-CN"/>
        </w:rPr>
      </w:pPr>
      <w:r>
        <w:rPr>
          <w:rFonts w:hint="eastAsia" w:ascii="仿宋" w:hAnsi="仿宋" w:eastAsia="仿宋" w:cs="仿宋"/>
          <w:b w:val="0"/>
          <w:bCs w:val="0"/>
          <w:sz w:val="32"/>
          <w:szCs w:val="32"/>
          <w:lang w:eastAsia="zh-CN"/>
        </w:rPr>
        <w:t>为进一步规范财政资金管理，牢固树立预算绩效理念，强化部门支出责任，提高财政资金使用效益，根据《中共中央</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国务院关于全面实施预算绩效管理的意见》（中发〔2018〕34号）、《财政部关于印发〈项目支出绩效评价管理办法〉的通知〉财预〔2020〕10号）和《中共湖南省委办公厅</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湖南省人民政府办公厅关于全面实施预算绩效管理的实施意见》（湘办发〔2019〕10号）等有关文件精神，将2022年度益阳市资阳区人民政府办公室部门信息中心项目支出绩效自评工作有关事项报告如下：</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val="en-US" w:eastAsia="zh-CN"/>
        </w:rPr>
        <w:t>一、</w:t>
      </w:r>
      <w:r>
        <w:rPr>
          <w:rFonts w:hint="eastAsia" w:ascii="黑体" w:hAnsi="黑体" w:eastAsia="黑体" w:cs="黑体"/>
          <w:b/>
          <w:bCs/>
          <w:sz w:val="32"/>
          <w:szCs w:val="32"/>
          <w:lang w:eastAsia="zh-CN"/>
        </w:rPr>
        <w:t>项目概况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项目基本性质：年初预算项目。</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用途和主要内容：负责全区“放管服”改革的综合、协调、督促；负责全区行政审批制度改革统筹协调；负责编制全区政务公开工作规划和年度计划并组织实施；负责指导、协调、监督全区政务公开工作；负责政务公开工作的调查研究和情况综合。</w:t>
      </w:r>
    </w:p>
    <w:p>
      <w:pPr>
        <w:pStyle w:val="2"/>
        <w:rPr>
          <w:rFonts w:hint="default"/>
          <w:lang w:val="en-US" w:eastAsia="zh-CN"/>
        </w:rPr>
      </w:pPr>
      <w:r>
        <w:rPr>
          <w:rFonts w:hint="eastAsia" w:ascii="仿宋" w:hAnsi="仿宋" w:eastAsia="仿宋" w:cs="仿宋"/>
          <w:b w:val="0"/>
          <w:bCs w:val="0"/>
          <w:sz w:val="32"/>
          <w:szCs w:val="32"/>
          <w:lang w:val="en-US" w:eastAsia="zh-CN"/>
        </w:rPr>
        <w:t>3、财政拨款情况：一般公共预算当年指标20万元。</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二、绩效评价工作开展情况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专人专办负责该工作，设有</w:t>
      </w:r>
      <w:r>
        <w:rPr>
          <w:rFonts w:hint="eastAsia" w:ascii="仿宋" w:hAnsi="仿宋" w:eastAsia="仿宋" w:cs="仿宋"/>
          <w:b w:val="0"/>
          <w:bCs w:val="0"/>
          <w:sz w:val="32"/>
          <w:szCs w:val="32"/>
          <w:lang w:eastAsia="zh-CN"/>
        </w:rPr>
        <w:t>“放管服”改革组（政务公开组）。负责全区“放管服”改革的综合、协调、督促；负责全区行政审批制度改革统筹协调；负责编制全区政务公开工作规划和年度计划并组织实施；负责指导、协调、监督全区政务公开工作；负责政务公开工作的调查研究和情况综合。</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三、综合评价结论</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2022年度绩效自评得分为100分，自评结论为“优秀”。</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四、绩效目标实现情况分析</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bCs/>
          <w:kern w:val="2"/>
          <w:sz w:val="32"/>
          <w:szCs w:val="32"/>
          <w:u w:val="none"/>
          <w:shd w:val="clear"/>
          <w:lang w:val="en-US" w:eastAsia="zh-CN" w:bidi="ar-SA"/>
        </w:rPr>
      </w:pPr>
      <w:r>
        <w:rPr>
          <w:rFonts w:hint="eastAsia" w:ascii="仿宋" w:hAnsi="仿宋" w:eastAsia="仿宋" w:cs="仿宋"/>
          <w:b/>
          <w:bCs/>
          <w:kern w:val="2"/>
          <w:sz w:val="32"/>
          <w:szCs w:val="32"/>
          <w:u w:val="none"/>
          <w:shd w:val="clear"/>
          <w:lang w:val="en-US" w:eastAsia="zh-CN" w:bidi="ar-SA"/>
        </w:rPr>
        <w:t>（一）项目资金使用及管理情况</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1、项目资金安排、使用情况分析：年初预算安排20万元，实际支付20万元，结余为0万元。按照既定目标和工作要求使用于</w:t>
      </w:r>
      <w:r>
        <w:rPr>
          <w:rFonts w:hint="eastAsia" w:ascii="仿宋" w:hAnsi="仿宋" w:eastAsia="仿宋" w:cs="仿宋"/>
          <w:b w:val="0"/>
          <w:bCs w:val="0"/>
          <w:sz w:val="32"/>
          <w:szCs w:val="32"/>
          <w:lang w:eastAsia="zh-CN"/>
        </w:rPr>
        <w:t>全区“放管服”改革的综合、协调、督促；全区行政审批制度改革统筹协调；负责编制全区政务公开工作规划和年度计划并组织实施；指导、协调、监督全区政务公开工作；政务公开工作的调查研究和情况综合等工作。</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2、项目资金管理情况分析：为切实做好信息中心工作，出台了《益阳市政务公开政务服务管理办公室关于印发益阳市全面推进基层政务公开标准化规范化工作实施方案的通知》。</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bCs/>
          <w:kern w:val="2"/>
          <w:sz w:val="32"/>
          <w:szCs w:val="32"/>
          <w:u w:val="none"/>
          <w:shd w:val="clear"/>
          <w:lang w:val="en-US" w:eastAsia="zh-CN" w:bidi="ar-SA"/>
        </w:rPr>
      </w:pPr>
      <w:r>
        <w:rPr>
          <w:rFonts w:hint="eastAsia" w:ascii="仿宋" w:hAnsi="仿宋" w:eastAsia="仿宋" w:cs="仿宋"/>
          <w:b/>
          <w:bCs/>
          <w:kern w:val="2"/>
          <w:sz w:val="32"/>
          <w:szCs w:val="32"/>
          <w:u w:val="none"/>
          <w:shd w:val="clear"/>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学习宣传《政务公开制度》《保密工作制度》等工作制度，扎实推进政务公开工作。全面落实政府信息主动公开和依申请公开制度，今年以来完成政府信息依申请公开28条，未发生因政府信息公开申请行政复议、提起行政诉讼的情况。提升行政效能，政务大厅管理显著增强，承诺压缩率、法定提速率、办件的事项覆盖率、部门覆盖率、层级覆盖率均为全市第一。完成区镇村三级联通视频会议系统建设。强化政府网站、政务新媒体管理，率先开设基层政务公开专栏，并实行动态更新。正常运维“互联网＋政务服务”“互联网＋监管”等平台。完成电子证照和电子印章汇聚和应用。与政务中心一道重点推动政务服务创新，农村建设等“一件事一次办”获央媒报道和全省推广。</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五、存在的问题和改进措施</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1、部门预算执行情况方面还需要进一步细化和规范，预算编制及调整管理有待加强。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lang w:eastAsia="zh-CN"/>
        </w:rPr>
      </w:pPr>
      <w:r>
        <w:rPr>
          <w:rFonts w:hint="eastAsia" w:ascii="仿宋" w:hAnsi="仿宋" w:eastAsia="仿宋" w:cs="仿宋"/>
          <w:b w:val="0"/>
          <w:bCs w:val="0"/>
          <w:sz w:val="32"/>
          <w:szCs w:val="32"/>
          <w:lang w:val="en-US" w:eastAsia="zh-CN"/>
        </w:rPr>
        <w:t>2、对全面实施绩效评价的工作理念没有完整的意识，重视程度不够，对相关结果的运用程度还不够高。</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六、部门整体支出绩效自评结果拟应用和公开情况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按照区财政局相关通知要求，我部门在规定时间及网站向社会公开本部门预决算信息、部门绩效目标和整体绩效自评情况。</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七、其他需要说明的情况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无其他需要说明的情况。</w:t>
      </w:r>
    </w:p>
    <w:p>
      <w:pPr>
        <w:pStyle w:val="2"/>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附件：2022年度信息中心项目支岀绩效自评表</w:t>
      </w:r>
    </w:p>
    <w:p>
      <w:pPr>
        <w:pStyle w:val="11"/>
        <w:keepNext/>
        <w:keepLines/>
        <w:widowControl w:val="0"/>
        <w:shd w:val="clear" w:color="auto" w:fill="auto"/>
        <w:bidi w:val="0"/>
        <w:spacing w:before="0" w:after="0" w:line="240" w:lineRule="auto"/>
        <w:ind w:left="0" w:right="0" w:firstLine="0"/>
        <w:jc w:val="center"/>
        <w:rPr>
          <w:sz w:val="34"/>
          <w:szCs w:val="34"/>
        </w:rPr>
      </w:pPr>
      <w:r>
        <w:rPr>
          <w:rFonts w:ascii="Times New Roman" w:hAnsi="Times New Roman" w:eastAsia="Times New Roman" w:cs="Times New Roman"/>
          <w:color w:val="000000"/>
          <w:spacing w:val="0"/>
          <w:w w:val="100"/>
          <w:position w:val="0"/>
          <w:sz w:val="36"/>
          <w:szCs w:val="36"/>
        </w:rPr>
        <w:t>2022</w:t>
      </w:r>
      <w:r>
        <w:rPr>
          <w:color w:val="000000"/>
          <w:spacing w:val="0"/>
          <w:w w:val="100"/>
          <w:position w:val="0"/>
          <w:sz w:val="34"/>
          <w:szCs w:val="34"/>
        </w:rPr>
        <w:t>年度</w:t>
      </w:r>
      <w:r>
        <w:rPr>
          <w:rFonts w:hint="eastAsia"/>
          <w:color w:val="000000"/>
          <w:spacing w:val="0"/>
          <w:w w:val="100"/>
          <w:position w:val="0"/>
          <w:sz w:val="34"/>
          <w:szCs w:val="34"/>
          <w:lang w:val="en-US" w:eastAsia="zh-CN"/>
        </w:rPr>
        <w:t>信息中心</w:t>
      </w:r>
      <w:r>
        <w:rPr>
          <w:color w:val="000000"/>
          <w:spacing w:val="0"/>
          <w:w w:val="100"/>
          <w:position w:val="0"/>
          <w:sz w:val="34"/>
          <w:szCs w:val="34"/>
        </w:rPr>
        <w:t>项目支岀绩效自评表</w:t>
      </w:r>
    </w:p>
    <w:p>
      <w:pPr>
        <w:pStyle w:val="10"/>
        <w:keepNext w:val="0"/>
        <w:keepLines w:val="0"/>
        <w:widowControl w:val="0"/>
        <w:shd w:val="clear" w:color="auto" w:fill="auto"/>
        <w:tabs>
          <w:tab w:val="left" w:pos="2088"/>
          <w:tab w:val="left" w:pos="4099"/>
          <w:tab w:val="left" w:pos="6389"/>
        </w:tabs>
        <w:bidi w:val="0"/>
        <w:spacing w:before="0" w:after="0" w:line="240" w:lineRule="auto"/>
        <w:ind w:right="0"/>
        <w:jc w:val="left"/>
        <w:rPr>
          <w:color w:val="000000"/>
          <w:spacing w:val="0"/>
          <w:w w:val="100"/>
          <w:position w:val="0"/>
        </w:rPr>
      </w:pPr>
    </w:p>
    <w:tbl>
      <w:tblPr>
        <w:tblStyle w:val="5"/>
        <w:tblW w:w="9830" w:type="dxa"/>
        <w:jc w:val="center"/>
        <w:tblLayout w:type="fixed"/>
        <w:tblCellMar>
          <w:top w:w="0" w:type="dxa"/>
          <w:left w:w="10" w:type="dxa"/>
          <w:bottom w:w="0" w:type="dxa"/>
          <w:right w:w="10" w:type="dxa"/>
        </w:tblCellMar>
      </w:tblPr>
      <w:tblGrid>
        <w:gridCol w:w="1109"/>
        <w:gridCol w:w="1070"/>
        <w:gridCol w:w="1070"/>
        <w:gridCol w:w="1219"/>
        <w:gridCol w:w="1123"/>
        <w:gridCol w:w="7"/>
        <w:gridCol w:w="1131"/>
        <w:gridCol w:w="826"/>
        <w:gridCol w:w="864"/>
        <w:gridCol w:w="1411"/>
      </w:tblGrid>
      <w:tr>
        <w:tblPrEx>
          <w:tblCellMar>
            <w:top w:w="0" w:type="dxa"/>
            <w:left w:w="10" w:type="dxa"/>
            <w:bottom w:w="0" w:type="dxa"/>
            <w:right w:w="10" w:type="dxa"/>
          </w:tblCellMar>
        </w:tblPrEx>
        <w:trPr>
          <w:trHeight w:val="370" w:hRule="exact"/>
          <w:jc w:val="center"/>
        </w:trPr>
        <w:tc>
          <w:tcPr>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项目名称</w:t>
            </w:r>
          </w:p>
        </w:tc>
        <w:tc>
          <w:tcPr>
            <w:gridSpan w:val="9"/>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ascii="宋体" w:hAnsi="宋体" w:eastAsia="宋体" w:cs="宋体"/>
                <w:color w:val="000000"/>
                <w:spacing w:val="0"/>
                <w:w w:val="100"/>
                <w:position w:val="0"/>
                <w:sz w:val="20"/>
                <w:szCs w:val="20"/>
                <w:u w:val="none"/>
                <w:shd w:val="clear" w:color="auto" w:fill="auto"/>
                <w:lang w:val="en-US" w:eastAsia="zh-CN" w:bidi="zh-TW"/>
              </w:rPr>
              <w:t>信息中心</w:t>
            </w:r>
          </w:p>
        </w:tc>
      </w:tr>
      <w:tr>
        <w:tblPrEx>
          <w:tblCellMar>
            <w:top w:w="0" w:type="dxa"/>
            <w:left w:w="10" w:type="dxa"/>
            <w:bottom w:w="0" w:type="dxa"/>
            <w:right w:w="10" w:type="dxa"/>
          </w:tblCellMar>
        </w:tblPrEx>
        <w:trPr>
          <w:trHeight w:val="288" w:hRule="exact"/>
          <w:jc w:val="center"/>
        </w:trPr>
        <w:tc>
          <w:tcPr>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主管部门</w:t>
            </w:r>
          </w:p>
        </w:tc>
        <w:tc>
          <w:tcPr>
            <w:gridSpan w:val="4"/>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益阳市资阳区人民政府办公室</w:t>
            </w:r>
          </w:p>
        </w:tc>
        <w:tc>
          <w:tcPr>
            <w:gridSpan w:val="2"/>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both"/>
              <w:textAlignment w:val="auto"/>
              <w:rPr>
                <w:sz w:val="20"/>
                <w:szCs w:val="20"/>
              </w:rPr>
            </w:pPr>
            <w:r>
              <w:rPr>
                <w:color w:val="000000"/>
                <w:spacing w:val="0"/>
                <w:w w:val="100"/>
                <w:position w:val="0"/>
                <w:sz w:val="20"/>
                <w:szCs w:val="20"/>
              </w:rPr>
              <w:t>实施单位</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益阳市资阳区人民政府办公室</w:t>
            </w:r>
          </w:p>
        </w:tc>
      </w:tr>
      <w:tr>
        <w:tblPrEx>
          <w:tblCellMar>
            <w:top w:w="0" w:type="dxa"/>
            <w:left w:w="10" w:type="dxa"/>
            <w:bottom w:w="0" w:type="dxa"/>
            <w:right w:w="10" w:type="dxa"/>
          </w:tblCellMar>
        </w:tblPrEx>
        <w:trPr>
          <w:trHeight w:val="547" w:hRule="exact"/>
          <w:jc w:val="center"/>
        </w:trPr>
        <w:tc>
          <w:tcPr>
            <w:vMerge w:val="restart"/>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74" w:lineRule="exact"/>
              <w:ind w:left="220" w:right="0" w:firstLine="0" w:firstLineChars="0"/>
              <w:jc w:val="left"/>
              <w:textAlignment w:val="auto"/>
              <w:rPr>
                <w:sz w:val="20"/>
                <w:szCs w:val="20"/>
              </w:rPr>
            </w:pPr>
            <w:r>
              <w:rPr>
                <w:color w:val="000000"/>
                <w:spacing w:val="0"/>
                <w:w w:val="100"/>
                <w:position w:val="0"/>
                <w:sz w:val="20"/>
                <w:szCs w:val="20"/>
              </w:rPr>
              <w:t>项目资金: （万元）</w:t>
            </w:r>
          </w:p>
        </w:tc>
        <w:tc>
          <w:tcPr>
            <w:tcW w:w="2140" w:type="dxa"/>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219"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年初预算数</w:t>
            </w:r>
          </w:p>
        </w:tc>
        <w:tc>
          <w:tcPr>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全年预算数</w:t>
            </w:r>
          </w:p>
        </w:tc>
        <w:tc>
          <w:tcPr>
            <w:gridSpan w:val="2"/>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全年执行数</w:t>
            </w:r>
          </w:p>
        </w:tc>
        <w:tc>
          <w:tcPr>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分值</w:t>
            </w:r>
          </w:p>
        </w:tc>
        <w:tc>
          <w:tcPr>
            <w:tcW w:w="864"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执行率</w:t>
            </w:r>
          </w:p>
        </w:tc>
        <w:tc>
          <w:tcPr>
            <w:tcW w:w="1411" w:type="dxa"/>
            <w:tcBorders>
              <w:top w:val="single" w:color="auto" w:sz="4" w:space="0"/>
              <w:left w:val="single" w:color="auto" w:sz="4" w:space="0"/>
              <w:righ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得分</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bottom"/>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年度资金总额</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20</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20</w:t>
            </w: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20</w:t>
            </w:r>
          </w:p>
        </w:tc>
        <w:tc>
          <w:tcPr>
            <w:tcBorders>
              <w:top w:val="single" w:color="auto" w:sz="4" w:space="0"/>
              <w:left w:val="single" w:color="auto" w:sz="4" w:space="0"/>
            </w:tcBorders>
            <w:shd w:val="clear" w:color="auto" w:fill="FFFFFF"/>
            <w:vAlign w:val="bottom"/>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rFonts w:ascii="Times New Roman" w:hAnsi="Times New Roman" w:eastAsia="Times New Roman" w:cs="Times New Roman"/>
                <w:color w:val="000000"/>
                <w:spacing w:val="0"/>
                <w:w w:val="100"/>
                <w:position w:val="0"/>
                <w:sz w:val="20"/>
                <w:szCs w:val="20"/>
              </w:rPr>
              <w:t>10</w:t>
            </w:r>
            <w:r>
              <w:rPr>
                <w:color w:val="000000"/>
                <w:spacing w:val="0"/>
                <w:w w:val="100"/>
                <w:position w:val="0"/>
                <w:sz w:val="20"/>
                <w:szCs w:val="20"/>
              </w:rPr>
              <w:t>分</w:t>
            </w: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b w:val="0"/>
                <w:bCs w:val="0"/>
                <w:color w:val="000000"/>
                <w:spacing w:val="0"/>
                <w:w w:val="100"/>
                <w:position w:val="0"/>
                <w:sz w:val="20"/>
                <w:szCs w:val="20"/>
                <w:shd w:val="clear" w:color="auto" w:fill="auto"/>
                <w:lang w:val="en-US" w:eastAsia="zh-CN" w:bidi="en-US"/>
              </w:rPr>
            </w:pPr>
            <w:r>
              <w:rPr>
                <w:rFonts w:hint="eastAsia" w:eastAsia="宋体"/>
                <w:b w:val="0"/>
                <w:bCs w:val="0"/>
                <w:sz w:val="20"/>
                <w:szCs w:val="20"/>
                <w:lang w:val="en-US" w:eastAsia="zh-CN"/>
              </w:rPr>
              <w:t>100%</w:t>
            </w: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其中：当年财政拨款</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88"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上年结转资金</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78"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其他资金</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78" w:hRule="exact"/>
          <w:jc w:val="center"/>
        </w:trPr>
        <w:tc>
          <w:tcPr>
            <w:vMerge w:val="restart"/>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64" w:lineRule="exact"/>
              <w:ind w:left="0" w:right="0" w:firstLine="0" w:firstLineChars="0"/>
              <w:jc w:val="center"/>
              <w:textAlignment w:val="auto"/>
              <w:rPr>
                <w:sz w:val="20"/>
                <w:szCs w:val="20"/>
              </w:rPr>
            </w:pPr>
            <w:r>
              <w:rPr>
                <w:color w:val="000000"/>
                <w:spacing w:val="0"/>
                <w:w w:val="100"/>
                <w:position w:val="0"/>
                <w:sz w:val="20"/>
                <w:szCs w:val="20"/>
              </w:rPr>
              <w:t>年度总体 目标</w:t>
            </w:r>
          </w:p>
        </w:tc>
        <w:tc>
          <w:tcPr>
            <w:gridSpan w:val="4"/>
            <w:tcBorders>
              <w:top w:val="single" w:color="auto" w:sz="4" w:space="0"/>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预期目标</w:t>
            </w:r>
          </w:p>
        </w:tc>
        <w:tc>
          <w:tcPr>
            <w:gridSpan w:val="5"/>
            <w:tcBorders>
              <w:top w:val="single" w:color="auto" w:sz="4" w:space="0"/>
              <w:left w:val="single" w:color="auto" w:sz="4" w:space="0"/>
              <w:righ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实际完成情况</w:t>
            </w:r>
          </w:p>
        </w:tc>
      </w:tr>
      <w:tr>
        <w:tblPrEx>
          <w:tblCellMar>
            <w:top w:w="0" w:type="dxa"/>
            <w:left w:w="10" w:type="dxa"/>
            <w:bottom w:w="0" w:type="dxa"/>
            <w:right w:w="10" w:type="dxa"/>
          </w:tblCellMar>
        </w:tblPrEx>
        <w:trPr>
          <w:trHeight w:val="833" w:hRule="exact"/>
          <w:jc w:val="center"/>
        </w:trPr>
        <w:tc>
          <w:tcPr>
            <w:vMerge w:val="continue"/>
            <w:tcBorders>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gridSpan w:val="4"/>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1"/>
                <w:szCs w:val="11"/>
              </w:rPr>
            </w:pPr>
            <w:r>
              <w:rPr>
                <w:rFonts w:hint="eastAsia" w:ascii="仿宋" w:hAnsi="仿宋" w:eastAsia="仿宋" w:cs="仿宋"/>
                <w:b w:val="0"/>
                <w:bCs w:val="0"/>
                <w:sz w:val="11"/>
                <w:szCs w:val="11"/>
                <w:lang w:eastAsia="zh-CN"/>
              </w:rPr>
              <w:t>负责全区“放管服”改革的综合、协调、督促；负责全区行政审批制度改革统筹协调；负责编制全区政务公开工作规划和年度计划并组织实施；负责指导、协调、监督全区政务公开工作；负责政务公开工作的调查研究和情况综合。</w:t>
            </w:r>
          </w:p>
        </w:tc>
        <w:tc>
          <w:tcPr>
            <w:gridSpan w:val="5"/>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1"/>
                <w:szCs w:val="11"/>
              </w:rPr>
            </w:pPr>
            <w:r>
              <w:rPr>
                <w:rFonts w:hint="eastAsia" w:ascii="仿宋" w:hAnsi="仿宋" w:eastAsia="仿宋" w:cs="仿宋"/>
                <w:b w:val="0"/>
                <w:bCs w:val="0"/>
                <w:sz w:val="11"/>
                <w:szCs w:val="11"/>
                <w:lang w:eastAsia="zh-CN"/>
              </w:rPr>
              <w:t>负责全区“放管服”改革的综合、协调、督促；负责全区行政审批制度改革统筹协调；负责编制全区政务公开工作规划和年度计划并组织实施；负责指导、协调、监督全区政务公开工作；负责政务公开工作的调查研究和情况综合。</w:t>
            </w:r>
          </w:p>
        </w:tc>
      </w:tr>
      <w:tr>
        <w:tblPrEx>
          <w:tblCellMar>
            <w:top w:w="0" w:type="dxa"/>
            <w:left w:w="10" w:type="dxa"/>
            <w:bottom w:w="0" w:type="dxa"/>
            <w:right w:w="10" w:type="dxa"/>
          </w:tblCellMar>
        </w:tblPrEx>
        <w:trPr>
          <w:trHeight w:val="725" w:hRule="exact"/>
          <w:jc w:val="center"/>
        </w:trPr>
        <w:tc>
          <w:tcPr>
            <w:tcW w:w="1109" w:type="dxa"/>
            <w:vMerge w:val="restart"/>
            <w:tcBorders>
              <w:top w:val="single" w:color="auto" w:sz="4" w:space="0"/>
              <w:left w:val="single" w:color="auto" w:sz="4" w:space="0"/>
            </w:tcBorders>
            <w:shd w:val="clear" w:color="auto" w:fill="FFFFFF"/>
            <w:textDirection w:val="tbRlV"/>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pPr>
            <w:r>
              <w:rPr>
                <w:color w:val="000000"/>
                <w:spacing w:val="0"/>
                <w:w w:val="100"/>
                <w:position w:val="0"/>
              </w:rPr>
              <w:t>绩效指标</w:t>
            </w:r>
          </w:p>
        </w:tc>
        <w:tc>
          <w:tcPr>
            <w:tcW w:w="1070"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left"/>
              <w:textAlignment w:val="auto"/>
              <w:rPr>
                <w:sz w:val="20"/>
                <w:szCs w:val="20"/>
              </w:rPr>
            </w:pPr>
            <w:r>
              <w:rPr>
                <w:color w:val="000000"/>
                <w:spacing w:val="0"/>
                <w:w w:val="100"/>
                <w:position w:val="0"/>
                <w:sz w:val="20"/>
                <w:szCs w:val="20"/>
              </w:rPr>
              <w:t>一级指标</w:t>
            </w:r>
          </w:p>
        </w:tc>
        <w:tc>
          <w:tcPr>
            <w:tcW w:w="1070"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left"/>
              <w:textAlignment w:val="auto"/>
              <w:rPr>
                <w:sz w:val="20"/>
                <w:szCs w:val="20"/>
              </w:rPr>
            </w:pPr>
            <w:r>
              <w:rPr>
                <w:color w:val="000000"/>
                <w:spacing w:val="0"/>
                <w:w w:val="100"/>
                <w:position w:val="0"/>
                <w:sz w:val="20"/>
                <w:szCs w:val="20"/>
              </w:rPr>
              <w:t>二级指标</w:t>
            </w:r>
          </w:p>
        </w:tc>
        <w:tc>
          <w:tcPr>
            <w:tcW w:w="1219"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sz w:val="20"/>
                <w:szCs w:val="20"/>
              </w:rPr>
            </w:pPr>
            <w:r>
              <w:rPr>
                <w:color w:val="000000"/>
                <w:spacing w:val="0"/>
                <w:w w:val="100"/>
                <w:position w:val="0"/>
                <w:sz w:val="20"/>
                <w:szCs w:val="20"/>
              </w:rPr>
              <w:t>三级指标</w:t>
            </w:r>
          </w:p>
        </w:tc>
        <w:tc>
          <w:tcPr>
            <w:tcW w:w="1123"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sz w:val="20"/>
                <w:szCs w:val="20"/>
              </w:rPr>
            </w:pPr>
            <w:r>
              <w:rPr>
                <w:color w:val="000000"/>
                <w:spacing w:val="0"/>
                <w:w w:val="100"/>
                <w:position w:val="0"/>
                <w:sz w:val="20"/>
                <w:szCs w:val="20"/>
              </w:rPr>
              <w:t>年度指标值</w:t>
            </w:r>
          </w:p>
        </w:tc>
        <w:tc>
          <w:tcPr>
            <w:tcW w:w="1138" w:type="dxa"/>
            <w:gridSpan w:val="2"/>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sz w:val="20"/>
                <w:szCs w:val="20"/>
              </w:rPr>
            </w:pPr>
            <w:r>
              <w:rPr>
                <w:color w:val="000000"/>
                <w:spacing w:val="0"/>
                <w:w w:val="100"/>
                <w:position w:val="0"/>
                <w:sz w:val="20"/>
                <w:szCs w:val="20"/>
              </w:rPr>
              <w:t>实际完成值</w:t>
            </w:r>
          </w:p>
        </w:tc>
        <w:tc>
          <w:tcPr>
            <w:tcW w:w="826"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sz w:val="20"/>
                <w:szCs w:val="20"/>
              </w:rPr>
            </w:pPr>
            <w:r>
              <w:rPr>
                <w:color w:val="000000"/>
                <w:spacing w:val="0"/>
                <w:w w:val="100"/>
                <w:position w:val="0"/>
                <w:sz w:val="20"/>
                <w:szCs w:val="20"/>
              </w:rPr>
              <w:t>分值</w:t>
            </w:r>
          </w:p>
        </w:tc>
        <w:tc>
          <w:tcPr>
            <w:tcW w:w="864" w:type="dxa"/>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sz w:val="20"/>
                <w:szCs w:val="20"/>
              </w:rPr>
            </w:pPr>
            <w:r>
              <w:rPr>
                <w:color w:val="000000"/>
                <w:spacing w:val="0"/>
                <w:w w:val="100"/>
                <w:position w:val="0"/>
                <w:sz w:val="20"/>
                <w:szCs w:val="20"/>
              </w:rPr>
              <w:t>得分</w:t>
            </w:r>
          </w:p>
        </w:tc>
        <w:tc>
          <w:tcPr>
            <w:tcW w:w="1411" w:type="dxa"/>
            <w:tcBorders>
              <w:top w:val="single" w:color="auto" w:sz="4" w:space="0"/>
              <w:left w:val="single" w:color="auto" w:sz="4" w:space="0"/>
              <w:right w:val="single" w:color="auto" w:sz="4" w:space="0"/>
            </w:tcBorders>
            <w:shd w:val="clear" w:color="auto" w:fill="FFFFFF"/>
            <w:vAlign w:val="bottom"/>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偏差原因分析及</w:t>
            </w:r>
            <w:r>
              <w:rPr>
                <w:rFonts w:hint="eastAsia"/>
                <w:color w:val="000000"/>
                <w:spacing w:val="0"/>
                <w:w w:val="100"/>
                <w:position w:val="0"/>
                <w:sz w:val="20"/>
                <w:szCs w:val="20"/>
                <w:lang w:val="en-US" w:eastAsia="zh-CN"/>
              </w:rPr>
              <w:t>改进措施</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leftChars="0" w:right="0" w:rightChars="0" w:firstLine="0" w:firstLineChars="0"/>
              <w:jc w:val="center"/>
              <w:textAlignment w:val="auto"/>
              <w:rPr>
                <w:color w:val="000000"/>
                <w:spacing w:val="0"/>
                <w:w w:val="100"/>
                <w:position w:val="0"/>
                <w:sz w:val="20"/>
                <w:szCs w:val="20"/>
              </w:rPr>
            </w:pPr>
          </w:p>
        </w:tc>
      </w:tr>
      <w:tr>
        <w:tblPrEx>
          <w:tblCellMar>
            <w:top w:w="0" w:type="dxa"/>
            <w:left w:w="10" w:type="dxa"/>
            <w:bottom w:w="0" w:type="dxa"/>
            <w:right w:w="10" w:type="dxa"/>
          </w:tblCellMar>
        </w:tblPrEx>
        <w:trPr>
          <w:trHeight w:val="908"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restart"/>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240" w:line="240" w:lineRule="auto"/>
              <w:ind w:left="0" w:right="0" w:firstLine="0" w:firstLineChars="0"/>
              <w:jc w:val="center"/>
              <w:textAlignment w:val="auto"/>
              <w:rPr>
                <w:sz w:val="20"/>
                <w:szCs w:val="20"/>
              </w:rPr>
            </w:pPr>
            <w:r>
              <w:rPr>
                <w:color w:val="000000"/>
                <w:spacing w:val="0"/>
                <w:w w:val="100"/>
                <w:position w:val="0"/>
                <w:sz w:val="20"/>
                <w:szCs w:val="20"/>
              </w:rPr>
              <w:t>产出指标</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ascii="Times New Roman" w:hAnsi="Times New Roman" w:eastAsia="Times New Roman" w:cs="Times New Roman"/>
                <w:color w:val="000000"/>
                <w:spacing w:val="0"/>
                <w:w w:val="100"/>
                <w:position w:val="0"/>
                <w:sz w:val="20"/>
                <w:szCs w:val="20"/>
              </w:rPr>
              <w:t>（5</w:t>
            </w:r>
            <w:r>
              <w:rPr>
                <w:rFonts w:hint="eastAsia" w:ascii="Times New Roman" w:hAnsi="Times New Roman" w:cs="Times New Roman"/>
                <w:color w:val="000000"/>
                <w:spacing w:val="0"/>
                <w:w w:val="100"/>
                <w:position w:val="0"/>
                <w:sz w:val="20"/>
                <w:szCs w:val="20"/>
                <w:lang w:val="en-US" w:eastAsia="zh-CN"/>
              </w:rPr>
              <w:t>0</w:t>
            </w:r>
            <w:r>
              <w:rPr>
                <w:color w:val="000000"/>
                <w:spacing w:val="0"/>
                <w:w w:val="100"/>
                <w:position w:val="0"/>
                <w:sz w:val="20"/>
                <w:szCs w:val="20"/>
              </w:rPr>
              <w:t>分）</w:t>
            </w:r>
          </w:p>
        </w:tc>
        <w:tc>
          <w:tcPr>
            <w:tcW w:w="1070"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数量指标</w:t>
            </w:r>
          </w:p>
        </w:tc>
        <w:tc>
          <w:tcPr>
            <w:tcW w:w="1219"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hint="eastAsia" w:ascii="Times New Roman" w:hAnsi="Times New Roman" w:eastAsia="Times New Roman" w:cs="Times New Roman"/>
                <w:color w:val="000000"/>
                <w:spacing w:val="0"/>
                <w:w w:val="100"/>
                <w:position w:val="0"/>
                <w:sz w:val="20"/>
                <w:szCs w:val="20"/>
                <w:u w:val="none"/>
                <w:shd w:val="clear" w:color="auto" w:fill="auto"/>
                <w:lang w:val="zh-TW" w:eastAsia="zh-TW" w:bidi="en-US"/>
              </w:rPr>
            </w:pPr>
            <w:r>
              <w:rPr>
                <w:rFonts w:hint="eastAsia" w:ascii="Times New Roman" w:hAnsi="Times New Roman" w:eastAsia="Times New Roman" w:cs="Times New Roman"/>
                <w:color w:val="000000"/>
                <w:spacing w:val="0"/>
                <w:w w:val="100"/>
                <w:position w:val="0"/>
                <w:sz w:val="20"/>
                <w:szCs w:val="20"/>
                <w:u w:val="none"/>
                <w:shd w:val="clear" w:color="auto" w:fill="auto"/>
                <w:lang w:val="en-US" w:eastAsia="en-US" w:bidi="en-US"/>
              </w:rPr>
              <w:t>科学合理实现各项工作数量要求</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符合工作要求</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符合工作要求</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958"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5"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质量指标</w:t>
            </w:r>
          </w:p>
        </w:tc>
        <w:tc>
          <w:tcPr>
            <w:tcW w:w="1219"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hint="eastAsia" w:ascii="Times New Roman" w:hAnsi="Times New Roman" w:eastAsia="Times New Roman" w:cs="Times New Roman"/>
                <w:color w:val="000000"/>
                <w:spacing w:val="0"/>
                <w:w w:val="100"/>
                <w:position w:val="0"/>
                <w:sz w:val="20"/>
                <w:szCs w:val="20"/>
                <w:u w:val="none"/>
                <w:shd w:val="clear" w:color="auto" w:fill="auto"/>
                <w:lang w:val="zh-TW" w:eastAsia="zh-TW" w:bidi="en-US"/>
              </w:rPr>
            </w:pPr>
            <w:r>
              <w:rPr>
                <w:rFonts w:hint="eastAsia" w:ascii="Times New Roman" w:hAnsi="Times New Roman" w:eastAsia="Times New Roman" w:cs="Times New Roman"/>
                <w:color w:val="000000"/>
                <w:spacing w:val="0"/>
                <w:w w:val="100"/>
                <w:position w:val="0"/>
                <w:sz w:val="20"/>
                <w:szCs w:val="20"/>
                <w:u w:val="none"/>
                <w:shd w:val="clear" w:color="auto" w:fill="auto"/>
                <w:lang w:val="en-US" w:eastAsia="en-US" w:bidi="en-US"/>
              </w:rPr>
              <w:t>保障机关日常运转，保证各项工作工作质量</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工作质量达到各项工作要求</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工作质量达到各项工作要求</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1138"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时效指标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position w:val="0"/>
                <w:sz w:val="20"/>
                <w:szCs w:val="20"/>
                <w:u w:val="none"/>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u w:val="none"/>
                <w:shd w:val="clear" w:color="auto" w:fill="auto"/>
                <w:lang w:val="en-US" w:eastAsia="en-US" w:bidi="en-US"/>
              </w:rPr>
              <w:t>按照工作要求，确保各项工作的有序开展并及时高效完成</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723"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bottom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成本指标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position w:val="0"/>
                <w:sz w:val="20"/>
                <w:szCs w:val="20"/>
                <w:u w:val="none"/>
                <w:shd w:val="clear" w:color="auto" w:fill="auto"/>
                <w:lang w:val="en-US" w:eastAsia="zh-CN" w:bidi="en-US"/>
              </w:rPr>
            </w:pPr>
            <w:r>
              <w:rPr>
                <w:rFonts w:hint="eastAsia" w:ascii="Times New Roman" w:hAnsi="Times New Roman" w:eastAsia="Times New Roman" w:cs="Times New Roman"/>
                <w:color w:val="000000"/>
                <w:spacing w:val="0"/>
                <w:w w:val="100"/>
                <w:position w:val="0"/>
                <w:sz w:val="20"/>
                <w:szCs w:val="20"/>
                <w:u w:val="none"/>
                <w:shd w:val="clear" w:color="auto" w:fill="auto"/>
                <w:lang w:val="en-US" w:eastAsia="zh-CN" w:bidi="en-US"/>
              </w:rPr>
              <w:t>按照预算严格执行</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978"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restart"/>
            <w:tcBorders>
              <w:top w:val="single" w:color="auto" w:sz="4" w:space="0"/>
              <w:left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效益指标</w:t>
            </w:r>
          </w:p>
          <w:p>
            <w:pPr>
              <w:pStyle w:val="8"/>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rFonts w:ascii="Times New Roman" w:hAnsi="Times New Roman" w:eastAsia="Times New Roman" w:cs="Times New Roman"/>
                <w:color w:val="000000"/>
                <w:spacing w:val="0"/>
                <w:w w:val="100"/>
                <w:position w:val="0"/>
                <w:sz w:val="20"/>
                <w:szCs w:val="20"/>
              </w:rPr>
              <w:t>（40</w:t>
            </w:r>
            <w:r>
              <w:rPr>
                <w:color w:val="000000"/>
                <w:spacing w:val="0"/>
                <w:w w:val="100"/>
                <w:position w:val="0"/>
                <w:sz w:val="20"/>
                <w:szCs w:val="20"/>
              </w:rPr>
              <w:t>分）</w:t>
            </w:r>
          </w:p>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4"/>
                <w:szCs w:val="24"/>
                <w:shd w:val="clear" w:color="auto" w:fill="auto"/>
                <w:lang w:val="en-US" w:eastAsia="en-US" w:bidi="en-US"/>
              </w:rPr>
            </w:pPr>
          </w:p>
        </w:tc>
        <w:tc>
          <w:tcPr>
            <w:tcW w:w="1070"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经济效益指标</w:t>
            </w:r>
          </w:p>
        </w:tc>
        <w:tc>
          <w:tcPr>
            <w:tcW w:w="1219"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hint="eastAsia" w:ascii="Times New Roman" w:hAnsi="Times New Roman" w:eastAsia="Times New Roman" w:cs="Times New Roman"/>
                <w:color w:val="000000"/>
                <w:spacing w:val="0"/>
                <w:w w:val="100"/>
                <w:position w:val="0"/>
                <w:sz w:val="20"/>
                <w:szCs w:val="20"/>
                <w:u w:val="none"/>
                <w:shd w:val="clear" w:color="auto" w:fill="auto"/>
                <w:lang w:val="zh-TW" w:eastAsia="zh-TW" w:bidi="en-US"/>
              </w:rPr>
            </w:pPr>
            <w:r>
              <w:rPr>
                <w:rFonts w:hint="eastAsia" w:ascii="Times New Roman" w:hAnsi="Times New Roman" w:eastAsia="Times New Roman" w:cs="Times New Roman"/>
                <w:color w:val="000000"/>
                <w:spacing w:val="0"/>
                <w:w w:val="100"/>
                <w:position w:val="0"/>
                <w:sz w:val="20"/>
                <w:szCs w:val="20"/>
                <w:u w:val="none"/>
                <w:shd w:val="clear" w:color="auto" w:fill="auto"/>
                <w:lang w:val="en-US" w:eastAsia="en-US" w:bidi="en-US"/>
              </w:rPr>
              <w:t>经济效益指标合理，较好维护人民群众财产安全</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较好维护人民群众财产安全</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913"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社会效益</w:t>
            </w:r>
            <w:r>
              <w:rPr>
                <w:rFonts w:hint="eastAsia" w:ascii="宋体" w:hAnsi="宋体" w:eastAsia="宋体" w:cs="宋体"/>
                <w:color w:val="000000"/>
                <w:spacing w:val="0"/>
                <w:w w:val="100"/>
                <w:position w:val="0"/>
                <w:sz w:val="20"/>
                <w:szCs w:val="20"/>
                <w:lang w:eastAsia="zh-CN"/>
              </w:rPr>
              <w:t>指</w:t>
            </w:r>
            <w:r>
              <w:rPr>
                <w:rFonts w:hint="eastAsia" w:ascii="宋体" w:hAnsi="宋体" w:eastAsia="宋体" w:cs="宋体"/>
                <w:color w:val="000000"/>
                <w:spacing w:val="0"/>
                <w:w w:val="100"/>
                <w:position w:val="0"/>
                <w:sz w:val="20"/>
                <w:szCs w:val="20"/>
              </w:rPr>
              <w:t>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position w:val="0"/>
                <w:sz w:val="20"/>
                <w:szCs w:val="20"/>
                <w:u w:val="none"/>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u w:val="none"/>
                <w:shd w:val="clear" w:color="auto" w:fill="auto"/>
                <w:lang w:val="en-US" w:eastAsia="en-US" w:bidi="en-US"/>
              </w:rPr>
              <w:t>较好维护社会安全稳定，实际对社会安全稳定有较好促进作用</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较好维护社会安全稳定，实际对社会安全稳定有较好促进作用</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较好维护社会安全稳定，实际对社会安全稳定有较好促进作用</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883"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14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生态效益指标</w:t>
            </w:r>
          </w:p>
        </w:tc>
        <w:tc>
          <w:tcPr>
            <w:tcW w:w="1219"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hint="eastAsia" w:ascii="Times New Roman" w:hAnsi="Times New Roman" w:eastAsia="Times New Roman" w:cs="Times New Roman"/>
                <w:color w:val="000000"/>
                <w:spacing w:val="0"/>
                <w:w w:val="100"/>
                <w:position w:val="0"/>
                <w:sz w:val="20"/>
                <w:szCs w:val="20"/>
                <w:u w:val="none"/>
                <w:shd w:val="clear" w:color="auto" w:fill="auto"/>
                <w:lang w:val="zh-TW" w:eastAsia="zh-TW" w:bidi="en-US"/>
              </w:rPr>
            </w:pPr>
            <w:r>
              <w:rPr>
                <w:rFonts w:hint="eastAsia" w:ascii="Times New Roman" w:hAnsi="Times New Roman" w:eastAsia="Times New Roman" w:cs="Times New Roman"/>
                <w:color w:val="000000"/>
                <w:spacing w:val="0"/>
                <w:w w:val="100"/>
                <w:position w:val="0"/>
                <w:sz w:val="20"/>
                <w:szCs w:val="20"/>
                <w:u w:val="none"/>
                <w:shd w:val="clear" w:color="auto" w:fill="auto"/>
                <w:lang w:val="en-US" w:eastAsia="en-US" w:bidi="en-US"/>
              </w:rPr>
              <w:t>生态效益指标合理</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及时处理生态相关</w:t>
            </w:r>
            <w:r>
              <w:rPr>
                <w:rFonts w:hint="eastAsia" w:eastAsia="宋体" w:cs="Times New Roman"/>
                <w:color w:val="000000"/>
                <w:spacing w:val="0"/>
                <w:w w:val="100"/>
                <w:position w:val="0"/>
                <w:sz w:val="18"/>
                <w:szCs w:val="18"/>
                <w:shd w:val="clear" w:color="auto" w:fill="auto"/>
                <w:lang w:val="en-US" w:eastAsia="zh-CN" w:bidi="en-US"/>
              </w:rPr>
              <w:t>信息</w:t>
            </w:r>
            <w:r>
              <w:rPr>
                <w:rFonts w:hint="eastAsia" w:ascii="Times New Roman" w:hAnsi="Times New Roman" w:eastAsia="Times New Roman" w:cs="Times New Roman"/>
                <w:color w:val="000000"/>
                <w:spacing w:val="0"/>
                <w:w w:val="100"/>
                <w:position w:val="0"/>
                <w:sz w:val="18"/>
                <w:szCs w:val="18"/>
                <w:shd w:val="clear" w:color="auto" w:fill="auto"/>
                <w:lang w:val="en-US" w:eastAsia="en-US" w:bidi="en-US"/>
              </w:rPr>
              <w:t>，维护良好生态</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较好</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1033" w:hRule="exact"/>
          <w:jc w:val="center"/>
        </w:trPr>
        <w:tc>
          <w:tcPr>
            <w:tcW w:w="1109"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center"/>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sz w:val="20"/>
                <w:szCs w:val="20"/>
                <w:lang w:eastAsia="zh-CN"/>
              </w:rPr>
              <w:t>可持续影响指标</w:t>
            </w:r>
          </w:p>
        </w:tc>
        <w:tc>
          <w:tcPr>
            <w:tcW w:w="1219" w:type="dxa"/>
            <w:tcBorders>
              <w:top w:val="single" w:color="auto" w:sz="4" w:space="0"/>
              <w:left w:val="single" w:color="auto" w:sz="4" w:space="0"/>
              <w:bottom w:val="single" w:color="auto" w:sz="4" w:space="0"/>
            </w:tcBorders>
            <w:shd w:val="clear" w:color="auto" w:fill="FFFFFF"/>
            <w:vAlign w:val="center"/>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hint="eastAsia" w:ascii="Times New Roman" w:hAnsi="Times New Roman" w:eastAsia="Times New Roman" w:cs="Times New Roman"/>
                <w:color w:val="000000"/>
                <w:spacing w:val="0"/>
                <w:w w:val="100"/>
                <w:position w:val="0"/>
                <w:sz w:val="20"/>
                <w:szCs w:val="20"/>
                <w:u w:val="none"/>
                <w:shd w:val="clear" w:color="auto" w:fill="auto"/>
                <w:lang w:val="en-US" w:eastAsia="zh-CN" w:bidi="en-US"/>
              </w:rPr>
            </w:pPr>
            <w:r>
              <w:rPr>
                <w:rFonts w:hint="eastAsia" w:ascii="Times New Roman" w:hAnsi="Times New Roman" w:eastAsia="Times New Roman" w:cs="Times New Roman"/>
                <w:color w:val="000000"/>
                <w:spacing w:val="0"/>
                <w:w w:val="100"/>
                <w:position w:val="0"/>
                <w:sz w:val="20"/>
                <w:szCs w:val="20"/>
                <w:u w:val="none"/>
                <w:shd w:val="clear" w:color="auto" w:fill="auto"/>
                <w:lang w:val="en-US" w:eastAsia="zh-CN" w:bidi="en-US"/>
              </w:rPr>
              <w:t>有利于客持续发展</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298" w:hRule="exact"/>
          <w:jc w:val="center"/>
        </w:trPr>
        <w:tc>
          <w:tcPr>
            <w:tcW w:w="1109" w:type="dxa"/>
            <w:vMerge w:val="continue"/>
            <w:tcBorders>
              <w:left w:val="single" w:color="auto" w:sz="4" w:space="0"/>
              <w:bottom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bottom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服务对象满意度指标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13"/>
                <w:szCs w:val="13"/>
                <w:shd w:val="clear" w:color="auto" w:fill="auto"/>
                <w:lang w:val="en-US" w:eastAsia="en-US" w:bidi="en-US"/>
              </w:rPr>
            </w:pPr>
            <w:r>
              <w:rPr>
                <w:rFonts w:hint="eastAsia"/>
                <w:sz w:val="13"/>
                <w:szCs w:val="13"/>
              </w:rPr>
              <w:t>人民群众总体满意</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≥95%</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cs="Times New Roman"/>
                <w:color w:val="000000"/>
                <w:spacing w:val="0"/>
                <w:w w:val="100"/>
                <w:position w:val="0"/>
                <w:sz w:val="20"/>
                <w:szCs w:val="20"/>
                <w:shd w:val="clear" w:color="auto" w:fill="auto"/>
                <w:lang w:val="en-US" w:eastAsia="zh-CN" w:bidi="en-US"/>
              </w:rPr>
              <w:t>100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298" w:hRule="exact"/>
          <w:jc w:val="center"/>
        </w:trPr>
        <w:tc>
          <w:tcPr>
            <w:gridSpan w:val="7"/>
            <w:tcBorders>
              <w:top w:val="single" w:color="auto" w:sz="4" w:space="0"/>
              <w:left w:val="single" w:color="auto" w:sz="4" w:space="0"/>
              <w:bottom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总分</w:t>
            </w:r>
          </w:p>
        </w:tc>
        <w:tc>
          <w:tcPr>
            <w:tcBorders>
              <w:top w:val="single" w:color="auto" w:sz="4" w:space="0"/>
              <w:left w:val="single" w:color="auto" w:sz="4" w:space="0"/>
              <w:bottom w:val="single" w:color="auto" w:sz="4" w:space="0"/>
            </w:tcBorders>
            <w:shd w:val="clear" w:color="auto" w:fill="FFFFFF"/>
            <w:vAlign w:val="top"/>
          </w:tcPr>
          <w:p>
            <w:pPr>
              <w:pStyle w:val="8"/>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rFonts w:ascii="Times New Roman" w:hAnsi="Times New Roman" w:eastAsia="Times New Roman" w:cs="Times New Roman"/>
                <w:color w:val="000000"/>
                <w:spacing w:val="0"/>
                <w:w w:val="100"/>
                <w:position w:val="0"/>
                <w:sz w:val="20"/>
                <w:szCs w:val="20"/>
              </w:rPr>
              <w:t>100</w:t>
            </w:r>
            <w:r>
              <w:rPr>
                <w:color w:val="000000"/>
                <w:spacing w:val="0"/>
                <w:w w:val="100"/>
                <w:position w:val="0"/>
                <w:sz w:val="20"/>
                <w:szCs w:val="20"/>
              </w:rPr>
              <w:t>分</w:t>
            </w:r>
          </w:p>
        </w:tc>
        <w:tc>
          <w:tcPr>
            <w:tcW w:w="864" w:type="dxa"/>
            <w:tcBorders>
              <w:top w:val="single" w:color="auto" w:sz="4" w:space="0"/>
              <w:left w:val="single" w:color="auto" w:sz="4" w:space="0"/>
              <w:bottom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sz w:val="10"/>
                <w:szCs w:val="10"/>
              </w:rPr>
            </w:pPr>
            <w:r>
              <w:rPr>
                <w:rFonts w:ascii="Times New Roman" w:hAnsi="Times New Roman" w:eastAsia="Times New Roman" w:cs="Times New Roman"/>
                <w:color w:val="000000"/>
                <w:spacing w:val="0"/>
                <w:w w:val="100"/>
                <w:position w:val="0"/>
                <w:sz w:val="20"/>
                <w:szCs w:val="20"/>
              </w:rPr>
              <w:t>100</w:t>
            </w:r>
            <w:r>
              <w:rPr>
                <w:color w:val="000000"/>
                <w:spacing w:val="0"/>
                <w:w w:val="100"/>
                <w:position w:val="0"/>
                <w:sz w:val="20"/>
                <w:szCs w:val="20"/>
              </w:rPr>
              <w:t>分</w:t>
            </w:r>
            <w:bookmarkStart w:id="0" w:name="_GoBack"/>
            <w:bookmarkEnd w:id="0"/>
          </w:p>
        </w:tc>
        <w:tc>
          <w:tcPr>
            <w:tcW w:w="1411"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bl>
    <w:p>
      <w:pPr>
        <w:pStyle w:val="10"/>
        <w:keepNext w:val="0"/>
        <w:keepLines w:val="0"/>
        <w:widowControl w:val="0"/>
        <w:shd w:val="clear" w:color="auto" w:fill="auto"/>
        <w:tabs>
          <w:tab w:val="left" w:pos="2088"/>
          <w:tab w:val="left" w:pos="4099"/>
          <w:tab w:val="left" w:pos="6389"/>
        </w:tabs>
        <w:bidi w:val="0"/>
        <w:spacing w:before="0" w:after="0" w:line="240" w:lineRule="auto"/>
        <w:ind w:left="0" w:leftChars="0" w:right="0" w:firstLine="0" w:firstLineChars="0"/>
        <w:jc w:val="left"/>
        <w:rPr>
          <w:rFonts w:hint="eastAsia" w:ascii="仿宋" w:hAnsi="仿宋" w:eastAsia="仿宋" w:cs="仿宋"/>
          <w:b w:val="0"/>
          <w:bCs w:val="0"/>
          <w:sz w:val="32"/>
          <w:szCs w:val="32"/>
          <w:lang w:eastAsia="zh-CN"/>
        </w:rPr>
      </w:pPr>
      <w:r>
        <w:rPr>
          <w:color w:val="000000"/>
          <w:spacing w:val="0"/>
          <w:w w:val="100"/>
          <w:position w:val="0"/>
        </w:rPr>
        <w:t>填表人：</w:t>
      </w:r>
      <w:r>
        <w:rPr>
          <w:rFonts w:hint="eastAsia"/>
          <w:color w:val="000000"/>
          <w:spacing w:val="0"/>
          <w:w w:val="100"/>
          <w:position w:val="0"/>
          <w:lang w:val="en-US" w:eastAsia="zh-CN"/>
        </w:rPr>
        <w:t xml:space="preserve">龙娟     </w:t>
      </w:r>
      <w:r>
        <w:rPr>
          <w:color w:val="000000"/>
          <w:spacing w:val="0"/>
          <w:w w:val="100"/>
          <w:position w:val="0"/>
        </w:rPr>
        <w:t>填报日期：</w:t>
      </w:r>
      <w:r>
        <w:rPr>
          <w:rFonts w:hint="eastAsia"/>
          <w:color w:val="000000"/>
          <w:spacing w:val="0"/>
          <w:w w:val="100"/>
          <w:position w:val="0"/>
          <w:lang w:val="en-US" w:eastAsia="zh-CN"/>
        </w:rPr>
        <w:t>2023.04.25</w:t>
      </w:r>
      <w:r>
        <w:rPr>
          <w:color w:val="000000"/>
          <w:spacing w:val="0"/>
          <w:w w:val="100"/>
          <w:position w:val="0"/>
        </w:rPr>
        <w:tab/>
      </w:r>
      <w:r>
        <w:rPr>
          <w:color w:val="000000"/>
          <w:spacing w:val="0"/>
          <w:w w:val="100"/>
          <w:position w:val="0"/>
        </w:rPr>
        <w:t>联系电话：</w:t>
      </w:r>
      <w:r>
        <w:rPr>
          <w:color w:val="000000"/>
          <w:spacing w:val="0"/>
          <w:w w:val="100"/>
          <w:position w:val="0"/>
        </w:rPr>
        <w:tab/>
      </w:r>
      <w:r>
        <w:rPr>
          <w:color w:val="000000"/>
          <w:spacing w:val="0"/>
          <w:w w:val="100"/>
          <w:position w:val="0"/>
        </w:rPr>
        <w:t>单位负责人签字:</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lMTBjYzFjNjAwYWE2YTFlOWNjZDlkMWQxMzdmODAifQ=="/>
  </w:docVars>
  <w:rsids>
    <w:rsidRoot w:val="2B5D01A7"/>
    <w:rsid w:val="1138217A"/>
    <w:rsid w:val="12EC6864"/>
    <w:rsid w:val="13CD16C2"/>
    <w:rsid w:val="207D6E29"/>
    <w:rsid w:val="2B5D01A7"/>
    <w:rsid w:val="6AF92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120" w:firstLineChars="200"/>
      <w:jc w:val="both"/>
    </w:pPr>
    <w:rPr>
      <w:rFonts w:eastAsia="宋体" w:asciiTheme="minorAscii" w:hAnsiTheme="minorAscii" w:cstheme="minorBidi"/>
      <w:kern w:val="2"/>
      <w:sz w:val="32"/>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ind w:firstLine="0" w:firstLineChars="0"/>
      <w:outlineLvl w:val="0"/>
    </w:pPr>
    <w:rPr>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customStyle="1" w:styleId="7">
    <w:name w:val="Body text|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8">
    <w:name w:val="Other|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9">
    <w:name w:val="Other|2"/>
    <w:basedOn w:val="1"/>
    <w:qFormat/>
    <w:uiPriority w:val="0"/>
    <w:pPr>
      <w:widowControl w:val="0"/>
      <w:shd w:val="clear" w:color="auto" w:fill="auto"/>
      <w:spacing w:before="180" w:line="225" w:lineRule="exact"/>
      <w:ind w:left="140" w:firstLine="20"/>
    </w:pPr>
    <w:rPr>
      <w:rFonts w:ascii="宋体" w:hAnsi="宋体" w:eastAsia="宋体" w:cs="宋体"/>
      <w:sz w:val="22"/>
      <w:szCs w:val="22"/>
      <w:u w:val="none"/>
      <w:shd w:val="clear" w:color="auto" w:fill="auto"/>
      <w:lang w:val="zh-TW" w:eastAsia="zh-TW" w:bidi="zh-TW"/>
    </w:rPr>
  </w:style>
  <w:style w:type="paragraph" w:customStyle="1" w:styleId="10">
    <w:name w:val="Table caption|1"/>
    <w:basedOn w:val="1"/>
    <w:qFormat/>
    <w:uiPriority w:val="0"/>
    <w:pPr>
      <w:widowControl w:val="0"/>
      <w:shd w:val="clear" w:color="auto" w:fill="auto"/>
      <w:spacing w:line="307" w:lineRule="exact"/>
    </w:pPr>
    <w:rPr>
      <w:rFonts w:ascii="宋体" w:hAnsi="宋体" w:eastAsia="宋体" w:cs="宋体"/>
      <w:sz w:val="20"/>
      <w:szCs w:val="20"/>
      <w:u w:val="none"/>
      <w:shd w:val="clear" w:color="auto" w:fill="auto"/>
      <w:lang w:val="zh-TW" w:eastAsia="zh-TW" w:bidi="zh-TW"/>
    </w:rPr>
  </w:style>
  <w:style w:type="paragraph" w:customStyle="1" w:styleId="11">
    <w:name w:val="Heading #3|1"/>
    <w:basedOn w:val="1"/>
    <w:qFormat/>
    <w:uiPriority w:val="0"/>
    <w:pPr>
      <w:widowControl w:val="0"/>
      <w:shd w:val="clear" w:color="auto" w:fill="auto"/>
      <w:spacing w:after="380"/>
      <w:outlineLvl w:val="2"/>
    </w:pPr>
    <w:rPr>
      <w:rFonts w:ascii="宋体" w:hAnsi="宋体" w:eastAsia="宋体" w:cs="宋体"/>
      <w:sz w:val="42"/>
      <w:szCs w:val="42"/>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2144</Words>
  <Characters>2222</Characters>
  <Lines>0</Lines>
  <Paragraphs>0</Paragraphs>
  <TotalTime>0</TotalTime>
  <ScaleCrop>false</ScaleCrop>
  <LinksUpToDate>false</LinksUpToDate>
  <CharactersWithSpaces>2233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2023-04-24T09:09:00Z</dcterms:created>
  <dc:creator>乘风而翔</dc:creator>
  <cp:lastModifiedBy>资阳区政府办公室</cp:lastModifiedBy>
  <cp:lastPrinted>2023-04-27T01:48:06Z</cp:lastPrinted>
  <dcterms:modified xsi:type="dcterms:W3CDTF">2023-04-27T01:52:42Z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A40D65143E354337AC44817738F5ADBC_11</vt:lpwstr>
  </property>
</Properties>
</file>