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b/>
          <w:color w:val="333333"/>
          <w:kern w:val="0"/>
          <w:sz w:val="22"/>
        </w:rPr>
      </w:pPr>
      <w:r>
        <w:rPr>
          <w:rFonts w:hint="eastAsia" w:ascii="宋体" w:hAnsi="宋体" w:eastAsia="宋体"/>
          <w:color w:val="000000"/>
          <w:sz w:val="44"/>
          <w:szCs w:val="44"/>
        </w:rPr>
        <w:t>2022年度益阳市人民路小学</w:t>
      </w: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</w:rPr>
        <w:t>整体支出绩效评价报告</w:t>
      </w:r>
    </w:p>
    <w:p>
      <w:pPr>
        <w:spacing w:after="2"/>
        <w:jc w:val="center"/>
        <w:rPr>
          <w:rFonts w:hint="eastAsia"/>
          <w:color w:val="000000"/>
          <w:szCs w:val="2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>
      <w:pPr>
        <w:pStyle w:val="8"/>
        <w:spacing w:after="2"/>
        <w:ind w:firstLine="641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协助校长开展各项工作，认真贯彻党的教育方针，严格执行国家的政策、法令、结合学校实际制度和落实学年工作计划，负责工会、党务办公室工作、政工人事、党务校务公开、纪检监察、信访维稳、宣传、教师管理、职评、奖励、师训、档案。联系局办公室、党建办、工会、人事股、教师工作股、纪检监察室、阳光服务中心。负责学校各类文件的收发、登记、催办、归档等工作。负责学校档案的管理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（二）负责教育教学日常管理、招生与考试、课务安排、教研教改、教材征订、学籍管理、班主任工作等。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（三）负责后勤服务、财务、基建维修、食堂管理、财产管理、物质采购、会计、报账、账册保管等工作。负责学校安全工作、传染病监控与防治、疫情防控工作。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负责少先队工作，根据上级少团委和学校工作计划制定少先队工作计划、审定少先队中队辅导员的工作计划；并执行德育常规，开展德育活动，组织实施和检查、评比，做好总结、表彰。学校卫生、文明校园创建、资助等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益阳市人民路小学内设机构包括：无内设股室。本部门共有编制人数118人，实有人数138人。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益阳市人民路小学无下属单位，因此，益阳市人民路小学2022年单位决算即益阳市人民路小学本级。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spacing w:after="2"/>
        <w:ind w:firstLine="721"/>
        <w:jc w:val="center"/>
        <w:rPr>
          <w:rFonts w:hint="eastAsia"/>
          <w:color w:val="000000"/>
          <w:szCs w:val="21"/>
        </w:r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2022年度收、支总计2,322.76万元。与上一年度相比，收、支总计各增加665.77万元，增长40.18%。主要原因是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本年工资增加，课后服务增加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2022年度收入合计2,322.76万元，其中：财政拨款收入1,819.64万元，占78.34%；上级补助收入0万元，占0%；事业收入503.11万元，占21.66%；经营收入0万元，占0%；附属单位上缴收入0万元，占0%；其他收入0万元，占0%。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2022年度支出合计2,322.76万元，其中：基本支出2,322.76万元，占100%；项目支出0万元，占0%；上缴上级支出0万元，占0%；经营支出0万元，占0%；对附属单位补助支出0万元，占0%。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六、一般公共预算财政拨款基本支出决算情况说明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2022年度财政拨款基本支出1,819.64万元，其中：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人员经费1,612.08万元，占基本支出的88.59%，主要包括：基本工资、津贴补贴、绩效工资、机关事业单位基本养老保险缴费、职工基本医疗保险缴费、住房公积金、其他工资福利支出、抚恤金、生活补助、医疗费补助、助学金、奖励金、其他对个人和家庭的补助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公用经费207.57万元，占基本支出的11.41%，主要包括：办公费、印刷费、咨询费、手续费、水费、电费、邮电费、物业管理费、差旅费、维修（护）费、租赁费、培训费、专用材料费、劳务费、工会经费、其他商品和服务支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七、关于2022年度预算绩效情况说明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组织对益阳市人民路小学等1个单位开展整体支出绩效评价，涉及一般公共预算支出1819.64万元，政府性基金预算支出0万元。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从评价情况来看，本部门将所有预算资金纳入绩效目标管理，实现了绩效目标与部门预算同步编制、同步申报。促进资金合理保障范围，优化支出结构，提高管理水平。加强监管，做到监管机制环环相扣，不出现断层、漏洞；进一步完善财务制度，规范财经纪律；财务工作人员的业务能力要与时俱进，通过各种渠道和方式加强学习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1、监督管理机制还有待加强。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2、财务工作水平要进一步提高。</w:t>
      </w:r>
      <w:r>
        <w:rPr>
          <w:rFonts w:hint="eastAsia" w:ascii="宋体" w:hAnsi="宋体" w:eastAsia="宋体"/>
          <w:color w:val="000000"/>
          <w:sz w:val="32"/>
          <w:szCs w:val="32"/>
        </w:rPr>
        <w:br w:type="textWrapping"/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3、会计基础工作还需要不断完善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九、改进措施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1、加强监管，做到监管机制环环相扣，不出现断层、漏洞。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2、进一步完善财务制度，规范财经纪律。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3、财务工作人员的业务能力要与时俱进，通过各种渠道和方式加强学习。  </w:t>
      </w:r>
    </w:p>
    <w:p>
      <w:pPr>
        <w:pStyle w:val="8"/>
        <w:spacing w:after="2"/>
        <w:ind w:left="638" w:leftChars="304"/>
        <w:jc w:val="left"/>
        <w:rPr>
          <w:rFonts w:hint="eastAsia"/>
          <w:color w:val="000000"/>
          <w:sz w:val="27"/>
          <w:szCs w:val="27"/>
        </w:rPr>
      </w:pP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9E2676"/>
    <w:rsid w:val="00267764"/>
    <w:rsid w:val="009E2676"/>
    <w:rsid w:val="00D67638"/>
    <w:rsid w:val="6D0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uiPriority w:val="0"/>
  </w:style>
  <w:style w:type="character" w:customStyle="1" w:styleId="11">
    <w:name w:val="页眉 Char"/>
    <w:basedOn w:val="6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1475</Words>
  <Characters>197</Characters>
  <Lines>1</Lines>
  <Paragraphs>3</Paragraphs>
  <TotalTime>0</TotalTime>
  <ScaleCrop>false</ScaleCrop>
  <LinksUpToDate>false</LinksUpToDate>
  <CharactersWithSpaces>1669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2023-09-25T06:42:00Z</dcterms:created>
  <dc:creator>Windows 用户</dc:creator>
  <cp:lastModifiedBy>风吹麦浪</cp:lastModifiedBy>
  <dcterms:modified xsi:type="dcterms:W3CDTF">2023-09-25T16:54:06Z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248BC791805D4007AC6455C54FB3354F_12</vt:lpwstr>
  </property>
</Properties>
</file>