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center"/>
        <w:rPr>
          <w:rFonts w:ascii="宋体" w:hAnsi="宋体"/>
          <w:b/>
          <w:color w:val="333333"/>
          <w:kern w:val="0"/>
          <w:sz w:val="2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color w:val="333333"/>
          <w:kern w:val="0"/>
          <w:sz w:val="44"/>
          <w:szCs w:val="44"/>
          <w:shd w:val="clear" w:color="auto" w:fill="FFFFFF"/>
        </w:rPr>
        <w:t>2022年度益阳市资阳区教育招生考试中心整体支出绩效评价报告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</w:p>
    <w:p>
      <w:pPr>
        <w:spacing w:after="2"/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为进一步规范学校资金管理，牢固树立预算绩效理念，强化支出责任，提高资金使用效益，按照相关文件要求，本校对2021年度部门预算整体支出情况进行了自我评价，情况报告如下:</w:t>
      </w:r>
    </w:p>
    <w:p>
      <w:pPr>
        <w:pStyle w:val="8"/>
        <w:spacing w:after="2"/>
        <w:ind w:firstLine="641"/>
        <w:rPr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一、部门职责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（一）贯彻执行党和国家的教育方针、政策和法规。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（二）负责各类招生考试工作，会同有关部门负责师范类大中专毕业生的就业安置工作。</w:t>
      </w:r>
      <w:r>
        <w:rPr>
          <w:rFonts w:hint="eastAsia"/>
          <w:color w:val="000000"/>
          <w:sz w:val="32"/>
          <w:szCs w:val="32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二、机构设置及决算单位构成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（一）内设机构设置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益阳市资阳区教育招生考试中心内设机构包括：无内设股室。本部门共有编制人数7人，实有人数7人。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（二）决算单位构成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益阳市资阳区教育招生考试中心无下属单位，因此，益阳市资阳区教育招生考试中心2022年单位决算即益阳市资阳区教育招生考试中心本级。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pgSz w:w="11906" w:h="16838" w:orient="landscape"/>
          <w:pgMar w:top="1440" w:right="1080" w:bottom="1440" w:left="1080" w:header="851" w:footer="992" w:gutter="0"/>
          <w:cols w:space="425" w:num="1"/>
          <w:docGrid w:type="lines" w:linePitch="160" w:charSpace="0"/>
        </w:sectPr>
      </w:pPr>
    </w:p>
    <w:p>
      <w:pPr>
        <w:spacing w:after="2"/>
        <w:ind w:firstLine="721"/>
        <w:jc w:val="center"/>
        <w:rPr>
          <w:rFonts w:hint="eastAsia"/>
          <w:color w:val="000000"/>
          <w:szCs w:val="21"/>
        </w:rPr>
      </w:pP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三、收入决算情况说明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2022年度收入合计61.43万元，其中：财政拨款收入61.43万元，占100%；上级补助收入0万元，占0%；事业收入0万元，占0%；经营收入0万元，占0%；附属单位上缴收入0万元，占0%；其他收入0万元，占0%。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四、支出决算情况说明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0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2022年度支出合计61.43万元，其中：基本支出61.43万元，占100%；项目支出0万元，占0%；上缴上级支出0万元，占0%；经营支出0万元，占0%；对附属单位补助支出0万元，占0%。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五、一般公共预算财政拨款基本支出决算情况说明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2022年度财政拨款基本支出61.43万元，其中：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 w:ascii="宋体" w:hAnsi="宋体" w:eastAsia="宋体"/>
          <w:color w:val="000000"/>
          <w:sz w:val="32"/>
          <w:szCs w:val="32"/>
        </w:rPr>
        <w:t>人员经费61.43万元，占基本支出的100%，主要包括：基本工资、机关事业单位基本养老保险缴费、公务员医疗补助缴费、住房公积金。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 w:ascii="宋体" w:hAnsi="宋体" w:eastAsia="宋体"/>
          <w:color w:val="000000"/>
          <w:sz w:val="32"/>
          <w:szCs w:val="32"/>
        </w:rPr>
        <w:t>公用经费0万元，占基本支出的0%。</w:t>
      </w:r>
    </w:p>
    <w:p>
      <w:pPr>
        <w:pStyle w:val="8"/>
        <w:spacing w:after="2"/>
        <w:ind w:firstLine="641"/>
        <w:rPr>
          <w:rFonts w:hint="eastAsia"/>
          <w:color w:val="000000"/>
          <w:sz w:val="27"/>
          <w:szCs w:val="27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</w:rPr>
        <w:t>六、关于2022年度预算绩效情况说明</w:t>
      </w:r>
      <w:r>
        <w:rPr>
          <w:rFonts w:hint="eastAsia"/>
          <w:color w:val="000000"/>
          <w:sz w:val="27"/>
          <w:szCs w:val="27"/>
        </w:rPr>
        <w:t xml:space="preserve"> </w:t>
      </w:r>
    </w:p>
    <w:p>
      <w:pPr>
        <w:pStyle w:val="8"/>
        <w:spacing w:before="0" w:beforeAutospacing="0" w:after="1" w:afterAutospacing="0"/>
        <w:ind w:left="0" w:firstLine="640"/>
        <w:jc w:val="both"/>
        <w:rPr>
          <w:rFonts w:hint="eastAsia" w:ascii="等线" w:hAnsi="等线" w:eastAsia="等线" w:cs="Times New Roman"/>
          <w:kern w:val="2"/>
          <w:sz w:val="27"/>
          <w:szCs w:val="27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组织对益阳市资阳区教育招生考试中心等1个单位开展整体支出绩效评价，涉及一般公共预算支出61.43万元，政府性基金预算支出0万元。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在单位领导下，建立适合本单位实际情况的内部控制体系，全面梳理业务流程，明确业务环节，分析风险隐患，完善风险评估机制，制定风险应对策略；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坚持依法治教，营造和谐安全的教育发展环境。</w:t>
      </w:r>
    </w:p>
    <w:p>
      <w:pPr>
        <w:pStyle w:val="8"/>
        <w:spacing w:after="2"/>
        <w:ind w:firstLine="641"/>
        <w:rPr>
          <w:rStyle w:val="10"/>
          <w:rFonts w:hint="eastAsia"/>
          <w:b/>
          <w:bCs/>
          <w:color w:val="000000"/>
        </w:rPr>
      </w:pPr>
    </w:p>
    <w:p>
      <w:pPr>
        <w:pStyle w:val="8"/>
        <w:spacing w:after="2"/>
        <w:ind w:firstLine="641"/>
        <w:jc w:val="left"/>
        <w:rPr>
          <w:rStyle w:val="7"/>
          <w:rFonts w:hint="eastAsia" w:ascii="宋体" w:hAnsi="宋体" w:eastAsia="宋体"/>
          <w:color w:val="000000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宋体" w:hAnsi="宋体" w:eastAsia="宋体"/>
          <w:color w:val="000000"/>
          <w:sz w:val="32"/>
          <w:szCs w:val="32"/>
        </w:rPr>
        <w:t xml:space="preserve">七、存在的问题及原因分析 </w:t>
      </w:r>
    </w:p>
    <w:p>
      <w:pPr>
        <w:pStyle w:val="8"/>
        <w:spacing w:after="2"/>
        <w:ind w:left="638" w:leftChars="304"/>
        <w:jc w:val="left"/>
        <w:rPr>
          <w:rStyle w:val="10"/>
          <w:rFonts w:hint="eastAsia" w:ascii="宋体" w:hAnsi="宋体" w:eastAsia="宋体"/>
          <w:sz w:val="32"/>
          <w:szCs w:val="32"/>
        </w:rPr>
      </w:pP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1、监督管理机制还有待加强。</w:t>
      </w:r>
      <w:r>
        <w:rPr>
          <w:rStyle w:val="10"/>
          <w:rFonts w:hint="eastAsia"/>
        </w:rPr>
        <w:br w:type="textWrapping"/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2、财务工作水平要进一步提高。</w:t>
      </w:r>
      <w:r>
        <w:rPr>
          <w:rStyle w:val="10"/>
          <w:rFonts w:hint="eastAsia"/>
        </w:rPr>
        <w:br w:type="textWrapping"/>
      </w:r>
      <w:r>
        <w:rPr>
          <w:rStyle w:val="10"/>
          <w:rFonts w:hint="eastAsia" w:ascii="宋体" w:hAnsi="宋体" w:eastAsia="宋体"/>
          <w:color w:val="000000"/>
          <w:sz w:val="32"/>
          <w:szCs w:val="32"/>
        </w:rPr>
        <w:t>3、会计基础工作还需要不断完善。</w:t>
      </w:r>
      <w:r>
        <w:rPr>
          <w:rStyle w:val="10"/>
          <w:rFonts w:hint="eastAsia" w:ascii="宋体" w:hAnsi="宋体" w:eastAsia="宋体"/>
          <w:sz w:val="32"/>
          <w:szCs w:val="32"/>
        </w:rPr>
        <w:t xml:space="preserve"> </w:t>
      </w:r>
    </w:p>
    <w:p>
      <w:pPr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八、改进措施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（一）加强监管，做到监管机制环环相扣，不出现断层、漏洞。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（二）进一步完善财务制度，规范财经纪律。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（三）财务工作人员的业务能力要与时俱进，通过各种渠道和方式加强学习。  </w:t>
      </w:r>
    </w:p>
    <w:p>
      <w:pPr>
        <w:pStyle w:val="13"/>
        <w:widowControl/>
        <w:spacing w:line="540" w:lineRule="exact"/>
        <w:ind w:firstLine="640" w:firstLineChars="200"/>
        <w:jc w:val="both"/>
        <w:rPr>
          <w:rFonts w:hint="eastAsia"/>
          <w:szCs w:val="21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 </w:t>
      </w:r>
    </w:p>
    <w:sectPr>
      <w:pgSz w:w="11906" w:h="16838" w:orient="landscape"/>
      <w:pgMar w:top="1440" w:right="1080" w:bottom="1440" w:left="1080" w:header="851" w:footer="992" w:gutter="0"/>
      <w:cols w:space="72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ZkMGQ3ZDg3MzQxNDY3NTUzNTVjOGQ2ZjI2MTBjM2UifQ=="/>
  </w:docVars>
  <w:rsids>
    <w:rsidRoot w:val="0059479A"/>
    <w:rsid w:val="0059479A"/>
    <w:rsid w:val="007B6ED6"/>
    <w:rsid w:val="00841D07"/>
    <w:rsid w:val="42C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peoplefilling"/>
    <w:basedOn w:val="6"/>
    <w:qFormat/>
    <w:uiPriority w:val="0"/>
  </w:style>
  <w:style w:type="character" w:customStyle="1" w:styleId="11">
    <w:name w:val="页眉 Char"/>
    <w:basedOn w:val="6"/>
    <w:link w:val="3"/>
    <w:semiHidden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semiHidden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3">
    <w:name w:val="p12"/>
    <w:basedOn w:val="1"/>
    <w:qFormat/>
    <w:uiPriority w:val="0"/>
    <w:pPr>
      <w:spacing w:line="772" w:lineRule="atLeast"/>
      <w:ind w:firstLine="852"/>
      <w:jc w:val="left"/>
    </w:pPr>
    <w:rPr>
      <w:rFonts w:ascii="黑体" w:hAnsi="宋体" w:eastAsia="黑体" w:cs="Times New Roman"/>
      <w:color w:val="000000"/>
      <w:kern w:val="0"/>
      <w:sz w:val="42"/>
      <w:szCs w:val="42"/>
    </w:rPr>
  </w:style>
  <w:style w:type="character" w:customStyle="1" w:styleId="14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985</Words>
  <Characters>121</Characters>
  <Lines>1</Lines>
  <Paragraphs>2</Paragraphs>
  <TotalTime>0</TotalTime>
  <ScaleCrop>false</ScaleCrop>
  <LinksUpToDate>false</LinksUpToDate>
  <CharactersWithSpaces>1104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2023-09-25T03:32:00Z</dcterms:created>
  <dc:creator>Windows 用户</dc:creator>
  <cp:lastModifiedBy>风吹麦浪</cp:lastModifiedBy>
  <dcterms:modified xsi:type="dcterms:W3CDTF">2023-09-25T15:19:32Z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C16299137D0B47AFB795538D4B998364_12</vt:lpwstr>
  </property>
</Properties>
</file>