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40" w:lineRule="exact"/>
        <w:jc w:val="center"/>
        <w:rPr>
          <w:rFonts w:ascii="宋体" w:hAnsi="宋体"/>
          <w:b/>
          <w:color w:val="333333"/>
          <w:kern w:val="0"/>
          <w:sz w:val="22"/>
          <w:shd w:val="clear" w:color="auto" w:fill="FFFFFF"/>
        </w:rPr>
      </w:pPr>
      <w:r>
        <w:rPr>
          <w:rFonts w:hint="eastAsia" w:ascii="方正小标宋简体" w:hAnsi="宋体" w:eastAsia="方正小标宋简体" w:cs="宋体"/>
          <w:b/>
          <w:color w:val="333333"/>
          <w:kern w:val="0"/>
          <w:sz w:val="44"/>
          <w:szCs w:val="44"/>
          <w:shd w:val="clear" w:color="auto" w:fill="FFFFFF"/>
        </w:rPr>
        <w:t>2022年度益阳市资阳区教育招生考试中心整体支出绩效评价报告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 </w:t>
      </w:r>
    </w:p>
    <w:p>
      <w:pPr>
        <w:spacing w:after="2"/>
        <w:ind w:firstLine="640" w:firstLineChars="200"/>
        <w:jc w:val="lef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为进一步规范学校资金管理，牢固树立预算绩效理念，强化支出责任，提高资金使用效益，按照相关文件要求，本校对2021年度部门预算整体支出情况进行了自我评价，情况报告如下:</w:t>
      </w:r>
    </w:p>
    <w:p>
      <w:pPr>
        <w:pStyle w:val="8"/>
        <w:spacing w:after="2"/>
        <w:ind w:firstLine="641"/>
        <w:rPr>
          <w:color w:val="000000"/>
          <w:sz w:val="27"/>
          <w:szCs w:val="27"/>
        </w:rPr>
      </w:pPr>
      <w:r>
        <w:rPr>
          <w:rFonts w:hint="eastAsia" w:ascii="宋体" w:hAnsi="宋体" w:eastAsia="宋体"/>
          <w:b/>
          <w:bCs/>
          <w:color w:val="000000"/>
          <w:sz w:val="32"/>
          <w:szCs w:val="32"/>
        </w:rPr>
        <w:t>一、部门职责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（一）贯彻执行党和国家的教育方针、政策和法规。</w:t>
      </w:r>
      <w:r>
        <w:rPr>
          <w:rFonts w:hint="eastAsia"/>
          <w:color w:val="000000"/>
          <w:sz w:val="32"/>
          <w:szCs w:val="32"/>
        </w:rPr>
        <w:t xml:space="preserve"> 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（二）负责各类招生考试工作，会同有关部门负责师范类大中专毕业生的就业安置工作。</w:t>
      </w:r>
      <w:r>
        <w:rPr>
          <w:rFonts w:hint="eastAsia"/>
          <w:color w:val="000000"/>
          <w:sz w:val="32"/>
          <w:szCs w:val="32"/>
        </w:rPr>
        <w:t xml:space="preserve"> 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b/>
          <w:bCs/>
          <w:color w:val="000000"/>
          <w:sz w:val="32"/>
          <w:szCs w:val="32"/>
        </w:rPr>
        <w:t>二、机构设置及决算单位构成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（一）内设机构设置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益阳市资阳区教育招生考试中心内设机构包括：无内设股室。本部门共有编制人数7人，实有人数7人。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（二）决算单位构成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益阳市资阳区教育招生考试中心无下属单位，因此，益阳市资阳区教育招生考试中心2022年单位决算即益阳市资阳区教育招生考试中心本级。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  <w:sectPr>
          <w:pgSz w:w="11906" w:h="16838" w:orient="landscape"/>
          <w:pgMar w:top="1440" w:right="1080" w:bottom="1440" w:left="1080" w:header="851" w:footer="992" w:gutter="0"/>
          <w:cols w:space="425" w:num="1"/>
          <w:docGrid w:type="lines" w:linePitch="160" w:charSpace="0"/>
        </w:sectPr>
      </w:pPr>
    </w:p>
    <w:p>
      <w:pPr>
        <w:spacing w:after="2"/>
        <w:ind w:firstLine="721"/>
        <w:jc w:val="center"/>
        <w:rPr>
          <w:rFonts w:hint="eastAsia"/>
          <w:color w:val="000000"/>
          <w:szCs w:val="21"/>
        </w:rPr>
      </w:pP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b/>
          <w:bCs/>
          <w:color w:val="000000"/>
          <w:sz w:val="32"/>
          <w:szCs w:val="32"/>
        </w:rPr>
        <w:t>三、收入决算情况说明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pStyle w:val="8"/>
        <w:spacing w:after="2"/>
        <w:ind w:firstLine="640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2022年度收入合计61.43万元，其中：财政拨款收入61.43万元，占100%；上级补助收入0万元，占0%；事业收入0万元，占0%；经营收入0万元，占0%；附属单位上缴收入0万元，占0%；其他收入0万元，占0%。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b/>
          <w:bCs/>
          <w:color w:val="000000"/>
          <w:sz w:val="32"/>
          <w:szCs w:val="32"/>
        </w:rPr>
        <w:t>四、支出决算情况说明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pStyle w:val="8"/>
        <w:spacing w:after="2"/>
        <w:ind w:firstLine="640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2022年度支出合计61.43万元，其中：基本支出61.43万元，占100%；项目支出0万元，占0%；上缴上级支出0万元，占0%；经营支出0万元，占0%；对附属单位补助支出0万元，占0%。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b/>
          <w:bCs/>
          <w:color w:val="000000"/>
          <w:sz w:val="32"/>
          <w:szCs w:val="32"/>
        </w:rPr>
        <w:t>五、一般公共预算财政拨款基本支出决算情况说明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2022年度财政拨款基本支出61.43万元，其中：</w:t>
      </w:r>
      <w:r>
        <w:rPr>
          <w:rFonts w:hint="eastAsia"/>
          <w:color w:val="000000"/>
          <w:sz w:val="27"/>
          <w:szCs w:val="27"/>
        </w:rPr>
        <w:t xml:space="preserve"> </w:t>
      </w:r>
      <w:r>
        <w:rPr>
          <w:rFonts w:hint="eastAsia" w:ascii="宋体" w:hAnsi="宋体" w:eastAsia="宋体"/>
          <w:color w:val="000000"/>
          <w:sz w:val="32"/>
          <w:szCs w:val="32"/>
        </w:rPr>
        <w:t>人员经费61.43万元，占基本支出的100%，主要包括：基本工资、机关事业单位基本养老保险缴费、公务员医疗补助缴费、住房公积金。</w:t>
      </w:r>
      <w:r>
        <w:rPr>
          <w:rFonts w:hint="eastAsia"/>
          <w:color w:val="000000"/>
          <w:sz w:val="27"/>
          <w:szCs w:val="27"/>
        </w:rPr>
        <w:t xml:space="preserve"> </w:t>
      </w:r>
      <w:r>
        <w:rPr>
          <w:rFonts w:hint="eastAsia" w:ascii="宋体" w:hAnsi="宋体" w:eastAsia="宋体"/>
          <w:color w:val="000000"/>
          <w:sz w:val="32"/>
          <w:szCs w:val="32"/>
        </w:rPr>
        <w:t>公用经费0万元，占基本支出的0%。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b/>
          <w:bCs/>
          <w:color w:val="000000"/>
          <w:sz w:val="32"/>
          <w:szCs w:val="32"/>
        </w:rPr>
        <w:t>六、关于2022年度预算绩效情况说明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pStyle w:val="8"/>
        <w:spacing w:before="0" w:beforeAutospacing="0" w:after="1" w:afterAutospacing="0"/>
        <w:ind w:left="0" w:firstLine="640"/>
        <w:jc w:val="both"/>
        <w:rPr>
          <w:rFonts w:hint="eastAsia" w:ascii="等线" w:hAnsi="等线" w:eastAsia="等线" w:cs="Times New Roman"/>
          <w:kern w:val="2"/>
          <w:sz w:val="27"/>
          <w:szCs w:val="27"/>
        </w:rPr>
      </w:pPr>
      <w:r>
        <w:rPr>
          <w:rStyle w:val="10"/>
          <w:rFonts w:hint="eastAsia" w:ascii="宋体" w:hAnsi="宋体" w:eastAsia="宋体"/>
          <w:color w:val="000000"/>
          <w:sz w:val="32"/>
          <w:szCs w:val="32"/>
        </w:rPr>
        <w:t>组织对益阳市资阳区教育招生考试中心等1个单位开展整体支出绩效评价，涉及一般公共预算支出61.43万元，政府性基金预算支出0万元。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</w:rPr>
        <w:t>在单位领导下，建立适合本单位实际情况的内部控制体系，全面梳理业务流程，明确业务环节，分析风险隐患，完善风险评估机制，制定风险应对策略；有效运用不相容岗位相互分离、内部授权审批控制、归口管理、预算控制、财产保护控制、会计控制、单据控制、信息内部公开等内部控制基本方法，加强对单位层面和业务层面的内部控制，实现内部控制体系全面、有效实施。坚持依法治教，营造和谐安全的教育发展环境。</w:t>
      </w:r>
    </w:p>
    <w:p>
      <w:pPr>
        <w:pStyle w:val="8"/>
        <w:spacing w:after="2"/>
        <w:ind w:firstLine="641"/>
        <w:rPr>
          <w:rStyle w:val="10"/>
          <w:rFonts w:hint="eastAsia"/>
          <w:b/>
          <w:bCs/>
          <w:color w:val="000000"/>
        </w:rPr>
      </w:pPr>
    </w:p>
    <w:p>
      <w:pPr>
        <w:pStyle w:val="8"/>
        <w:spacing w:after="2"/>
        <w:ind w:firstLine="641"/>
        <w:jc w:val="left"/>
        <w:rPr>
          <w:rStyle w:val="7"/>
          <w:rFonts w:hint="eastAsia" w:ascii="宋体" w:hAnsi="宋体" w:eastAsia="宋体"/>
          <w:color w:val="000000"/>
          <w:sz w:val="32"/>
          <w:szCs w:val="32"/>
        </w:rPr>
      </w:pPr>
      <w:bookmarkStart w:id="0" w:name="_GoBack"/>
      <w:bookmarkEnd w:id="0"/>
      <w:r>
        <w:rPr>
          <w:rStyle w:val="7"/>
          <w:rFonts w:hint="eastAsia" w:ascii="宋体" w:hAnsi="宋体" w:eastAsia="宋体"/>
          <w:color w:val="000000"/>
          <w:sz w:val="32"/>
          <w:szCs w:val="32"/>
        </w:rPr>
        <w:t xml:space="preserve">七、存在的问题及原因分析 </w:t>
      </w:r>
    </w:p>
    <w:p>
      <w:pPr>
        <w:pStyle w:val="8"/>
        <w:spacing w:after="2"/>
        <w:ind w:left="638" w:leftChars="304"/>
        <w:jc w:val="left"/>
        <w:rPr>
          <w:rStyle w:val="10"/>
          <w:rFonts w:hint="eastAsia" w:ascii="宋体" w:hAnsi="宋体" w:eastAsia="宋体"/>
          <w:sz w:val="32"/>
          <w:szCs w:val="32"/>
        </w:rPr>
      </w:pPr>
      <w:r>
        <w:rPr>
          <w:rStyle w:val="10"/>
          <w:rFonts w:hint="eastAsia" w:ascii="宋体" w:hAnsi="宋体" w:eastAsia="宋体"/>
          <w:color w:val="000000"/>
          <w:sz w:val="32"/>
          <w:szCs w:val="32"/>
        </w:rPr>
        <w:t>1、监督管理机制还有待加强。</w:t>
      </w:r>
      <w:r>
        <w:rPr>
          <w:rStyle w:val="10"/>
          <w:rFonts w:hint="eastAsia"/>
        </w:rPr>
        <w:br w:type="textWrapping"/>
      </w:r>
      <w:r>
        <w:rPr>
          <w:rStyle w:val="10"/>
          <w:rFonts w:hint="eastAsia" w:ascii="宋体" w:hAnsi="宋体" w:eastAsia="宋体"/>
          <w:color w:val="000000"/>
          <w:sz w:val="32"/>
          <w:szCs w:val="32"/>
        </w:rPr>
        <w:t>2、财务工作水平要进一步提高。</w:t>
      </w:r>
      <w:r>
        <w:rPr>
          <w:rStyle w:val="10"/>
          <w:rFonts w:hint="eastAsia"/>
        </w:rPr>
        <w:br w:type="textWrapping"/>
      </w:r>
      <w:r>
        <w:rPr>
          <w:rStyle w:val="10"/>
          <w:rFonts w:hint="eastAsia" w:ascii="宋体" w:hAnsi="宋体" w:eastAsia="宋体"/>
          <w:color w:val="000000"/>
          <w:sz w:val="32"/>
          <w:szCs w:val="32"/>
        </w:rPr>
        <w:t>3、会计基础工作还需要不断完善。</w:t>
      </w:r>
      <w:r>
        <w:rPr>
          <w:rStyle w:val="10"/>
          <w:rFonts w:hint="eastAsia" w:ascii="宋体" w:hAnsi="宋体" w:eastAsia="宋体"/>
          <w:sz w:val="32"/>
          <w:szCs w:val="32"/>
        </w:rPr>
        <w:t xml:space="preserve"> </w:t>
      </w:r>
    </w:p>
    <w:p>
      <w:pPr>
        <w:ind w:firstLine="643" w:firstLineChars="200"/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八、改进措施</w:t>
      </w:r>
    </w:p>
    <w:p>
      <w:pPr>
        <w:ind w:firstLine="640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（一）加强监管，做到监管机制环环相扣，不出现断层、漏洞。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（二）进一步完善财务制度，规范财经纪律。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（三）财务工作人员的业务能力要与时俱进，通过各种渠道和方式加强学习。  </w:t>
      </w:r>
    </w:p>
    <w:p>
      <w:pPr>
        <w:pStyle w:val="13"/>
        <w:widowControl/>
        <w:spacing w:line="540" w:lineRule="exact"/>
        <w:ind w:firstLine="640" w:firstLineChars="200"/>
        <w:jc w:val="both"/>
        <w:rPr>
          <w:rFonts w:hint="eastAsia"/>
          <w:szCs w:val="21"/>
        </w:rPr>
      </w:pPr>
      <w:r>
        <w:rPr>
          <w:rFonts w:hint="eastAsia" w:ascii="仿宋" w:hAnsi="仿宋" w:eastAsia="仿宋"/>
          <w:kern w:val="2"/>
          <w:sz w:val="32"/>
          <w:szCs w:val="32"/>
        </w:rPr>
        <w:t xml:space="preserve"> </w:t>
      </w:r>
    </w:p>
    <w:sectPr>
      <w:pgSz w:w="11906" w:h="16838" w:orient="landscape"/>
      <w:pgMar w:top="1440" w:right="1080" w:bottom="1440" w:left="1080" w:header="851" w:footer="992" w:gutter="0"/>
      <w:cols w:space="720" w:num="1"/>
      <w:docGrid w:type="lines" w:linePitch="1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11"/>
  <w:documentProtection w:enforcement="0"/>
  <w:defaultTabStop w:val="420"/>
  <w:noPunctuationKerning w:val="1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ZTZkMGQ3ZDg3MzQxNDY3NTUzNTVjOGQ2ZjI2MTBjM2UifQ=="/>
  </w:docVars>
  <w:rsids>
    <w:rsidRoot w:val="0059479A"/>
    <w:rsid w:val="0059479A"/>
    <w:rsid w:val="007B6ED6"/>
    <w:rsid w:val="00841D07"/>
    <w:rsid w:val="42CA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customStyle="1" w:styleId="8">
    <w:name w:val="1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peoplefilling"/>
    <w:basedOn w:val="6"/>
    <w:qFormat/>
    <w:uiPriority w:val="0"/>
  </w:style>
  <w:style w:type="character" w:customStyle="1" w:styleId="11">
    <w:name w:val="页眉 Char"/>
    <w:basedOn w:val="6"/>
    <w:link w:val="3"/>
    <w:semiHidden/>
    <w:uiPriority w:val="99"/>
    <w:rPr>
      <w:rFonts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6"/>
    <w:link w:val="2"/>
    <w:semiHidden/>
    <w:uiPriority w:val="99"/>
    <w:rPr>
      <w:rFonts w:asciiTheme="minorHAnsi" w:hAnsiTheme="minorHAnsi" w:cstheme="minorBidi"/>
      <w:kern w:val="2"/>
      <w:sz w:val="18"/>
      <w:szCs w:val="18"/>
    </w:rPr>
  </w:style>
  <w:style w:type="paragraph" w:customStyle="1" w:styleId="13">
    <w:name w:val="p12"/>
    <w:basedOn w:val="1"/>
    <w:qFormat/>
    <w:uiPriority w:val="0"/>
    <w:pPr>
      <w:spacing w:line="772" w:lineRule="atLeast"/>
      <w:ind w:firstLine="852"/>
      <w:jc w:val="left"/>
    </w:pPr>
    <w:rPr>
      <w:rFonts w:ascii="黑体" w:hAnsi="宋体" w:eastAsia="黑体" w:cs="Times New Roman"/>
      <w:color w:val="000000"/>
      <w:kern w:val="0"/>
      <w:sz w:val="42"/>
      <w:szCs w:val="42"/>
    </w:rPr>
  </w:style>
  <w:style w:type="character" w:customStyle="1" w:styleId="14">
    <w:name w:val="15"/>
    <w:basedOn w:val="6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985</Words>
  <Characters>121</Characters>
  <Lines>1</Lines>
  <Paragraphs>2</Paragraphs>
  <TotalTime>0</TotalTime>
  <ScaleCrop>false</ScaleCrop>
  <LinksUpToDate>false</LinksUpToDate>
  <CharactersWithSpaces>1104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2023-09-25T03:32:00Z</dcterms:created>
  <dc:creator>Windows 用户</dc:creator>
  <cp:lastModifiedBy>风吹麦浪</cp:lastModifiedBy>
  <dcterms:modified xsi:type="dcterms:W3CDTF">2023-09-25T15:19:32Z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C16299137D0B47AFB795538D4B998364_12</vt:lpwstr>
  </property>
</Properties>
</file>