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2022年度整体支出绩效自评报告</w:t>
      </w:r>
    </w:p>
    <w:p>
      <w:pPr>
        <w:pStyle w:val="2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——益阳市刘家湖血防站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一、部门、单位基本情况</w:t>
      </w:r>
    </w:p>
    <w:p>
      <w:pPr>
        <w:bidi w:val="0"/>
        <w:ind w:firstLine="600" w:firstLineChars="200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益阳市刘家湖血防站，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为益阳市资阳区卫生健康局所属二级机构，全额拨款事业单位，成立于1956年，主要承担茈湖口镇辖区内的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血吸虫病病情监测、防治、养老服务、培训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任务，以及其他综合病种的医疗任务，承担民主垸内及周边湘阴、沅江等地血吸虫病病人的治疗任务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现有医疗区两处：一是位于茈湖口镇刘家湖村的医院本部；二是位于茈湖口镇的医院分部。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2022年职工实有人数61人，其中编制人数33人。</w:t>
      </w:r>
    </w:p>
    <w:p>
      <w:pPr>
        <w:numPr>
          <w:ilvl w:val="0"/>
          <w:numId w:val="1"/>
        </w:numPr>
        <w:bidi w:val="0"/>
        <w:ind w:leftChars="0" w:firstLine="602" w:firstLineChars="200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一般公共预算支出情况</w:t>
      </w:r>
    </w:p>
    <w:p>
      <w:pPr>
        <w:numPr>
          <w:ilvl w:val="0"/>
          <w:numId w:val="0"/>
        </w:numPr>
        <w:bidi w:val="0"/>
        <w:ind w:leftChars="200"/>
        <w:rPr>
          <w:rFonts w:hint="default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（一）基本支出情况</w:t>
      </w:r>
    </w:p>
    <w:p>
      <w:pPr>
        <w:pStyle w:val="2"/>
        <w:ind w:firstLine="600" w:firstLineChars="200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年度，本单位基本支出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1215.55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万元，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比上年增加80.24万元，增长7%。主要原因是人员增加，工资、绩效增加。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其中：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人员经费支出660.09万元，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占基本支出的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54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%，主要包括：基本工资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261.96万元，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津贴补贴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23万元，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绩效工资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255.22万元，五险一金110.93万元，对个人和家庭的补助支出8.98万元；日常公用经费支出555.47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万元，占基本支出的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46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%，主要包括：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商品和服务支出542.53万元，资本性支出12.94万元。</w:t>
      </w:r>
    </w:p>
    <w:p>
      <w:pPr>
        <w:numPr>
          <w:ilvl w:val="0"/>
          <w:numId w:val="0"/>
        </w:numPr>
        <w:bidi w:val="0"/>
        <w:ind w:firstLine="301" w:firstLineChars="100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（二）项目支出情况</w:t>
      </w:r>
    </w:p>
    <w:p>
      <w:pPr>
        <w:widowControl/>
        <w:autoSpaceDE w:val="0"/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年度，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支出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868.76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万元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其中包括“益阳市刘家湖血防医院康养中心”基建项目支出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577.46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万元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（房屋建筑物购建577.45万元）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；新冠肺炎防控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经费支出28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万元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（津贴补贴13.01万元，专用材料费7.6万元，委托业务费1.13万元，其他交通费用3.76万元，专用设备购置2.5万元）；血防专项支出263.3万元（办公费1.06万元，印刷费5.05万元，租赁费12.22万元，培训费0.25万元，专用材料费3.93万元，劳务费164.38万元，委托业务费72.71万元，其他交通费2.62万元，其他商品和服务支出1.08万元）。   </w:t>
      </w:r>
    </w:p>
    <w:p>
      <w:pPr>
        <w:numPr>
          <w:ilvl w:val="0"/>
          <w:numId w:val="0"/>
        </w:numPr>
        <w:bidi w:val="0"/>
        <w:ind w:left="601" w:leftChars="0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三、政府性基金预算支出情况。</w:t>
      </w:r>
    </w:p>
    <w:p>
      <w:pPr>
        <w:pStyle w:val="2"/>
        <w:numPr>
          <w:ilvl w:val="0"/>
          <w:numId w:val="0"/>
        </w:numPr>
        <w:ind w:firstLine="600" w:firstLineChars="200"/>
        <w:rPr>
          <w:rFonts w:hint="default" w:asciiTheme="minorEastAsia" w:hAnsi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202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年度，本单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位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政府性基金预算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财政拨款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项目支出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1952.63万元，包括“益阳市资阳区血吸虫预防救治中心”项目支出1400万，抗疫特别国债安排的医院建设支出552.63万元。</w:t>
      </w:r>
    </w:p>
    <w:p>
      <w:pPr>
        <w:pStyle w:val="2"/>
        <w:numPr>
          <w:ilvl w:val="0"/>
          <w:numId w:val="0"/>
        </w:numPr>
        <w:ind w:left="601" w:leftChars="0"/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30"/>
          <w:szCs w:val="30"/>
          <w:lang w:val="en-US" w:eastAsia="zh-CN" w:bidi="ar-SA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  <w:t>国有资本经营预算支出情况</w:t>
      </w:r>
    </w:p>
    <w:p>
      <w:pPr>
        <w:pStyle w:val="2"/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30"/>
          <w:szCs w:val="30"/>
          <w:lang w:val="en-US" w:eastAsia="zh-CN" w:bidi="ar-SA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我单位2022年无国有资本经营预算支出。</w:t>
      </w:r>
    </w:p>
    <w:p>
      <w:pPr>
        <w:pStyle w:val="2"/>
        <w:numPr>
          <w:ilvl w:val="0"/>
          <w:numId w:val="0"/>
        </w:numPr>
        <w:ind w:left="601" w:leftChars="0"/>
        <w:rPr>
          <w:rFonts w:hint="eastAsia" w:asciiTheme="minorEastAsia" w:hAnsiTheme="minorEastAsia" w:cstheme="minorEastAsia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30"/>
          <w:szCs w:val="30"/>
          <w:lang w:val="en-US" w:eastAsia="zh-CN" w:bidi="ar-SA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  <w:t>社会保险基金预算支出情况</w:t>
      </w:r>
      <w:r>
        <w:rPr>
          <w:rFonts w:hint="eastAsia" w:asciiTheme="minorEastAsia" w:hAnsiTheme="minorEastAsia" w:cstheme="minorEastAsia"/>
          <w:b/>
          <w:bCs/>
          <w:kern w:val="2"/>
          <w:sz w:val="30"/>
          <w:szCs w:val="30"/>
          <w:lang w:val="en-US" w:eastAsia="zh-CN" w:bidi="ar-SA"/>
        </w:rPr>
        <w:t xml:space="preserve"> </w:t>
      </w:r>
    </w:p>
    <w:p>
      <w:pPr>
        <w:pStyle w:val="2"/>
        <w:numPr>
          <w:ilvl w:val="0"/>
          <w:numId w:val="0"/>
        </w:numPr>
        <w:ind w:firstLine="602" w:firstLineChars="200"/>
        <w:rPr>
          <w:rFonts w:hint="default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我单位2022年无社会保险基金预算支出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。</w:t>
      </w:r>
    </w:p>
    <w:p>
      <w:pPr>
        <w:pStyle w:val="2"/>
        <w:numPr>
          <w:ilvl w:val="0"/>
          <w:numId w:val="0"/>
        </w:numPr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30"/>
          <w:szCs w:val="30"/>
          <w:lang w:val="en-US" w:eastAsia="zh-CN" w:bidi="ar-SA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  <w:t>部门整体支出绩效情况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9"/>
        <w:jc w:val="both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预算配置方面：我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单位</w:t>
      </w:r>
      <w:r>
        <w:rPr>
          <w:rFonts w:hint="default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2022年预算总额较上年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减少</w:t>
      </w:r>
      <w:r>
        <w:rPr>
          <w:rFonts w:hint="default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，同时，财政供养人员控制在预算编制以内，从源头严格控制和降低了行政成本。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9"/>
        <w:jc w:val="both"/>
        <w:rPr>
          <w:rFonts w:hint="default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预算执行方面：严格落实《预算法》和预算管理相关规定，各项支出按照批准的预算审核列支，严格控制在预算额度内使用，支出的范围和标准符合相关规定。支出主要用于保障单位正常运转、完成日常工作任务而发生的支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9"/>
        <w:jc w:val="both"/>
        <w:rPr>
          <w:rFonts w:hint="default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预算管理方面：部门整体支出能有效按照预算要求基本执行，预算支出范围合理，预算支出项目细化，资金使用方向明确，管理合规，且决算工作精细到位，基本体现了部门整体支出情况的数据统筹性和宏观性。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9"/>
        <w:jc w:val="both"/>
        <w:rPr>
          <w:rFonts w:hint="default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资产管理方面：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1</w:t>
      </w:r>
      <w:r>
        <w:rPr>
          <w:rFonts w:hint="default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、我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单位</w:t>
      </w:r>
      <w:r>
        <w:rPr>
          <w:rFonts w:hint="default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没有对外投资、出租出借，或处置国有资产取得收益的情况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；2</w:t>
      </w:r>
      <w:r>
        <w:rPr>
          <w:rFonts w:hint="default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、我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单位</w:t>
      </w:r>
      <w:r>
        <w:rPr>
          <w:rFonts w:hint="default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建立健全资产管理制度，合理配备并节约、有效使用资产，提高资产使用效率，保障资产的安全和完整。管理和使用坚持统一政策、统一领导、分级管理、责任到人、物尽其用的原则。办公室对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单位</w:t>
      </w:r>
      <w:r>
        <w:rPr>
          <w:rFonts w:hint="default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资产管理进行监督，对纳入政府采购范围的资产进行统一购置。各科室确定专人负责资产的日常管理工作，包括资产的登记、统计、维护、保管等，并对所管资产的安全完整负有责任。资产管理人员相对稳定，工作调动时必须办理交接手续。 </w:t>
      </w:r>
    </w:p>
    <w:p>
      <w:pPr>
        <w:pStyle w:val="2"/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30"/>
          <w:szCs w:val="30"/>
          <w:lang w:val="en-US" w:eastAsia="zh-CN" w:bidi="ar-SA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2022年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通过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 xml:space="preserve">全院职工上下齐心，攻坚克难，始终坚持“一切以病人为中心”的服务宗旨，积极履行公立医院的社会职能，顺利地完成了各项工作，保障了单位正常工作运转。 </w:t>
      </w:r>
      <w:r>
        <w:rPr>
          <w:rFonts w:hint="eastAsia" w:asciiTheme="minorEastAsia" w:hAnsiTheme="minorEastAsia" w:cstheme="minorEastAsia"/>
          <w:b/>
          <w:bCs/>
          <w:kern w:val="2"/>
          <w:sz w:val="30"/>
          <w:szCs w:val="30"/>
          <w:lang w:val="en-US" w:eastAsia="zh-CN" w:bidi="ar-SA"/>
        </w:rPr>
        <w:t xml:space="preserve">    </w:t>
      </w:r>
    </w:p>
    <w:p>
      <w:pPr>
        <w:pStyle w:val="2"/>
        <w:numPr>
          <w:ilvl w:val="0"/>
          <w:numId w:val="0"/>
        </w:numPr>
        <w:ind w:firstLine="602" w:firstLineChars="200"/>
        <w:rPr>
          <w:rFonts w:hint="eastAsia" w:asciiTheme="minorEastAsia" w:hAnsi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30"/>
          <w:szCs w:val="30"/>
          <w:lang w:val="en-US" w:eastAsia="zh-CN" w:bidi="ar-SA"/>
        </w:rPr>
        <w:t>七、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  <w:t>存在的</w:t>
      </w:r>
      <w:r>
        <w:rPr>
          <w:rFonts w:hint="eastAsia" w:asciiTheme="minorEastAsia" w:hAnsiTheme="minorEastAsia" w:cstheme="minorEastAsia"/>
          <w:b/>
          <w:bCs/>
          <w:kern w:val="2"/>
          <w:sz w:val="30"/>
          <w:szCs w:val="30"/>
          <w:lang w:val="en-US" w:eastAsia="zh-CN" w:bidi="ar-SA"/>
        </w:rPr>
        <w:t>主要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  <w:t>问题</w:t>
      </w:r>
    </w:p>
    <w:p>
      <w:pPr>
        <w:pStyle w:val="2"/>
        <w:numPr>
          <w:ilvl w:val="0"/>
          <w:numId w:val="2"/>
        </w:numPr>
        <w:ind w:firstLine="600" w:firstLineChars="200"/>
        <w:rPr>
          <w:rFonts w:hint="eastAsia" w:asciiTheme="minorEastAsia" w:hAnsi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asciiTheme="minorEastAsia" w:hAnsi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预算编制工作有待细化。预算编制不够明确和细化，预算编制的合理性需要提高，预算执行力度还要进一步加强。</w:t>
      </w:r>
    </w:p>
    <w:p>
      <w:pPr>
        <w:pStyle w:val="2"/>
        <w:numPr>
          <w:ilvl w:val="0"/>
          <w:numId w:val="2"/>
        </w:numPr>
        <w:ind w:firstLine="600" w:firstLineChars="200"/>
        <w:rPr>
          <w:rFonts w:hint="eastAsia" w:asciiTheme="minorEastAsia" w:hAnsi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在预算编制的过程中,预算编制不够准确,导致年初预算不能满足实际工作需要,应在下年加以重视。</w:t>
      </w:r>
    </w:p>
    <w:bookmarkEnd w:id="0"/>
    <w:p>
      <w:pPr>
        <w:pStyle w:val="2"/>
        <w:ind w:left="0" w:leftChars="0" w:firstLine="602" w:firstLineChars="200"/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  <w:t>八、下一步改进措施</w:t>
      </w:r>
    </w:p>
    <w:p>
      <w:pPr>
        <w:pStyle w:val="2"/>
        <w:ind w:firstLine="600" w:firstLineChars="200"/>
        <w:rPr>
          <w:rFonts w:hint="eastAsia" w:asciiTheme="minorEastAsia" w:hAnsi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1、细化预算编制工作，认真做好预算的编制。进一步加强单位内部机构各科室的预算管理意识，严格按照预算编制的相关制度和要求进行预算编制，全面编制预算项目，优先保障固定性的、相对刚性的费用支出项目，尽量压缩变动性的、有控制空间的费用项目，进一步提高预算编制的科学性、严谨性和可控性。</w:t>
      </w:r>
    </w:p>
    <w:p>
      <w:pPr>
        <w:pStyle w:val="2"/>
        <w:ind w:firstLine="600" w:firstLineChars="200"/>
        <w:rPr>
          <w:rFonts w:hint="eastAsia" w:asciiTheme="minorEastAsia" w:hAnsi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2、加强财务管理，严格财务审核。加强单位财务管理，健全单位财务管理制度体系，规范单位财务行为。在费用报账支付时，按照预算规定的费用项目和用途进行资金使用审核、列报支付、财务审核，杜绝超支现象的发生。</w:t>
      </w:r>
    </w:p>
    <w:p>
      <w:pPr>
        <w:pStyle w:val="2"/>
        <w:ind w:firstLine="600" w:firstLineChars="200"/>
        <w:rPr>
          <w:rFonts w:hint="eastAsia" w:asciiTheme="minorEastAsia" w:hAnsi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3、对相关人员加强培训，特别是针对《预算法》《政府会计制度》等学习培训，规范部门预算收支核算，切实提高部门预算收支管理水平。</w:t>
      </w:r>
    </w:p>
    <w:p>
      <w:pPr>
        <w:pStyle w:val="2"/>
        <w:ind w:firstLine="602" w:firstLineChars="200"/>
        <w:rPr>
          <w:rFonts w:hint="default" w:asciiTheme="minorEastAsia" w:hAnsi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  <w:t>九、部门整体支出绩效自评结果拟应用和公开情况</w:t>
      </w:r>
    </w:p>
    <w:p>
      <w:pPr>
        <w:pStyle w:val="2"/>
        <w:ind w:firstLine="600" w:firstLineChars="200"/>
        <w:rPr>
          <w:rFonts w:hint="eastAsia" w:asciiTheme="minorEastAsia" w:hAnsi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我单位高度重视此项绩效自评工作，积极落实主体责任，切实加强了组织领导，按照绩效评价相关制度规定，明确了具体责任人，认真开展自评，撰写了此份绩效评价报告，确保绩效自评工作顺利实施，并将按照要求进行信息公开，对存在的问题积极整改。</w:t>
      </w:r>
    </w:p>
    <w:p>
      <w:pPr>
        <w:pStyle w:val="2"/>
        <w:numPr>
          <w:ilvl w:val="0"/>
          <w:numId w:val="3"/>
        </w:numPr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  <w:t>其他需要说明的情况</w:t>
      </w:r>
    </w:p>
    <w:p>
      <w:pPr>
        <w:pStyle w:val="2"/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30"/>
          <w:szCs w:val="30"/>
          <w:lang w:val="en-US" w:eastAsia="zh-CN" w:bidi="ar-SA"/>
        </w:rPr>
        <w:t xml:space="preserve">     无</w:t>
      </w:r>
    </w:p>
    <w:p>
      <w:pPr>
        <w:pStyle w:val="2"/>
        <w:ind w:firstLine="602" w:firstLineChars="200"/>
        <w:rPr>
          <w:rFonts w:hint="default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default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cstheme="minorEastAsia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30"/>
          <w:szCs w:val="30"/>
          <w:lang w:val="en-US" w:eastAsia="zh-CN" w:bidi="ar-SA"/>
        </w:rPr>
        <w:t xml:space="preserve">                                     益阳市刘家湖血防站</w:t>
      </w:r>
    </w:p>
    <w:p>
      <w:pPr>
        <w:pStyle w:val="2"/>
        <w:ind w:left="0" w:leftChars="0" w:firstLine="0" w:firstLineChars="0"/>
        <w:jc w:val="center"/>
        <w:rPr>
          <w:rFonts w:hint="default" w:asciiTheme="minorEastAsia" w:hAnsiTheme="minorEastAsia" w:cstheme="minorEastAsia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30"/>
          <w:szCs w:val="30"/>
          <w:lang w:val="en-US" w:eastAsia="zh-CN" w:bidi="ar-SA"/>
        </w:rPr>
        <w:t xml:space="preserve">                                      2023年4月15日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</w:pPr>
    </w:p>
    <w:p>
      <w:pPr>
        <w:pStyle w:val="2"/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</w:pPr>
    </w:p>
    <w:p>
      <w:pPr>
        <w:pStyle w:val="2"/>
        <w:ind w:firstLine="602" w:firstLineChars="200"/>
        <w:rPr>
          <w:rFonts w:hint="default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default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D6943"/>
    <w:multiLevelType w:val="singleLevel"/>
    <w:tmpl w:val="805D694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64301E"/>
    <w:multiLevelType w:val="singleLevel"/>
    <w:tmpl w:val="2F64301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26A69B3"/>
    <w:multiLevelType w:val="singleLevel"/>
    <w:tmpl w:val="326A69B3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jc5ZDUzZGZkMWQyYTdiMDQ1ZGMxZDI1NzllZjUifQ=="/>
  </w:docVars>
  <w:rsids>
    <w:rsidRoot w:val="64565B3B"/>
    <w:rsid w:val="302436C3"/>
    <w:rsid w:val="493B36F8"/>
    <w:rsid w:val="4FE6199A"/>
    <w:rsid w:val="52770955"/>
    <w:rsid w:val="5E7E2CC3"/>
    <w:rsid w:val="60056538"/>
    <w:rsid w:val="64565B3B"/>
    <w:rsid w:val="6E5A4318"/>
    <w:rsid w:val="70FC4C8A"/>
    <w:rsid w:val="75FF4788"/>
    <w:rsid w:val="786B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rFonts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10"/>
    <w:basedOn w:val="6"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1900</Words>
  <Characters>2071</Characters>
  <Lines>0</Lines>
  <Paragraphs>0</Paragraphs>
  <TotalTime>1027</TotalTime>
  <ScaleCrop>false</ScaleCrop>
  <LinksUpToDate>false</LinksUpToDate>
  <CharactersWithSpaces>2175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2022-09-22T08:15:00Z</dcterms:created>
  <dc:creator>の眃氵风轻 </dc:creator>
  <cp:lastModifiedBy>の眃氵风轻 </cp:lastModifiedBy>
  <dcterms:modified xsi:type="dcterms:W3CDTF">2023-09-21T03:30:24Z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B70E8F5EE3A3429CBF72646A58FAF939_13</vt:lpwstr>
  </property>
</Properties>
</file>