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21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68"/>
                <w:sz w:val="1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68"/>
                <w:sz w:val="130"/>
                <w:szCs w:val="130"/>
                <w:lang w:val="en-US" w:eastAsia="zh-CN"/>
              </w:rPr>
              <w:t>资阳区婚姻登记服务中心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4864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2pt;height:0pt;width:432pt;z-index:251659264;mso-width-relative:page;mso-height-relative:page;" filled="f" stroked="t" coordsize="21600,21600" o:gfxdata="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fUsWDVAAAABgEAAA8A&#10;AAAAAAAAAQAgAAAAIgAAAGRycy9kb3ducmV2LnhtbFBLAQIUABQAAAAIAIdO4kAA477o4QEAAKUD&#10;AAAOAAAAAAAAAAEAIAAAACQ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00" w:beforeAutospacing="1" w:after="100" w:afterAutospacing="1" w:line="600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益阳市资阳区婚姻登记服务中心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年度部门整体支出绩效评价报告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益阳市资阳区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关于开展20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绩效自评工作的通知》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益阳市资阳区婚姻登记服务中心</w:t>
      </w:r>
      <w:r>
        <w:rPr>
          <w:rFonts w:hint="eastAsia" w:ascii="宋体" w:hAnsi="宋体" w:eastAsia="宋体" w:cs="宋体"/>
          <w:sz w:val="32"/>
          <w:szCs w:val="32"/>
        </w:rPr>
        <w:t>成立绩效评价工作领导小组，专门下发文件，于202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日组织开展20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年度部门整体支出绩效自评工作，现将绩效评价情况及评价结果报告如下：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部门基本情况</w:t>
      </w:r>
    </w:p>
    <w:p>
      <w:pPr>
        <w:spacing w:before="100" w:beforeAutospacing="1" w:after="100" w:afterAutospacing="1" w:line="579" w:lineRule="exact"/>
        <w:ind w:right="641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益阳市资阳区婚姻登记服务中心是负责办理婚姻登记、离婚和未婚等证件、宣传。</w:t>
      </w:r>
    </w:p>
    <w:p>
      <w:pPr>
        <w:spacing w:before="100" w:beforeAutospacing="1" w:after="100" w:afterAutospacing="1" w:line="579" w:lineRule="exact"/>
        <w:ind w:right="641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　　益阳市资阳区婚姻登记服务中心</w:t>
      </w:r>
      <w:r>
        <w:rPr>
          <w:rFonts w:hint="eastAsia" w:ascii="宋体" w:hAnsi="宋体" w:eastAsia="宋体" w:cs="宋体"/>
          <w:sz w:val="32"/>
          <w:szCs w:val="32"/>
        </w:rPr>
        <w:t>共有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股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个，年末实有在职人员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1"/>
        </w:numPr>
        <w:spacing w:line="579" w:lineRule="exact"/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一般公共预算支出情况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民政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一般公共预算拨款收入为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35.61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万元，全年一般公共预算支出共计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40.44万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2"/>
        </w:numPr>
        <w:spacing w:line="579" w:lineRule="exact"/>
        <w:ind w:firstLine="64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基本支出情况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益阳市资阳区婚姻登记服务中心</w:t>
      </w:r>
      <w:r>
        <w:rPr>
          <w:rFonts w:hint="eastAsia" w:ascii="宋体" w:hAnsi="宋体" w:eastAsia="宋体" w:cs="宋体"/>
          <w:sz w:val="32"/>
          <w:szCs w:val="32"/>
        </w:rPr>
        <w:t>一般公共预算支出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35.61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万元，全年一般公共预算支出中基本支出为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40.44</w:t>
      </w:r>
      <w:r>
        <w:rPr>
          <w:rFonts w:hint="eastAsia" w:ascii="宋体" w:hAnsi="宋体" w:eastAsia="宋体" w:cs="宋体"/>
          <w:sz w:val="32"/>
          <w:szCs w:val="32"/>
        </w:rPr>
        <w:t>万元，其中工资福利支出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34.49</w:t>
      </w:r>
      <w:r>
        <w:rPr>
          <w:rFonts w:hint="eastAsia" w:ascii="宋体" w:hAnsi="宋体" w:eastAsia="宋体" w:cs="宋体"/>
          <w:sz w:val="32"/>
          <w:szCs w:val="32"/>
        </w:rPr>
        <w:t>万元，商品和服务支出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5.93</w:t>
      </w:r>
      <w:r>
        <w:rPr>
          <w:rFonts w:hint="eastAsia" w:ascii="宋体" w:hAnsi="宋体" w:eastAsia="宋体" w:cs="宋体"/>
          <w:sz w:val="32"/>
          <w:szCs w:val="32"/>
        </w:rPr>
        <w:t>万元，对个人和家庭的补助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0.02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3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国有资本经营预算支出情况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益阳市资阳区婚姻登记服务中心</w:t>
      </w:r>
      <w:r>
        <w:rPr>
          <w:rFonts w:hint="eastAsia" w:ascii="宋体" w:hAnsi="宋体" w:eastAsia="宋体" w:cs="宋体"/>
          <w:sz w:val="32"/>
          <w:szCs w:val="32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国有资本经营预算支出。</w:t>
      </w:r>
    </w:p>
    <w:p>
      <w:pPr>
        <w:pStyle w:val="9"/>
        <w:widowControl/>
        <w:numPr>
          <w:ilvl w:val="0"/>
          <w:numId w:val="3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社会保险基金预算支出情况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益阳市资阳区婚姻登记服务中心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社会保险基金预算支出。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widowControl/>
        <w:spacing w:line="579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五、</w:t>
      </w:r>
      <w:r>
        <w:rPr>
          <w:rFonts w:hint="eastAsia" w:ascii="宋体" w:hAnsi="宋体" w:eastAsia="宋体" w:cs="宋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位预算绩效管理意识没有完全树立起来，在绩效目标设定时未进行充分的调研与论证，存在的主要问题如下：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（一）部门绩效管理不够科学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1.有的预算部门整体支出绩效目标与产出的数量指标、质量指标缺乏对应性，关联性和可操作性不强。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2.有的部门对项目绩效目标的设定和各项指标的理解、认识不到位，导致项目绩效目标不够明确、不够细化、不够量化，缺乏可衡量性和可实现性。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（二）管理措施不够到位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1.预算编制和执行存在差异，部分项目预算没有执行完，部分项目预算调整幅度较大，部分项目未按预算批复的明细项目使用，不仅损害了预算的严肃性，而且给预算绩效评价带来困难。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（一）提高认识，突出重点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1.提高对预算绩效管理的认识，充分理解财政绩效评价指标体系，注重绩效目标、评价指标的关联性，更加科学合理地确定部门绩效目标和评价目标。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3.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（二）强化管理，规范行为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1.强化部门预算约束细化预算编制，严格预算执行，合理制定项目方案和计划，减少预算执行中的项目预算调整和结余。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2.加强预算项目事前、事中、事后管控，做到事前有评估、事中有监控、事后有评价，并且按预期绩效目标完成程度进行考核。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3.加强项目档案管理，重视绩效信息资料收集，及时、全面、完整归集项目效果资料，充分反映项目实施绩效。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（三）科学考核，注重实效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1.建立科学合理的项目预算效果考核机制，依据预设的绩效数量、质量指标全面衡量预算实施效果，既重“绩”，更重“效”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2.注重考核的全面性和客观性，对预设指标之外的项目效果同样纳入考核评价报告。</w:t>
      </w:r>
    </w:p>
    <w:p>
      <w:pPr>
        <w:spacing w:line="579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、下一步改进措施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（一）优化预算执行管理 </w:t>
      </w:r>
    </w:p>
    <w:p>
      <w:pPr>
        <w:widowControl/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认真贯彻落实预算法，提高对预算资金使用效益的认识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（二）严格履行监督管理职责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加大绩效监管力度</w:t>
      </w:r>
    </w:p>
    <w:p>
      <w:pPr>
        <w:pStyle w:val="5"/>
        <w:spacing w:before="0" w:after="0" w:line="579" w:lineRule="exact"/>
        <w:ind w:firstLine="64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</w:rPr>
        <w:t>严格执行《</w:t>
      </w:r>
      <w:r>
        <w:rPr>
          <w:rFonts w:hint="eastAsia" w:ascii="宋体" w:hAnsi="宋体" w:eastAsia="宋体" w:cs="宋体"/>
          <w:b w:val="0"/>
          <w:bCs w:val="0"/>
          <w:kern w:val="2"/>
          <w:lang w:eastAsia="zh-CN"/>
        </w:rPr>
        <w:t>资阳区民政局</w:t>
      </w:r>
      <w:r>
        <w:rPr>
          <w:rFonts w:hint="eastAsia" w:ascii="宋体" w:hAnsi="宋体" w:eastAsia="宋体" w:cs="宋体"/>
          <w:b w:val="0"/>
          <w:bCs w:val="0"/>
          <w:kern w:val="2"/>
        </w:rPr>
        <w:t>政府购买服务采购管理暂行办法》，</w:t>
      </w:r>
    </w:p>
    <w:p>
      <w:pPr>
        <w:spacing w:line="579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加强对部门整体支出的绩效监管，形成绩效考核机制，对于拨付至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街道办事处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经费，要对其进行绩效监管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对购买服务承接方提供现场评价服务的项目，主管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>有选择地实际参与部分项目，或者要求被评价单位提供现场评价的回执单，确保承接方进行了现场评估。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）加强学习培训</w:t>
      </w:r>
    </w:p>
    <w:p>
      <w:p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建立定期培训制度，及时组织学习各项会计核算和内控制度，强化会计审核监督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益阳市资阳区婚姻登记服务中心                          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2023年9月15日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60228407">
    <w:nsid w:val="CE3EE537"/>
    <w:multiLevelType w:val="singleLevel"/>
    <w:tmpl w:val="CE3EE53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148385127">
    <w:nsid w:val="F7435567"/>
    <w:multiLevelType w:val="singleLevel"/>
    <w:tmpl w:val="F7435567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025120618">
    <w:nsid w:val="78B4E36A"/>
    <w:multiLevelType w:val="singleLevel"/>
    <w:tmpl w:val="78B4E36A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460228407"/>
  </w:num>
  <w:num w:numId="2">
    <w:abstractNumId w:val="4148385127"/>
  </w:num>
  <w:num w:numId="3">
    <w:abstractNumId w:val="20251206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OTZlNzJhN2VhYzRiMzRmYmNjYWY2ZGE4Njk0ZDYifQ=="/>
  </w:docVars>
  <w:rsids>
    <w:rsidRoot w:val="412A3F30"/>
    <w:rsid w:val="000E105F"/>
    <w:rsid w:val="0030547C"/>
    <w:rsid w:val="006A7DF2"/>
    <w:rsid w:val="006D2B20"/>
    <w:rsid w:val="008D07E6"/>
    <w:rsid w:val="00D52DC2"/>
    <w:rsid w:val="06F843C7"/>
    <w:rsid w:val="08517C00"/>
    <w:rsid w:val="0CA56B3A"/>
    <w:rsid w:val="10BD492F"/>
    <w:rsid w:val="11C5216C"/>
    <w:rsid w:val="13C8277B"/>
    <w:rsid w:val="14EA638F"/>
    <w:rsid w:val="172724BB"/>
    <w:rsid w:val="18DA2562"/>
    <w:rsid w:val="19107853"/>
    <w:rsid w:val="1980638C"/>
    <w:rsid w:val="1DE411EC"/>
    <w:rsid w:val="1F9905BC"/>
    <w:rsid w:val="21E81178"/>
    <w:rsid w:val="240E09AF"/>
    <w:rsid w:val="24285BD5"/>
    <w:rsid w:val="25BC27DD"/>
    <w:rsid w:val="265B240F"/>
    <w:rsid w:val="2ADC3C5A"/>
    <w:rsid w:val="2BA95672"/>
    <w:rsid w:val="2F3406AE"/>
    <w:rsid w:val="3027683B"/>
    <w:rsid w:val="3320739A"/>
    <w:rsid w:val="34A054FF"/>
    <w:rsid w:val="34D413D2"/>
    <w:rsid w:val="361303CA"/>
    <w:rsid w:val="36C76050"/>
    <w:rsid w:val="3A80185C"/>
    <w:rsid w:val="3A8762FF"/>
    <w:rsid w:val="40BC341D"/>
    <w:rsid w:val="412A3F30"/>
    <w:rsid w:val="417C1BE8"/>
    <w:rsid w:val="44FA6B60"/>
    <w:rsid w:val="47071EE3"/>
    <w:rsid w:val="4C812ED4"/>
    <w:rsid w:val="4DC00FA9"/>
    <w:rsid w:val="52C60D4D"/>
    <w:rsid w:val="541B7AD1"/>
    <w:rsid w:val="54D73E95"/>
    <w:rsid w:val="56DB1676"/>
    <w:rsid w:val="58E37F63"/>
    <w:rsid w:val="59AF0189"/>
    <w:rsid w:val="5BD977D5"/>
    <w:rsid w:val="5BFD60C0"/>
    <w:rsid w:val="5E4B49A6"/>
    <w:rsid w:val="5EF432E1"/>
    <w:rsid w:val="5F0C2AA2"/>
    <w:rsid w:val="5FFD7B02"/>
    <w:rsid w:val="6157763E"/>
    <w:rsid w:val="63EB0E9D"/>
    <w:rsid w:val="6652214E"/>
    <w:rsid w:val="667D3146"/>
    <w:rsid w:val="66EC348B"/>
    <w:rsid w:val="66FD616A"/>
    <w:rsid w:val="69320D51"/>
    <w:rsid w:val="695525C9"/>
    <w:rsid w:val="6A0A2437"/>
    <w:rsid w:val="6ED8275F"/>
    <w:rsid w:val="6F121C91"/>
    <w:rsid w:val="72F81DA5"/>
    <w:rsid w:val="768115E7"/>
    <w:rsid w:val="77223C26"/>
    <w:rsid w:val="77301374"/>
    <w:rsid w:val="7AB4068A"/>
    <w:rsid w:val="7E4425C6"/>
    <w:rsid w:val="7F9554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21"/>
    <w:basedOn w:val="7"/>
    <w:qFormat/>
    <w:uiPriority w:val="0"/>
    <w:rPr>
      <w:rFonts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1">
    <w:name w:val="font11"/>
    <w:basedOn w:val="7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1611</Words>
  <Characters>1673</Characters>
  <Lines>120</Lines>
  <Paragraphs>33</Paragraphs>
  <TotalTime>0</TotalTime>
  <ScaleCrop>false</ScaleCrop>
  <LinksUpToDate>false</LinksUpToDate>
  <CharactersWithSpaces>1793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2019-05-20T06:18:00Z</dcterms:created>
  <dc:creator>1402836399</dc:creator>
  <cp:lastModifiedBy>Administrator</cp:lastModifiedBy>
  <cp:lastPrinted>2020-06-08T11:06:00Z</cp:lastPrinted>
  <dcterms:modified xsi:type="dcterms:W3CDTF">2023-09-18T09:00:05Z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02D9F6A41CF3454FAB152E8734435503</vt:lpwstr>
  </property>
</Properties>
</file>