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07"/>
        <w:gridCol w:w="1773"/>
        <w:gridCol w:w="1059"/>
        <w:gridCol w:w="1196"/>
        <w:gridCol w:w="1099"/>
        <w:gridCol w:w="1031"/>
        <w:gridCol w:w="1065"/>
        <w:gridCol w:w="1439"/>
        <w:gridCol w:w="1337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益阳市资阳区第一批电动汽车充电设施建设奖补复审结果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建成投运时间</w:t>
            </w:r>
          </w:p>
        </w:tc>
        <w:tc>
          <w:tcPr>
            <w:tcW w:w="21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申报奖补情况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拟发放奖补资金（元）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充电枪数（个）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（千瓦）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总功率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（千瓦）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奖补标准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（元/千瓦）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申请奖补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资金（元）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益阳资阳城郊供电所公共充电站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国网湖南电动汽车服务有限公司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益阳资阳顺安物流公共充电站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国网湖南电动汽车服务有限公司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0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218400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218400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BB64D4F"/>
    <w:rsid w:val="0BB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2023-10-24T09:11:00Z</dcterms:created>
  <dc:creator>浪浪剑心</dc:creator>
  <cp:lastModifiedBy>浪浪剑心</cp:lastModifiedBy>
  <dcterms:modified xsi:type="dcterms:W3CDTF">2023-10-24T09:11:32Z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2D41A0C30E88459EB3F06B7143CA6AEF</vt:lpwstr>
  </property>
</Properties>
</file>