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2022年度运行维护经费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项目资金</w:t>
      </w:r>
      <w:r>
        <w:rPr>
          <w:rFonts w:hint="eastAsia" w:ascii="宋体" w:hAnsi="宋体" w:eastAsia="宋体" w:cs="宋体"/>
          <w:sz w:val="44"/>
          <w:szCs w:val="44"/>
        </w:rPr>
        <w:t>绩效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自评</w:t>
      </w:r>
      <w:r>
        <w:rPr>
          <w:rFonts w:hint="eastAsia" w:ascii="宋体" w:hAnsi="宋体" w:eastAsia="宋体" w:cs="宋体"/>
          <w:sz w:val="44"/>
          <w:szCs w:val="44"/>
        </w:rPr>
        <w:t>报告</w:t>
      </w:r>
    </w:p>
    <w:p>
      <w:pPr>
        <w:spacing w:line="560" w:lineRule="exact"/>
        <w:jc w:val="both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为认真落实绩效评价制度，进一步加强财政支出的监督管理，规范支出预算执行，提高财政资金使用效益，全面推进预算绩效管理，我镇对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年作为项目支出申报计划的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运行维护经费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项目实施进行了认真的监督与检查，并根据项目实施情况和相关数据作出绩效评价，现将有关情况报告如下：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一、项目基本概况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（一）项目实施目标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乡镇财政体制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经费、乡镇运转经费作为运行维护经费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单位运行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中的经常类支出。按照农村税费改革和农村配套改革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有关政策，村级组织运转经费由省、市、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区财政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统筹安排。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区财政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预算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165.28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万元资金到我镇，用于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正常运转和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其他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事业。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（二）项目实施措施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在上级财政统筹安排下，合理有效使用各项支出费用，做到账实相符。杜绝资金违规使用等情况的发生，做到有章可循，照章办事合理调配资金，提高资金使用效益，确保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各项工作正常运转。通过一年的工作，全镇圆满的完成了自身的工作职责以及上级部门和党委、人大政府交办的各项工作任务，取得了良好的经济效益、政治效益和社会效益。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（三）项目实施情况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资金主要支出于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正常运转和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其他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事业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严格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财政支出管理，促进经济全面发展，严格实行“收支两条线”政策，严肃财经纪律、规范财政支出行为和细化部门预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算编制。进一步完善各种经费使用办法，压缩行政管理开支和各种非生产性开支，严格控制部分增支因素。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480" w:leftChars="0" w:right="0" w:rightChars="0"/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项目评价结论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资金绩效自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评指标规定的内容，经我单位认真自评，20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运行维护经费项目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绩效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自评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得分为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评价结果等次为“优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（一）项目实施取得的效果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1、项目的经济性分析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安排合理使用资金，总体使用率较高。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2、项目的效率性分析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优化人员结构，分工合理，减少工资成本，提升政府整体效能。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（二）项目实施存在的建议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提升干部意识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组织相关人员认真学习《预算法》等相关法规、制度，提高单位领导对全面预算管理的重视程度，增强财务人员的预算意识，坚持先有预算、后有支出，没有预算不得支出。预算编制前根据年度内单位可预见的工作任务，确定单位年度预算目标，细化预算指标，科学合理编制部门预算，推进预算编制科学化、准确化。</w:t>
      </w:r>
    </w:p>
    <w:p>
      <w:pPr>
        <w:numPr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执行分析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能力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年度预算编制后，根据实际情况，定期做好预算执行分析，掌握预算执行进度，及时找出预算实际执行情况与预算目标之间存在的差距，纠正偏差，为下一次科学、准确地编制部门预算积累经验。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480" w:leftChars="0" w:right="0" w:rightChars="0"/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三、绩效自评结果拟应用和公开情况</w:t>
      </w:r>
    </w:p>
    <w:p>
      <w:pPr>
        <w:widowControl/>
        <w:spacing w:line="600" w:lineRule="exact"/>
        <w:ind w:firstLine="645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按照政府信息公开有关规定，主动将绩效自评结果报告在厅门户网站公开，自觉接受社会监督，不断提高财政资金使用的透明度。</w:t>
      </w:r>
    </w:p>
    <w:p>
      <w:pPr>
        <w:widowControl/>
        <w:spacing w:line="600" w:lineRule="exact"/>
        <w:ind w:firstLine="645"/>
        <w:jc w:val="left"/>
        <w:rPr>
          <w:rFonts w:hint="eastAsia" w:ascii="Times New Roman" w:hAnsi="Times New Roman" w:cs="Times New Roman"/>
          <w:sz w:val="32"/>
          <w:szCs w:val="32"/>
          <w:lang w:eastAsia="zh-CN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cs="Times New Roman"/>
          <w:sz w:val="32"/>
          <w:szCs w:val="32"/>
          <w:lang w:eastAsia="zh-CN"/>
        </w:rPr>
      </w:pPr>
    </w:p>
    <w:p>
      <w:pPr>
        <w:widowControl/>
        <w:spacing w:line="60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：项目支出绩效自评表</w:t>
      </w:r>
    </w:p>
    <w:p>
      <w:pP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533"/>
        <w:gridCol w:w="825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运行维护经费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资阳区财政局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资阳区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沙头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镇人民政府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96.52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165.28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72.26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43.72%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96.52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165.28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72.26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优化人员结构，分工合理，减少工资成本，提升政府整体效能。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优化人员结构，分工合理，减少工资成本，提升政府整体效能。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乡镇运转经费支付率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按预定标准完成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经费使用完成时限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2022年12月底前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43.72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对项目成本控制举措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\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0分）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优化人员结构，分工合理，减少工资成本，提升政府整体效能。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20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\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\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满意程度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20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\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填表人：郑剑宇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填报日期：2023.4.24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联系电话：13548692962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ZjliMWYyNzg4Y2E1Y2RkYWQyMTM1MWY0OGU5NGEifQ=="/>
  </w:docVars>
  <w:rsids>
    <w:rsidRoot w:val="10BB6FC9"/>
    <w:rsid w:val="05C50FBB"/>
    <w:rsid w:val="10BB6FC9"/>
    <w:rsid w:val="1A743E68"/>
    <w:rsid w:val="41BE1231"/>
    <w:rsid w:val="73B8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1460</Words>
  <Characters>1586</Characters>
  <Lines>0</Lines>
  <Paragraphs>0</Paragraphs>
  <TotalTime>3</TotalTime>
  <ScaleCrop>false</ScaleCrop>
  <LinksUpToDate>false</LinksUpToDate>
  <CharactersWithSpaces>1688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2023-04-25T03:51:00Z</dcterms:created>
  <dc:creator>Administrator</dc:creator>
  <cp:lastModifiedBy>Administrator</cp:lastModifiedBy>
  <cp:lastPrinted>2023-04-26T07:25:19Z</cp:lastPrinted>
  <dcterms:modified xsi:type="dcterms:W3CDTF">2023-04-26T07:31:27Z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F5852F04F36C41FF85138EA8E9E1ED48_11</vt:lpwstr>
  </property>
</Properties>
</file>