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</w:p>
    <w:p>
      <w:pPr>
        <w:autoSpaceDE w:val="0"/>
        <w:ind w:firstLine="790" w:firstLineChars="25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益阳市资阳区工业和信息化局2022年度</w:t>
      </w:r>
    </w:p>
    <w:p>
      <w:pPr>
        <w:autoSpaceDE w:val="0"/>
        <w:ind w:firstLine="790" w:firstLineChars="25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整体支出绩效自评报告</w:t>
      </w:r>
    </w:p>
    <w:p>
      <w:pPr>
        <w:autoSpaceDE w:val="0"/>
        <w:ind w:firstLine="790" w:firstLineChars="25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为进一步加强财政资金绩效管理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提高资金使用效益，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资阳区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财政局关于开展202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年度部门绩效自评工作的通知》要求，我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年部门整体支出情况进行了绩效自评，现将有关情况报告如下：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一、部门基本情况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（一）单位职能职责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1、综合管理全区工业经济，指导、协调和服务工业企业；指导园区规范发展，推动产业优化升级，扶优扶强工业企业。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2、拟定全区新型工业化和信息化发展战略、规划并组织实施，协调解决有关重大问题，推进“两化”融合，推进全区信息化建设；负责工业和信息化领域的国防信息动员有关工作。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3、综合协调全区工业经济日常运行，监测分析全区工业经济运行态势，进行预测预警和信息引导，协调解决工业经济运行中的突出矛盾和问题并提出建议。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4、贯彻落实国家和省、市产业政策；协调减轻企业负担工作，会同有关部门做好改善企业生产、投资环境等工作。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贯彻落实工业能源节约和资源综合利用政策；会同有关部门组织实施节能行动方案和资源综合利用工作；组织推进清洁生产工作；配合环保部门协调工业环境保护；组织协调相关重大示范工程和新产品、新技术、新设备、新材料的推广应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6、指导工业企业实施技术改造；推进以先进适用技术改造提升传统产业；指导行业质量管理工作。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7、贯彻落实促进非公有制工业经济和中小企业发展的政策措施，协调解决重大问题；推进中小企业服务体系建设。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8、负责互联网建设、企业信息化推广与应用、农村信息化建设工作。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9、负责食品加工、电子信息、装备制造、新材料等工业和信息化行业管理。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10、承办区委、区政府交办的其他事项。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（二）机构设置、人员情况：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区工信局为独立核算、财政预算一级拨款单位，内设科室6个：办公室（人事股、审计股、老干股）、投资股（推进新型工业化办公室园区办公室）、民营经济服务股、经济运行股（节能与综合利用股）、信息化股（电子通信股、工业互联网与数字产业股）、综合股（企改办、信访股、墙改办、法规股）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资阳区工业和信息化局机关行政编制11个，事业编制5人，工勤编制5人。实有在编人数3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人，退休人员75人，共计10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一般公共预算支出情况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年一般公共预算财政拨款收入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3345.5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6.73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全年一般公共预算收入总计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3352.23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年一般公共预算支出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3352.23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507.79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15.15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2844.44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84.85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（一）基本支出情况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基本支出是用于为保障机关正常运转、完成日常工作任务而发生的支出，包括人员经费和日公用经费。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财政批复的基本支出年初预算为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457.52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万元，年中调整追加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50.27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万元，本年实际支出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507.79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其中人员经费支出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420.39万元，公用经费87.41万元。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）项目支出情况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是指单位为完成特定行政工作任务或事业发展目标而发生的支出，包括有关事业发展专项、专项业务费、基本建设支出等。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财政批复的项目支出年初预算为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2440.67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万元，本年结转及年中调整追加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403.77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万元，本年实际支出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2844.44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按支出功能科目划分，各项支出金额为：一般公共服务支出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万元，科学技术支出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442.15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80.4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万元，卫生健康支出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998.99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万元，节能环保支出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49.98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万元，资源勘探工业信息等支出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1135.36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商业和服务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支出98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，金融支出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27.73万元，其他支出4.83万元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政府性基金预算支出情况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2022年本单位无政府性基金预算支出。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国有资本经营预算支出情况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2022年本单位无国有资本经营预算支出。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社会保险基金预算支出情况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2022年本单位无社会保险基金预算支出。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六、部门整体支出绩效情况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：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2022年，我局认真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贯彻落实党的十九大精神、二十大精神与“三高四新”发展战略，以打造中国PCB“第三极”为目标，</w:t>
      </w:r>
      <w:r>
        <w:rPr>
          <w:rFonts w:hint="eastAsia" w:ascii="仿宋" w:hAnsi="仿宋" w:eastAsia="仿宋" w:cs="仿宋"/>
          <w:sz w:val="32"/>
          <w:szCs w:val="32"/>
        </w:rPr>
        <w:t>以工业高质量发展为抓手，科学调度工业经济运行，统筹抓好重点工业领域，各项工作取得明显成效。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1、经济运行稳中有进</w:t>
      </w:r>
      <w:r>
        <w:rPr>
          <w:rFonts w:hint="eastAsia" w:ascii="仿宋" w:hAnsi="仿宋" w:eastAsia="仿宋" w:cs="仿宋"/>
          <w:sz w:val="32"/>
          <w:szCs w:val="32"/>
        </w:rPr>
        <w:t>。2022年，全区规模工业增加值增速9.6%，工业税收增速37.7%，新增规模工业企业27家，均全市排名第一；工业投资增速20.4%，制造业占比45.5%，综合经济指标位居全市前列。重点产业、企业发展势头较好。电子信息产业产值达146亿元，增速13.2%；新材料产业产值增速38.8%；宇晶机器、鸿源稀土、维胜科技、明正宏等4家重点企业产值增速在40%以上，其中宇晶机器产值增速达106.7%，鸿源稀土增速达85.5%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2、特色产业聚集明显</w:t>
      </w:r>
      <w:r>
        <w:rPr>
          <w:rFonts w:hint="eastAsia" w:ascii="仿宋" w:hAnsi="仿宋" w:eastAsia="仿宋" w:cs="仿宋"/>
          <w:sz w:val="32"/>
          <w:szCs w:val="32"/>
        </w:rPr>
        <w:t>。以打造中国PCB“第三极”为目标，制定了《资阳区推进先进制造业高质量发展实施方案》、《益阳市资阳区支持PCB产业高质量发展若干政策（试行）的通知》等政策，支持PCB产业发展。目前，PCB产业园区开发面积1800亩，入驻PCB及配套企业45家，引进总投资达25亿元的金康电子二期、高登电子、群展电子、星之源电子等在建项目12个。积极促成了奥士康三期</w:t>
      </w:r>
      <w:r>
        <w:rPr>
          <w:rFonts w:hint="eastAsia" w:ascii="仿宋" w:hAnsi="仿宋" w:eastAsia="仿宋" w:cs="仿宋"/>
          <w:sz w:val="32"/>
          <w:szCs w:val="32"/>
        </w:rPr>
        <w:t>、明正宏深圳工厂回迁</w:t>
      </w:r>
      <w:r>
        <w:rPr>
          <w:rFonts w:hint="eastAsia" w:ascii="仿宋" w:hAnsi="仿宋" w:eastAsia="仿宋" w:cs="仿宋"/>
          <w:sz w:val="32"/>
          <w:szCs w:val="32"/>
        </w:rPr>
        <w:t>。奥士康、明正宏、维胜科技等</w:t>
      </w: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家重点企业入选行业百强</w:t>
      </w:r>
      <w:r>
        <w:rPr>
          <w:rFonts w:hint="eastAsia" w:ascii="仿宋" w:hAnsi="仿宋" w:eastAsia="仿宋" w:cs="仿宋"/>
          <w:sz w:val="32"/>
          <w:szCs w:val="32"/>
        </w:rPr>
        <w:t>，行业发展潜力与影响力不断提升。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3、项目建设持续发力</w:t>
      </w:r>
      <w:r>
        <w:rPr>
          <w:rFonts w:hint="eastAsia" w:ascii="仿宋" w:hAnsi="仿宋" w:eastAsia="仿宋" w:cs="仿宋"/>
          <w:sz w:val="32"/>
          <w:szCs w:val="32"/>
        </w:rPr>
        <w:t>。今年我局完成</w:t>
      </w:r>
      <w:r>
        <w:rPr>
          <w:rFonts w:hint="eastAsia" w:ascii="仿宋" w:hAnsi="仿宋" w:eastAsia="仿宋" w:cs="仿宋"/>
          <w:b/>
          <w:sz w:val="32"/>
          <w:szCs w:val="32"/>
        </w:rPr>
        <w:t>争</w:t>
      </w:r>
      <w:r>
        <w:rPr>
          <w:rFonts w:hint="eastAsia" w:ascii="仿宋" w:hAnsi="仿宋" w:eastAsia="仿宋" w:cs="仿宋"/>
          <w:sz w:val="32"/>
          <w:szCs w:val="32"/>
        </w:rPr>
        <w:t>资项目93个</w:t>
      </w:r>
      <w:r>
        <w:rPr>
          <w:rFonts w:hint="eastAsia" w:ascii="仿宋" w:hAnsi="仿宋" w:eastAsia="仿宋" w:cs="仿宋"/>
          <w:sz w:val="32"/>
          <w:szCs w:val="32"/>
        </w:rPr>
        <w:t>，获批项目资金2151.2万元，超额完成了年度任务。共有明正宏、金康电路板等省100个产品创新强基项目2个</w:t>
      </w:r>
      <w:r>
        <w:rPr>
          <w:rFonts w:hint="eastAsia" w:ascii="仿宋" w:hAnsi="仿宋" w:eastAsia="仿宋" w:cs="仿宋"/>
          <w:sz w:val="32"/>
          <w:szCs w:val="32"/>
        </w:rPr>
        <w:t>，总投资1.4亿元。明正宏总投资7000万，已完成投资；金康电路板总投资7000万，已超额完成年度投资，预计明年6月份完成全部投资。共有区级重点调度工业建设项目27个，计划总投资86.45亿元，其中新建项目14个，续建项目13个，投资过亿元项目21个，重点项目建成投产后将为全区带来较大的经济效益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4、重点企业做优做强</w:t>
      </w:r>
      <w:r>
        <w:rPr>
          <w:rFonts w:hint="eastAsia" w:ascii="仿宋" w:hAnsi="仿宋" w:eastAsia="仿宋" w:cs="仿宋"/>
          <w:sz w:val="32"/>
          <w:szCs w:val="32"/>
        </w:rPr>
        <w:t>。今年新培育国家级专精特新“小巨人”企业2家（明正宏、诺泽生物）、省级专精特新“小巨人”企业4家（维胜科技、科鑫泰、凯清环保、银城湘味）、省级制造业单项冠军产品项目1个（菲美特）、省级智能制造标杆车间项目1个（宇晶机器）、省级“5G+互联网”示范工厂项目1个（奥士康）、省级“数字新基建”标志性项目1个（明正宏）、省级工业新产品项目2个、省级上云上平台标杆企业2家、省级企业技术中心2个、省级两化融合管理体系贯标试点企业项目6个、省级制造业数字化转型“三化”重点项目10个、省级新材料企业认定项目7个、省级绿色制造体系示范项目5个、省级节水型企业1家，企业实力显著增强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5、纾困工作落实有效</w:t>
      </w:r>
      <w:r>
        <w:rPr>
          <w:rFonts w:hint="eastAsia" w:ascii="仿宋" w:hAnsi="仿宋" w:eastAsia="仿宋" w:cs="仿宋"/>
          <w:sz w:val="32"/>
          <w:szCs w:val="32"/>
        </w:rPr>
        <w:t>。深入开展了</w:t>
      </w:r>
      <w:r>
        <w:rPr>
          <w:rFonts w:hint="eastAsia" w:ascii="仿宋" w:hAnsi="仿宋" w:eastAsia="仿宋" w:cs="仿宋"/>
          <w:sz w:val="32"/>
          <w:szCs w:val="32"/>
        </w:rPr>
        <w:t>“百</w:t>
      </w:r>
      <w:r>
        <w:rPr>
          <w:rFonts w:hint="eastAsia" w:ascii="仿宋" w:hAnsi="仿宋" w:eastAsia="仿宋" w:cs="仿宋"/>
          <w:sz w:val="32"/>
          <w:szCs w:val="32"/>
        </w:rPr>
        <w:t>名干部联</w:t>
      </w:r>
      <w:r>
        <w:rPr>
          <w:rFonts w:hint="eastAsia" w:ascii="仿宋" w:hAnsi="仿宋" w:eastAsia="仿宋" w:cs="仿宋"/>
          <w:sz w:val="32"/>
          <w:szCs w:val="32"/>
        </w:rPr>
        <w:t>千</w:t>
      </w:r>
      <w:r>
        <w:rPr>
          <w:rFonts w:hint="eastAsia" w:ascii="仿宋" w:hAnsi="仿宋" w:eastAsia="仿宋" w:cs="仿宋"/>
          <w:sz w:val="32"/>
          <w:szCs w:val="32"/>
        </w:rPr>
        <w:t>企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行动。选派370名联企干部，对全区3831中小企业开展全覆盖式服务。向企业印发惠企政策汇编6000余本，通过媒体发送相关政策121条。共收集企业问题825个，解决问题782个，问题解决率达94.8%。协调解决了金康电路板二期建设用地报批、银城湘味厂区民房拆迁等8项省级交办问题；助力7家企业盘活土地225亩；高效为奥士康A3工厂招工377人；为富佳科技、金康电路板、生力科技等3家企业融资6818万元等。亏损企业从年初5家减至1家；利润增速从最低-2.3%，增长到14.5%。同时，瞄准重点产业领域，制定了一系列帮扶措施，在税费减免、资金奖补、企业服务等方面精准发力。全年完成减税降费3.5亿元（不含留抵政策和缓缴政策）、留抵退税3.8亿元、政策性退税2亿元；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莱通光学等9</w:t>
      </w:r>
      <w:r>
        <w:rPr>
          <w:rFonts w:hint="eastAsia" w:ascii="仿宋" w:hAnsi="仿宋" w:eastAsia="仿宋" w:cs="仿宋"/>
          <w:sz w:val="32"/>
          <w:szCs w:val="32"/>
        </w:rPr>
        <w:t>家企业兑现土地款奖补资金</w:t>
      </w:r>
      <w:r>
        <w:rPr>
          <w:rFonts w:hint="eastAsia" w:ascii="仿宋" w:hAnsi="仿宋" w:eastAsia="仿宋" w:cs="仿宋"/>
          <w:sz w:val="32"/>
          <w:szCs w:val="32"/>
        </w:rPr>
        <w:t>4152.8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，为奥士康等30余家企业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72个项目兑现</w:t>
      </w:r>
      <w:r>
        <w:rPr>
          <w:rFonts w:hint="eastAsia" w:ascii="仿宋" w:hAnsi="仿宋" w:eastAsia="仿宋" w:cs="仿宋"/>
          <w:b/>
          <w:sz w:val="32"/>
          <w:szCs w:val="32"/>
        </w:rPr>
        <w:t>高质量发展专项资金</w:t>
      </w:r>
      <w:r>
        <w:rPr>
          <w:rFonts w:hint="eastAsia" w:ascii="仿宋" w:hAnsi="仿宋" w:eastAsia="仿宋" w:cs="仿宋"/>
          <w:sz w:val="32"/>
          <w:szCs w:val="32"/>
        </w:rPr>
        <w:t>1645.8万元；通过资阳区中小企业公共服务平台发布企业服务信息300余条，为100多家企业提供指导服务，推荐维胜科技获评省创新创业大赛三等奖等。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6、作风建设切实增强</w:t>
      </w:r>
      <w:r>
        <w:rPr>
          <w:rFonts w:hint="eastAsia" w:ascii="仿宋" w:hAnsi="仿宋" w:eastAsia="仿宋" w:cs="仿宋"/>
          <w:sz w:val="32"/>
          <w:szCs w:val="32"/>
        </w:rPr>
        <w:t>。今年以来，我局坚持以近平新时代中国特色社会主义思想为指导，贯彻落实新时代党的建设总要求，推动全面从严治党向纵深发展、向基层延伸、向机关党支部覆盖。</w:t>
      </w:r>
      <w:r>
        <w:rPr>
          <w:rFonts w:hint="eastAsia" w:ascii="仿宋" w:hAnsi="仿宋" w:eastAsia="仿宋" w:cs="仿宋"/>
          <w:b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加强理论学习。认真组织机关干部学习习近平新时代中国特色社会主义思想、党的十九大精神、二十大精神与中央、省、市、区委经济工作会议精神，持续跟进学习习近平总书记最新重要讲话和重要指示批示精神，做到了以知识武装头脑。</w:t>
      </w:r>
      <w:r>
        <w:rPr>
          <w:rFonts w:hint="eastAsia" w:ascii="仿宋" w:hAnsi="仿宋" w:eastAsia="仿宋" w:cs="仿宋"/>
          <w:b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强化队伍建设。持续深入开展党史学习教育活动，促进了“两学一做”学习教育制度化、常态化，推进党建工作与其他工作的融合发展。机关支部组织开展了换届选举，进一步加强了干部队伍的建设。</w:t>
      </w:r>
      <w:r>
        <w:rPr>
          <w:rFonts w:hint="eastAsia" w:ascii="仿宋" w:hAnsi="仿宋" w:eastAsia="仿宋" w:cs="仿宋"/>
          <w:b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严明作风纪律。严格贯彻中央八项规定精神，持之以恒推进党风廉政建设，持续深化纠“四风”。组织全局干部认真学习《中国共产党纪律处分条例》《中国共产党重大事项请示报告条例》等政策法规，开展参观丰堆仑革命旧址、观看警示教育片等宣传活动，督促全局干部筑牢反腐思想防线，做到警钟常鸣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7、中心工作有序开展</w:t>
      </w:r>
      <w:r>
        <w:rPr>
          <w:rFonts w:hint="eastAsia" w:ascii="仿宋" w:hAnsi="仿宋" w:eastAsia="仿宋" w:cs="仿宋"/>
          <w:sz w:val="32"/>
          <w:szCs w:val="32"/>
        </w:rPr>
        <w:t>。建立物资保障工作机制，做好了疫情防控物资</w:t>
      </w:r>
      <w:r>
        <w:rPr>
          <w:rFonts w:hint="eastAsia" w:ascii="仿宋" w:hAnsi="仿宋" w:eastAsia="仿宋" w:cs="仿宋"/>
          <w:sz w:val="32"/>
          <w:szCs w:val="32"/>
        </w:rPr>
        <w:t>储备、发放工作，切实保障了高速公路卡口、区级各部门物资需求；派出专业骨干专班协调3、12号地拆迁</w:t>
      </w:r>
      <w:r>
        <w:rPr>
          <w:rFonts w:hint="eastAsia" w:ascii="仿宋" w:hAnsi="仿宋" w:eastAsia="仿宋" w:cs="仿宋"/>
          <w:sz w:val="32"/>
          <w:szCs w:val="32"/>
        </w:rPr>
        <w:t>工作，完成32户拆迁任务，完成率达71.1%；严格按照飞线整治</w:t>
      </w:r>
      <w:r>
        <w:rPr>
          <w:rFonts w:hint="eastAsia" w:ascii="仿宋" w:hAnsi="仿宋" w:eastAsia="仿宋" w:cs="仿宋"/>
          <w:sz w:val="32"/>
          <w:szCs w:val="32"/>
        </w:rPr>
        <w:t>要求，完成好了515</w:t>
      </w:r>
      <w:r>
        <w:rPr>
          <w:rFonts w:hint="eastAsia" w:ascii="仿宋" w:hAnsi="仿宋" w:eastAsia="仿宋" w:cs="仿宋"/>
          <w:sz w:val="32"/>
          <w:szCs w:val="32"/>
        </w:rPr>
        <w:t>个点位的整治任务；推动5G网络建设向乡镇延伸，今年共建设5G基站</w:t>
      </w:r>
      <w:r>
        <w:rPr>
          <w:rFonts w:hint="eastAsia" w:ascii="仿宋" w:hAnsi="仿宋" w:eastAsia="仿宋" w:cs="仿宋"/>
          <w:sz w:val="32"/>
          <w:szCs w:val="32"/>
        </w:rPr>
        <w:t>221个；助力打造了龙凤港村甜橙产业，有效推进了1200立方米的冷库项目的建设；完成了桃花江游艇关于废气收集的省环保督查销号工作，指导涉气企业按要求做好了特护期的错峰生产；解决了谢某龙历史遗留问题，保障了二十大期间及重大会议前无越级上访</w:t>
      </w:r>
      <w:r>
        <w:rPr>
          <w:rFonts w:hint="eastAsia" w:ascii="仿宋" w:hAnsi="仿宋" w:eastAsia="仿宋" w:cs="仿宋"/>
          <w:b/>
          <w:sz w:val="32"/>
          <w:szCs w:val="32"/>
        </w:rPr>
        <w:t>非访</w:t>
      </w:r>
      <w:r>
        <w:rPr>
          <w:rFonts w:hint="eastAsia" w:ascii="仿宋" w:hAnsi="仿宋" w:eastAsia="仿宋" w:cs="仿宋"/>
          <w:sz w:val="32"/>
          <w:szCs w:val="32"/>
        </w:rPr>
        <w:t>事件发生；深入企业开展</w:t>
      </w:r>
      <w:r>
        <w:rPr>
          <w:rFonts w:hint="eastAsia" w:ascii="仿宋" w:hAnsi="仿宋" w:eastAsia="仿宋" w:cs="仿宋"/>
          <w:b/>
          <w:sz w:val="32"/>
          <w:szCs w:val="32"/>
        </w:rPr>
        <w:t>安全生产</w:t>
      </w:r>
      <w:r>
        <w:rPr>
          <w:rFonts w:hint="eastAsia" w:ascii="仿宋" w:hAnsi="仿宋" w:eastAsia="仿宋" w:cs="仿宋"/>
          <w:sz w:val="32"/>
          <w:szCs w:val="32"/>
        </w:rPr>
        <w:t>排查30余次，督促企业整改各类安全隐患60多项，从源头上遏制重大事故发生。</w:t>
      </w:r>
    </w:p>
    <w:p>
      <w:pPr>
        <w:autoSpaceDE w:val="0"/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回顾一年的工作，在区政府以及班子的正确领导下，经过大家的共同努力，我局在2022年的绩效考核中被评为一等奖。2022年预算绩效自评分98分，等级为“优秀”。</w:t>
      </w:r>
    </w:p>
    <w:p>
      <w:pPr>
        <w:autoSpaceDE w:val="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存在的问题及原因分析</w:t>
      </w:r>
    </w:p>
    <w:p>
      <w:pPr>
        <w:widowControl/>
        <w:pBdr>
          <w:bottom w:val="single" w:color="FFFFFF" w:sz="8" w:space="17"/>
        </w:pBdr>
        <w:shd w:val="clear" w:color="auto" w:fill="FFFFFF"/>
        <w:spacing w:line="600" w:lineRule="atLeast"/>
        <w:ind w:firstLine="616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  <w:t>我局虽然在绩效考核上取得一定成绩，但目前在整体支出的预算编制、执行和管理过程中，依然存在一些问题和不足：</w:t>
      </w:r>
    </w:p>
    <w:p>
      <w:pPr>
        <w:widowControl/>
        <w:numPr>
          <w:ilvl w:val="0"/>
          <w:numId w:val="1"/>
        </w:numPr>
        <w:pBdr>
          <w:bottom w:val="single" w:color="FFFFFF" w:sz="8" w:space="17"/>
        </w:pBdr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虽然我局实施绩效管理后财政预算资金管理精细化水平已有提高，但在绩效指标设置的精准性、合理性上有待进一步改善。</w:t>
      </w:r>
    </w:p>
    <w:p>
      <w:pPr>
        <w:widowControl/>
        <w:numPr>
          <w:numId w:val="0"/>
        </w:numPr>
        <w:pBdr>
          <w:bottom w:val="single" w:color="FFFFFF" w:sz="8" w:space="17"/>
        </w:pBdr>
        <w:shd w:val="clear" w:color="auto" w:fill="FFFFFF"/>
        <w:spacing w:line="600" w:lineRule="atLeas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（二）原因分析： 人员经费缺口较大。由于部分在岗人员为安置的退伍军人，有三个差额和二个自收自支人员，财政经费缺口较大等等。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八、下一步改进措施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1、进一步加强预算管理意识，遵循预算管理办法，科学合理使用财政资金，确保财政资金发挥最大效益。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2、加强绩效管理，健全相关制度，进一步加强管理人员对相关业务知识的学习，规范部门预算收支核算，切实提高预算收支管理水平。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九、部门整体支出绩效自评结果拟应用和公开情况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1、绩效自评结果拟应用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通过绩效自评，进一步掌握到了资金使用情况，对于规范资金和更高效率的使用资金起到了很好地作用。并为不断完善预决算编制、专项资金管理起到了很好地指导作用。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2、绩效自评结果公开情况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此次绩效自评报告将在资阳区政府官网上予以全文公布，向社会公开，广泛接受群众监督。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其他需要说明的情况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本单位无其他重要事项需要说明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1、部门整体支出绩效评价基础数据表</w:t>
      </w:r>
    </w:p>
    <w:p>
      <w:pPr>
        <w:autoSpaceDE w:val="0"/>
        <w:ind w:firstLine="79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部门整体支出绩效自评表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C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C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C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C00000"/>
          <w:kern w:val="0"/>
          <w:sz w:val="32"/>
          <w:szCs w:val="32"/>
        </w:rPr>
        <w:t>年度部门整体支出绩效评价基础数据表</w:t>
      </w:r>
    </w:p>
    <w:tbl>
      <w:tblPr>
        <w:tblStyle w:val="8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31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100%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707.74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3352.23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3352.23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529.72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507.79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507.79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其中：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65.47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112.56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2844.44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2844.44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其中：1、运行维护经费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70.56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107.25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疫情防控支出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998.99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998.99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推进先进制造业高质量发展资金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1503.22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1503.22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2021年真抓实干奖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化工企业搬迁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49.98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县市区新增规模工业企业培育发展奖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2021年真抓实干奖-打造国家先进制造业高地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奖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2020年全市“三型两网”建设先进集体奖励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制造强省专项经费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2020年度工业企业奖励资金（企业入规奖）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862.6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1045.45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楼堂馆所控制情况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严格落实中央八项规定和省委九项规定，坚持勤俭节约、反对铺张浪费，带头过紧日子，细化预算，确保机关运转。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说明：“公用经费”填报基本支出中的一般商品和服务支出。“项目支出”需要填报基本支出以外的所有项目支出情况，</w:t>
      </w:r>
      <w:r>
        <w:rPr>
          <w:rFonts w:hint="eastAsia" w:ascii="仿宋" w:hAnsi="仿宋" w:eastAsia="仿宋" w:cs="仿宋"/>
          <w:kern w:val="0"/>
          <w:sz w:val="32"/>
          <w:szCs w:val="32"/>
        </w:rPr>
        <w:t>“运行维护经费”填报项目支出中用于人员类和公用运转类的支出。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填表人：        填报日期：          联系电话：            单位负责人签字：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2022年度部门整体支出绩效自评表</w:t>
      </w:r>
    </w:p>
    <w:tbl>
      <w:tblPr>
        <w:tblStyle w:val="8"/>
        <w:tblW w:w="98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943"/>
        <w:gridCol w:w="990"/>
        <w:gridCol w:w="1150"/>
        <w:gridCol w:w="243"/>
        <w:gridCol w:w="1285"/>
        <w:gridCol w:w="1301"/>
        <w:gridCol w:w="728"/>
        <w:gridCol w:w="1050"/>
        <w:gridCol w:w="12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预算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部门</w:t>
            </w:r>
          </w:p>
        </w:tc>
        <w:tc>
          <w:tcPr>
            <w:tcW w:w="88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益阳市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资阳区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工业和信息化局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年度预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算申请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分值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498.36</w:t>
            </w:r>
          </w:p>
        </w:tc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3352.23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3352.23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其中：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 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一般公共预算：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3345.5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507.79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8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6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2844.44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ind w:firstLine="140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6.73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、保证局本级单位正常运转，推进各项专项工作正常运作，编制内在职人员控制率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，控制在预算编制以内，三公经费预算总额较上年减少，三公经费控制率小于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、全面完成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委经济工作会议和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政府工作报告确定的各项任务；</w:t>
            </w:r>
          </w:p>
          <w:p>
            <w:pPr>
              <w:widowControl/>
              <w:spacing w:line="30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工业经济保持稳定增长，助力工业高质量发展。</w:t>
            </w:r>
          </w:p>
        </w:tc>
        <w:tc>
          <w:tcPr>
            <w:tcW w:w="42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工信系统全面落实“三高四新”战略地位和使命任务，加快构建现代化产业体系，深入推进新型工业化，全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工业经济运行恢复良好，制造业高质量发展逐渐显效，充分发挥了工业经济“压舱石”作用。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全市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规模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工业增加值增长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9.6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区工业税收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速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37.7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，工业投资增长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20.4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标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分值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得分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分析及改进措施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规模以上工业增加值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全省平均水平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9.6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工业投资增速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全省平均水平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20.4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净增规模工业企业数量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合规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合规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指标有串用现象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完善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完善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园区高质量发展水平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不断提高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不断提高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主要工作按计划完成程度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按年度计划完满完成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按年度计划完满完成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项目资金及时拨付使用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按年度计划及时拨付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按年度计划及时拨付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政务信息公开及时性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按要求及时公开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按要求及时公开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在职人员控制率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98%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政府采购执行率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100%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公用经费控制率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&lt;100%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98%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“三公经费”控制率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&lt;100%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分）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益指标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主要经济指标完成情况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按年度计划完满完成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超额完成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工业经济对全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财税收入支撑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不断提高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不断提高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益指标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疫情防控应急物资保障情况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形成公共卫生应急物资保障体系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形成公共卫生应急物资保障体系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中小企业公务服务体系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不断完善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益指标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工业领域生态环境保护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不断加强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不断加强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企业节能减排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不断加强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不断加强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廉政建设情况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推动部门高效稳定运转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推动部门高效稳定运转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营商环境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不断优化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不断优化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服务对象满意度指标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社会群众满意度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90%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98%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服务企业满意度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90%</w:t>
            </w:r>
          </w:p>
        </w:tc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98%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88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总分</w:t>
            </w:r>
          </w:p>
        </w:tc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填表人：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詹小芬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填报日期：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2023.4.24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13873707648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单位负责人签字：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41" w:right="1531" w:bottom="1871" w:left="1531" w:header="851" w:footer="1304" w:gutter="0"/>
          <w:cols w:space="720" w:num="1"/>
          <w:docGrid w:type="linesAndChars" w:linePitch="587" w:charSpace="-842"/>
        </w:sectPr>
      </w:pPr>
    </w:p>
    <w:p>
      <w:pPr>
        <w:autoSpaceDE w:val="0"/>
        <w:ind w:firstLine="800" w:firstLineChars="2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10"/>
        <w:rFonts w:hint="eastAsia" w:ascii="宋体" w:hAnsi="宋体" w:eastAsia="宋体"/>
        <w:sz w:val="28"/>
      </w:rPr>
    </w:pPr>
    <w:r>
      <w:rPr>
        <w:rStyle w:val="10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10"/>
        <w:rFonts w:hint="eastAsia" w:ascii="宋体" w:hAnsi="宋体" w:eastAsia="宋体"/>
        <w:sz w:val="28"/>
      </w:rPr>
    </w:pPr>
    <w:r>
      <w:rPr>
        <w:rStyle w:val="10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>—</w:t>
    </w:r>
  </w:p>
  <w:p>
    <w:pPr>
      <w:pStyle w:val="5"/>
      <w:ind w:left="300" w:right="360" w:firstLine="360"/>
      <w:rPr>
        <w:rFonts w:hint="eastAsia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DB8E1"/>
    <w:multiLevelType w:val="singleLevel"/>
    <w:tmpl w:val="341DB8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0ZTAxZGRlMzY0ZDlkYjc3Mjg5ODQwYTcyYjBkZDMifQ=="/>
  </w:docVars>
  <w:rsids>
    <w:rsidRoot w:val="00475C80"/>
    <w:rsid w:val="002572C2"/>
    <w:rsid w:val="002815E6"/>
    <w:rsid w:val="00287E65"/>
    <w:rsid w:val="00347915"/>
    <w:rsid w:val="003746D0"/>
    <w:rsid w:val="003D6D8D"/>
    <w:rsid w:val="00432007"/>
    <w:rsid w:val="00456917"/>
    <w:rsid w:val="00475C80"/>
    <w:rsid w:val="004F2027"/>
    <w:rsid w:val="006470A6"/>
    <w:rsid w:val="00772BF5"/>
    <w:rsid w:val="00AD7D8D"/>
    <w:rsid w:val="00B21B55"/>
    <w:rsid w:val="00C5664C"/>
    <w:rsid w:val="00CC6FFC"/>
    <w:rsid w:val="00DA2B6B"/>
    <w:rsid w:val="00DB00DA"/>
    <w:rsid w:val="00E45F6D"/>
    <w:rsid w:val="00E6732A"/>
    <w:rsid w:val="15FD74A0"/>
    <w:rsid w:val="31D44429"/>
    <w:rsid w:val="53AA59B2"/>
    <w:rsid w:val="5D951E49"/>
    <w:rsid w:val="6FDF2373"/>
    <w:rsid w:val="74FF306D"/>
    <w:rsid w:val="7604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Body Text"/>
    <w:basedOn w:val="1"/>
    <w:link w:val="16"/>
    <w:semiHidden/>
    <w:unhideWhenUsed/>
    <w:uiPriority w:val="99"/>
    <w:pPr>
      <w:spacing w:after="120"/>
    </w:pPr>
  </w:style>
  <w:style w:type="paragraph" w:styleId="4">
    <w:name w:val="Plain Text"/>
    <w:basedOn w:val="1"/>
    <w:link w:val="18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7"/>
    <w:qFormat/>
    <w:uiPriority w:val="0"/>
    <w:pPr>
      <w:spacing w:after="0"/>
      <w:ind w:firstLine="420" w:firstLineChars="100"/>
    </w:pPr>
    <w:rPr>
      <w:rFonts w:ascii="Times New Roman" w:hAnsi="Times New Roman" w:eastAsia="宋体"/>
      <w:sz w:val="21"/>
      <w:szCs w:val="22"/>
    </w:rPr>
  </w:style>
  <w:style w:type="character" w:styleId="10">
    <w:name w:val="page number"/>
    <w:basedOn w:val="9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18"/>
    <w:basedOn w:val="1"/>
    <w:uiPriority w:val="0"/>
    <w:rPr>
      <w:rFonts w:ascii="等线" w:hAnsi="等线" w:eastAsia="宋体"/>
      <w:sz w:val="21"/>
      <w:szCs w:val="21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页眉 Char"/>
    <w:basedOn w:val="9"/>
    <w:link w:val="6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5">
    <w:name w:val="页脚 Char"/>
    <w:basedOn w:val="9"/>
    <w:link w:val="5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6">
    <w:name w:val="正文文本 Char"/>
    <w:basedOn w:val="9"/>
    <w:link w:val="3"/>
    <w:semiHidden/>
    <w:uiPriority w:val="99"/>
    <w:rPr>
      <w:rFonts w:ascii="Calibri" w:hAnsi="Calibri" w:eastAsia="仿宋_GB2312" w:cs="Times New Roman"/>
      <w:sz w:val="32"/>
      <w:szCs w:val="20"/>
    </w:rPr>
  </w:style>
  <w:style w:type="character" w:customStyle="1" w:styleId="17">
    <w:name w:val="正文首行缩进 Char"/>
    <w:basedOn w:val="16"/>
    <w:link w:val="7"/>
    <w:uiPriority w:val="0"/>
    <w:rPr>
      <w:rFonts w:ascii="Times New Roman" w:hAnsi="Times New Roman" w:eastAsia="宋体"/>
    </w:rPr>
  </w:style>
  <w:style w:type="character" w:customStyle="1" w:styleId="18">
    <w:name w:val="纯文本 Char"/>
    <w:basedOn w:val="9"/>
    <w:link w:val="4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5704</Words>
  <Characters>6306</Characters>
  <Lines>46</Lines>
  <Paragraphs>13</Paragraphs>
  <TotalTime>32</TotalTime>
  <ScaleCrop>false</ScaleCrop>
  <LinksUpToDate>false</LinksUpToDate>
  <CharactersWithSpaces>6501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2023-04-23T04:13:00Z</dcterms:created>
  <dc:creator>Administrator</dc:creator>
  <cp:lastModifiedBy>Administrator</cp:lastModifiedBy>
  <dcterms:modified xsi:type="dcterms:W3CDTF">2023-04-24T10:01:07Z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BF295F6CFB244AB7BBF2B5B021C19FE4</vt:lpwstr>
  </property>
</Properties>
</file>