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益阳南洞庭湖自然保护区资阳区管理局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2022年部门整体支出绩效自评报告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益阳市资阳区财政局关于开展2022年度部门绩效自评工作的要求，我单位及时组织开展，认真落实，扎实开展自评工作，形成评价报告。现将2022年度益阳南洞庭湖自然保护区资阳区管理局整体支出绩效自评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（一）部门职能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1. </w:t>
      </w:r>
      <w:r>
        <w:rPr>
          <w:rFonts w:hint="default" w:ascii="仿宋_GB2312" w:hAnsi="仿宋_GB2312" w:eastAsia="仿宋_GB2312" w:cs="仿宋_GB2312"/>
          <w:sz w:val="32"/>
          <w:szCs w:val="32"/>
          <w:lang w:val="en-US" w:eastAsia="zh-CN"/>
        </w:rPr>
        <w:t xml:space="preserve">负责开展自然保护区法规政策宣传教育和自然保护区资源展示，向社会公示自然保护区地理地图和界限；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 </w:t>
      </w:r>
      <w:r>
        <w:rPr>
          <w:rFonts w:hint="default" w:ascii="仿宋_GB2312" w:hAnsi="仿宋_GB2312" w:eastAsia="仿宋_GB2312" w:cs="仿宋_GB2312"/>
          <w:sz w:val="32"/>
          <w:szCs w:val="32"/>
          <w:lang w:val="en-US" w:eastAsia="zh-CN"/>
        </w:rPr>
        <w:t xml:space="preserve">按照自然保护区规划明确的核心区、缓冲区、实验区，设置醒目的标志标牌和必要的防护设施；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 </w:t>
      </w:r>
      <w:r>
        <w:rPr>
          <w:rFonts w:hint="default" w:ascii="仿宋_GB2312" w:hAnsi="仿宋_GB2312" w:eastAsia="仿宋_GB2312" w:cs="仿宋_GB2312"/>
          <w:sz w:val="32"/>
          <w:szCs w:val="32"/>
          <w:lang w:val="en-US" w:eastAsia="zh-CN"/>
        </w:rPr>
        <w:t xml:space="preserve">负责组织专门机构、相关职能部门和乡镇开展自然保护区的巡查保护、监督检查和行政执法工作；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 </w:t>
      </w:r>
      <w:r>
        <w:rPr>
          <w:rFonts w:hint="default" w:ascii="仿宋_GB2312" w:hAnsi="仿宋_GB2312" w:eastAsia="仿宋_GB2312" w:cs="仿宋_GB2312"/>
          <w:sz w:val="32"/>
          <w:szCs w:val="32"/>
          <w:lang w:val="en-US" w:eastAsia="zh-CN"/>
        </w:rPr>
        <w:t xml:space="preserve">负责自然保护区保护修复建设项目的策划、获准后的组织实施；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 </w:t>
      </w:r>
      <w:r>
        <w:rPr>
          <w:rFonts w:hint="default" w:ascii="仿宋_GB2312" w:hAnsi="仿宋_GB2312" w:eastAsia="仿宋_GB2312" w:cs="仿宋_GB2312"/>
          <w:sz w:val="32"/>
          <w:szCs w:val="32"/>
          <w:lang w:val="en-US" w:eastAsia="zh-CN"/>
        </w:rPr>
        <w:t xml:space="preserve">负责自然保护区的合理利用工作；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 </w:t>
      </w:r>
      <w:r>
        <w:rPr>
          <w:rFonts w:hint="default" w:ascii="仿宋_GB2312" w:hAnsi="仿宋_GB2312" w:eastAsia="仿宋_GB2312" w:cs="仿宋_GB2312"/>
          <w:sz w:val="32"/>
          <w:szCs w:val="32"/>
          <w:lang w:val="en-US" w:eastAsia="zh-CN"/>
        </w:rPr>
        <w:t xml:space="preserve">制定和组织实施全区（不含黄家湖新区）湿地保护、湖洲林业发展规划；负责湿地保护的组织、协调和监督，湿地资源的普查、监测和保护；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 </w:t>
      </w:r>
      <w:r>
        <w:rPr>
          <w:rFonts w:hint="default" w:ascii="仿宋_GB2312" w:hAnsi="仿宋_GB2312" w:eastAsia="仿宋_GB2312" w:cs="仿宋_GB2312"/>
          <w:sz w:val="32"/>
          <w:szCs w:val="32"/>
          <w:lang w:val="en-US" w:eastAsia="zh-CN"/>
        </w:rPr>
        <w:t xml:space="preserve">负责监督考核本级相关部门和乡镇政府履职情况。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益阳南洞庭湖自然保护区资阳区管理局内设机构包括：内设股室3个，办公室（加挂宣教股牌子）、资源保护股（加挂综合执法大队牌子）、巡护监测股。本部门共有编制人数8人，实有人数8人。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办公室（加挂宣教股牌子）：协助局领导组织、协调日常工作，负责有关文件的起草、审核、印发，负责信息综合、文秘、档案管理、机要保密、政工人事、接待、后勤服务工作;负责管理局及项目建设的财务管理；负责党务、纪检监察工作;负责组织接待和协调处理来信来访;负责制定并落实保护区湿地保护宣传计划；负责年度世界湿地日、爱鸟周、野生动物保护日等重大节日的活动策划和活动开展工作；负责湿地保护和相关法制宣传工作；组织开展志愿者活动；完成领导交办的其他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 xml:space="preserve">资源保护股（加挂综合执法大队牌子）：负责落实上级对保护区的规划、管理及相关基础设施建设；负责保护区内修复建设项目的申报及获准后的实施；组织协调相关职能部门和乡镇开展联合行政执法和专项整治行动，对违法行为进行巡查监督和查处；贯彻执行自然保护、湿地和野生动植物保护的法律法规和政策。 </w:t>
      </w:r>
    </w:p>
    <w:p>
      <w:pPr>
        <w:pStyle w:val="2"/>
        <w:rPr>
          <w:rFonts w:hint="default"/>
          <w:lang w:val="en-US" w:eastAsia="zh-CN"/>
        </w:rPr>
      </w:pPr>
      <w:r>
        <w:rPr>
          <w:rFonts w:hint="default"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巡护监测股：负责保护区内的巡护工作，落实保护区相关项目建设、制定和落实科研监测计划；负责保护区内生态补偿、恢复、修复等项目的策划及获准后的实施等工作；负责组织保护区内湿地和珍稀水禽生物资源调查、技术监测、配合上级主管部门开展科学考察、课题研究，推广科研成果；负责保护区的常规监测，疫源疫病监测与上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二、部门整体支出管理及使用情况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（一）基本支出安排及使用情况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基本支出103.2万元。其中人员经费83.77万元，主要用于局机关的基本工资、津贴补贴、绩效工资、机关事业单位基本养老保险缴费、职业年金缴费、其他社会保障缴费、其他工资福利支出、退休费、医疗费、住房公积金、其他对个人和家庭的补助支出等支出。日常公用经费19.25万元，主要用于局机关办公费、印刷费、水费、电费、差旅费、会议费、培训费、工会经费、福利费、其他交通费、其他商品和服务支出、办公设备购置等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（二）项目支出安排及支出情况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2022年项目支出248.12万元。主要用于洞庭湖自然环境保护专项、生态环境保护宣传、野生动植物（候鸟）科研监测费等支出。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三、部门整体支出绩效情况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（一）科学推进湿地恢复和修复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湖南南洞庭湖国际重要湿地（资阳）2022年度中央财政湿地保护与修复项目和南洞庭国际重要湿地保护与修复工程项目为载体，因地制宜采取相关恢复修复措施，逐步修复杨树清理迹地、被侵占岸线及州滩的生态环境。目前已修复退化湿地720亩，对湿地进行微地形生境改造540亩，实施乡土树种替代225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（二）实施常态化巡护工作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依托本年实施的湿地保护与修复项目，增加8名专职巡护人员，加强了对保护区的巡护管理，巡护工作实现常态化。进一步加强保护区禁钓、候鸟保护及规范杨树种植。对在保护区范围内偷种植的近120亩杨树全面进行清理拔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（三）扎实推进项目建设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2022年度，我局共负责实施了项目资金为482万的湖南南洞庭湖国际重要湿地（资阳）2022年度中央财政湿地保护与修复项目以及项目资金为601万的南洞庭湖国际重要湿地(资阳）中央财政湿地补助资金退耕还湿项目。其中湿地保护与修复项目在9月份已完成本年度拟定的建设目标，并报省林业局同意后完成本年度的项目</w:t>
      </w:r>
      <w:r>
        <w:rPr>
          <w:rFonts w:hint="eastAsia" w:ascii="仿宋_GB2312" w:hAnsi="仿宋_GB2312" w:eastAsia="仿宋_GB2312" w:cs="仿宋_GB2312"/>
          <w:sz w:val="32"/>
          <w:szCs w:val="32"/>
          <w:lang w:val="en-US" w:eastAsia="zh-CN"/>
        </w:rPr>
        <w:t>销号</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 xml:space="preserve">退耕还湿项目已制定实施方案，正在走招投标程序。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（四）全面开展湿地保护科普宣教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为进一步提升社会公众对南洞庭湖自然保护区的认识，我局今年大力开展宣教活动：1</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在保护区内新设置36块宣传牌；2</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联合区融媒体中心拍摄完成洞庭湖宣传短片，制作主题视频彩铃，推送爱鸟周宣传视频，向公众展示湿地生态功能、湿地生态修复成效；3</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通过短信平台发送世界湿地日、世界环境日宣传短信6万余条；4</w:t>
      </w: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举办湿地科普宣教暨《中华人民共和国湿地保护法》宣传活动，共发放各类宣传资料、主题礼品等共计5000余份，吸引了众多群众参与，区融媒体中心的工作人员利用无人机对活动进行了全程记录，活动相关信息分别在芒果TV、益阳日报、红网、资水之阳等网络和公共媒体上进行了宣传和报道。进一步提高了资阳区社会公众对湿地的了解和认知，扩大了湿地保护机构的影响力，提升了公众湿地保护意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（五）大力整治漂浮物和水葫芦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为实现“水清岸绿”的工作目标，每季度组织对南洞庭资阳岸线进行漂浮物和水葫芦整治，洞庭湖岸线生态环境得到持续改善。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（六）持续提高保护区科学管护水平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提高自身的科学巡护监测能力，我局通过建设巡护道路与巡护码头，采购无人机等巡护监测设备，与鸟类保护专家开展联合监测，聘请一名专职巡护人员，专门负责监测郎山区域的候鸟等，进一步加大了对保护区的监测力度，为南洞庭湖自然保护区后续的生态环境保护管理工作提供了科学依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七</w:t>
      </w:r>
      <w:r>
        <w:rPr>
          <w:rFonts w:hint="default" w:ascii="楷体_GB2312" w:hAnsi="楷体_GB2312" w:eastAsia="楷体_GB2312" w:cs="楷体_GB2312"/>
          <w:b/>
          <w:bCs/>
          <w:sz w:val="32"/>
          <w:szCs w:val="32"/>
          <w:lang w:val="en-US" w:eastAsia="zh-CN"/>
        </w:rPr>
        <w:t>）立项争资任务超额完成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班子成员积极“跑省进市”，向上争取项目，多次到省市林业局对接工作，2022年已完成立项争资到位资金482万，为目标任务的376.6%。2023年，我局已有湖南南洞庭湖国际重要湿地（资阳）2023年湿地生态效益补偿试点项目（293万元）和资阳区南洞庭湖国际重要湿地葛石段保护修复项目（600万元）纳入2023年中央财政林业草原项目储备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四、部门整体支出使用存在的主要问题及改进措施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（一）存在的主要问题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在年初预算编制时，个别项目预算编制不够准确，对全面支出的预见性不够全面。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（二）改进措施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加强人员培训，强化相关科室的预算管理意识，严格按照预算编制的相关要求，进一步细化预算编制工作。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严格落实预算管理办法，科学合理使用财政资金，严格按进度拨付使用预算资金，确保财政资金发挥最大效益。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五、部门整体支出绩效自评结果拟应用和公开情况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（一）绩效自评结果拟应用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通过绩效自评，我局较好的掌握了资金使用情况，发现了工作中存在的短板和不足，为加强资金使用管理、提高资金绩效管理、切实发挥资金使用效益提供了重要的参考。</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（二）绩效自评结果公开情况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此次绩效自评报告将在资阳区政府官网上予以全文公布，向社会公开，广泛接受社会监督。</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 2022年度部门整体支出绩效评价基础数据表</w:t>
      </w:r>
    </w:p>
    <w:p>
      <w:pPr>
        <w:pStyle w:val="2"/>
        <w:numPr>
          <w:ilvl w:val="0"/>
          <w:numId w:val="1"/>
        </w:numPr>
        <w:ind w:left="1600" w:leftChars="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2022年度部门整体支出绩效自评表</w:t>
      </w:r>
    </w:p>
    <w:p>
      <w:pPr>
        <w:pStyle w:val="2"/>
        <w:numPr>
          <w:numId w:val="0"/>
        </w:num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240" w:firstLineChars="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益阳南洞庭湖自然保护区资阳区管理局</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2023年4月19日</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5"/>
        <w:tblW w:w="9695" w:type="dxa"/>
        <w:jc w:val="center"/>
        <w:tblLayout w:type="fixed"/>
        <w:tblCellMar>
          <w:top w:w="0" w:type="dxa"/>
          <w:left w:w="108" w:type="dxa"/>
          <w:bottom w:w="0" w:type="dxa"/>
          <w:right w:w="108" w:type="dxa"/>
        </w:tblCellMar>
      </w:tblPr>
      <w:tblGrid>
        <w:gridCol w:w="3214"/>
        <w:gridCol w:w="1200"/>
        <w:gridCol w:w="1125"/>
        <w:gridCol w:w="1080"/>
        <w:gridCol w:w="1140"/>
        <w:gridCol w:w="960"/>
        <w:gridCol w:w="976"/>
      </w:tblGrid>
      <w:tr>
        <w:tblPrEx>
          <w:tblCellMar>
            <w:top w:w="0" w:type="dxa"/>
            <w:left w:w="108" w:type="dxa"/>
            <w:bottom w:w="0" w:type="dxa"/>
            <w:right w:w="108" w:type="dxa"/>
          </w:tblCellMar>
        </w:tblPrEx>
        <w:trPr>
          <w:trHeight w:val="397" w:hRule="atLeast"/>
          <w:jc w:val="center"/>
        </w:trPr>
        <w:tc>
          <w:tcPr>
            <w:tcW w:w="321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97" w:hRule="atLeast"/>
          <w:jc w:val="center"/>
        </w:trPr>
        <w:tc>
          <w:tcPr>
            <w:tcW w:w="321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23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135.62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111.78</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351.14</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90.95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62.76</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103.02</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w:t>
            </w:r>
            <w:r>
              <w:rPr>
                <w:rFonts w:hint="eastAsia" w:ascii="Times New Roman" w:hAnsi="Times New Roman" w:cs="Times New Roman"/>
                <w:kern w:val="0"/>
                <w:sz w:val="21"/>
                <w:szCs w:val="21"/>
                <w:lang w:eastAsia="zh-CN"/>
              </w:rPr>
              <w:t>公用</w:t>
            </w:r>
            <w:r>
              <w:rPr>
                <w:rFonts w:ascii="Times New Roman" w:hAnsi="Times New Roman" w:eastAsia="仿宋_GB2312" w:cs="Times New Roman"/>
                <w:kern w:val="0"/>
                <w:sz w:val="21"/>
                <w:szCs w:val="21"/>
              </w:rPr>
              <w:t>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29.04</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11.22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19.25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44.67</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49.02</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248.12</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420"/>
              <w:jc w:val="left"/>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cs="Times New Roman"/>
                <w:kern w:val="0"/>
                <w:sz w:val="21"/>
                <w:szCs w:val="21"/>
                <w:lang w:eastAsia="zh-CN"/>
              </w:rPr>
              <w:t>其中：</w:t>
            </w:r>
            <w:r>
              <w:rPr>
                <w:rFonts w:hint="eastAsia" w:ascii="Times New Roman" w:hAnsi="Times New Roman" w:cs="Times New Roman"/>
                <w:kern w:val="0"/>
                <w:sz w:val="21"/>
                <w:szCs w:val="21"/>
                <w:lang w:val="en-US" w:eastAsia="zh-CN"/>
              </w:rPr>
              <w:t>1.运行维护费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5.65</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199.1</w:t>
            </w:r>
          </w:p>
        </w:tc>
      </w:tr>
      <w:tr>
        <w:tblPrEx>
          <w:tblCellMar>
            <w:top w:w="0" w:type="dxa"/>
            <w:left w:w="108" w:type="dxa"/>
            <w:bottom w:w="0" w:type="dxa"/>
            <w:right w:w="108" w:type="dxa"/>
          </w:tblCellMar>
        </w:tblPrEx>
        <w:trPr>
          <w:trHeight w:val="443"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2.洞庭湖自然环境保护专项</w:t>
            </w:r>
            <w:r>
              <w:rPr>
                <w:rFonts w:ascii="Times New Roman" w:hAnsi="Times New Roman" w:eastAsia="仿宋_GB2312" w:cs="Times New Roman"/>
                <w:kern w:val="0"/>
                <w:sz w:val="21"/>
                <w:szCs w:val="21"/>
              </w:rPr>
              <w:t xml:space="preserve"> </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39.02</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39.02</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39.02</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cs="Times New Roman"/>
                <w:kern w:val="0"/>
                <w:sz w:val="21"/>
                <w:szCs w:val="21"/>
                <w:lang w:val="en-US" w:eastAsia="zh-CN"/>
              </w:rPr>
              <w:t>3.生态环境保护宣传</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4.野生动植物（候鸟）科研监测费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w:t>
            </w: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5</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color w:val="FF0000"/>
                <w:kern w:val="0"/>
                <w:sz w:val="21"/>
                <w:szCs w:val="21"/>
                <w:lang w:val="en-US" w:eastAsia="zh-CN"/>
              </w:rPr>
            </w:pP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97"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36"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Times New Roman" w:hAnsi="Times New Roman" w:eastAsia="仿宋_GB2312" w:cs="Times New Roman"/>
                <w:kern w:val="0"/>
                <w:sz w:val="21"/>
                <w:szCs w:val="21"/>
                <w:lang w:val="en-US" w:eastAsia="zh-CN"/>
              </w:rPr>
            </w:pPr>
            <w:r>
              <w:rPr>
                <w:rFonts w:ascii="Times New Roman" w:hAnsi="Times New Roman" w:eastAsia="仿宋_GB2312" w:cs="Times New Roman"/>
                <w:kern w:val="0"/>
                <w:sz w:val="21"/>
                <w:szCs w:val="21"/>
              </w:rPr>
              <w:t>　</w:t>
            </w:r>
            <w:r>
              <w:rPr>
                <w:rFonts w:hint="eastAsia" w:ascii="Times New Roman" w:hAnsi="Times New Roman" w:eastAsia="仿宋_GB2312" w:cs="Times New Roman"/>
                <w:kern w:val="0"/>
                <w:sz w:val="21"/>
                <w:szCs w:val="21"/>
                <w:lang w:val="en-US" w:eastAsia="zh-CN"/>
              </w:rPr>
              <w:t>25.07</w:t>
            </w:r>
          </w:p>
        </w:tc>
      </w:tr>
      <w:tr>
        <w:tblPrEx>
          <w:tblCellMar>
            <w:top w:w="0" w:type="dxa"/>
            <w:left w:w="108" w:type="dxa"/>
            <w:bottom w:w="0" w:type="dxa"/>
            <w:right w:w="108" w:type="dxa"/>
          </w:tblCellMar>
        </w:tblPrEx>
        <w:trPr>
          <w:trHeight w:val="630" w:hRule="atLeast"/>
          <w:jc w:val="center"/>
        </w:trPr>
        <w:tc>
          <w:tcPr>
            <w:tcW w:w="3214"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454" w:hRule="atLeast"/>
          <w:jc w:val="center"/>
        </w:trPr>
        <w:tc>
          <w:tcPr>
            <w:tcW w:w="3214"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p>
        </w:tc>
        <w:tc>
          <w:tcPr>
            <w:tcW w:w="12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1026" w:hRule="atLeast"/>
          <w:jc w:val="center"/>
        </w:trPr>
        <w:tc>
          <w:tcPr>
            <w:tcW w:w="321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81"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加强对单位财务的审核把关，严格控制各项费用开支标准，对浪费现象及时予以批评指正；</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认真落实政府“过紧日子”的号召，严格预算支出管理，努力减少行政运行成本；</w:t>
            </w:r>
          </w:p>
          <w:p>
            <w:pPr>
              <w:keepNext w:val="0"/>
              <w:keepLines w:val="0"/>
              <w:pageBreakBefore w:val="0"/>
              <w:widowControl/>
              <w:numPr>
                <w:ilvl w:val="0"/>
                <w:numId w:val="2"/>
              </w:numPr>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狠抓各项制度落实，严肃追责问责。</w:t>
            </w: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        填报日期：          联系电话：            单位负责人签字：</w:t>
      </w:r>
      <w:r>
        <w:rPr>
          <w:rFonts w:eastAsia="仿宋_GB2312"/>
          <w:kern w:val="0"/>
          <w:sz w:val="22"/>
          <w:szCs w:val="24"/>
        </w:rPr>
        <w:br w:type="page"/>
      </w: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5"/>
        <w:tblW w:w="9993" w:type="dxa"/>
        <w:jc w:val="center"/>
        <w:tblLayout w:type="fixed"/>
        <w:tblCellMar>
          <w:top w:w="0" w:type="dxa"/>
          <w:left w:w="108" w:type="dxa"/>
          <w:bottom w:w="0" w:type="dxa"/>
          <w:right w:w="108" w:type="dxa"/>
        </w:tblCellMar>
      </w:tblPr>
      <w:tblGrid>
        <w:gridCol w:w="1080"/>
        <w:gridCol w:w="1102"/>
        <w:gridCol w:w="1104"/>
        <w:gridCol w:w="1083"/>
        <w:gridCol w:w="363"/>
        <w:gridCol w:w="968"/>
        <w:gridCol w:w="1718"/>
        <w:gridCol w:w="791"/>
        <w:gridCol w:w="668"/>
        <w:gridCol w:w="1116"/>
      </w:tblGrid>
      <w:tr>
        <w:tblPrEx>
          <w:tblCellMar>
            <w:top w:w="0" w:type="dxa"/>
            <w:left w:w="108" w:type="dxa"/>
            <w:bottom w:w="0" w:type="dxa"/>
            <w:right w:w="108" w:type="dxa"/>
          </w:tblCellMar>
        </w:tblPrEx>
        <w:trPr>
          <w:trHeight w:val="325"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13" w:type="dxa"/>
            <w:gridSpan w:val="9"/>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益阳南洞庭湖自然保护区资阳区管理局</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206"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p>
        </w:tc>
        <w:tc>
          <w:tcPr>
            <w:tcW w:w="1083"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331"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171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791"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668"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116" w:type="dxa"/>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2206" w:type="dxa"/>
            <w:gridSpan w:val="2"/>
            <w:tcBorders>
              <w:top w:val="nil"/>
              <w:left w:val="nil"/>
              <w:bottom w:val="single" w:color="auto" w:sz="4" w:space="0"/>
              <w:right w:val="single" w:color="auto" w:sz="4" w:space="0"/>
            </w:tcBorders>
            <w:noWrap w:val="0"/>
            <w:vAlign w:val="center"/>
          </w:tcPr>
          <w:p>
            <w:pPr>
              <w:spacing w:line="240" w:lineRule="exact"/>
              <w:jc w:val="center"/>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083"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111.78</w:t>
            </w:r>
          </w:p>
        </w:tc>
        <w:tc>
          <w:tcPr>
            <w:tcW w:w="1331" w:type="dxa"/>
            <w:gridSpan w:val="2"/>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351.14</w:t>
            </w:r>
          </w:p>
        </w:tc>
        <w:tc>
          <w:tcPr>
            <w:tcW w:w="171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351.14</w:t>
            </w:r>
          </w:p>
        </w:tc>
        <w:tc>
          <w:tcPr>
            <w:tcW w:w="791" w:type="dxa"/>
            <w:tcBorders>
              <w:top w:val="nil"/>
              <w:left w:val="nil"/>
              <w:bottom w:val="single" w:color="auto" w:sz="4" w:space="0"/>
              <w:right w:val="single" w:color="auto" w:sz="4" w:space="0"/>
            </w:tcBorders>
            <w:noWrap w:val="0"/>
            <w:vAlign w:val="center"/>
          </w:tcPr>
          <w:p>
            <w:pPr>
              <w:spacing w:line="240" w:lineRule="exact"/>
              <w:jc w:val="center"/>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668"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100%</w:t>
            </w:r>
          </w:p>
        </w:tc>
        <w:tc>
          <w:tcPr>
            <w:tcW w:w="1116" w:type="dxa"/>
            <w:tcBorders>
              <w:top w:val="nil"/>
              <w:left w:val="nil"/>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10分</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按收入性质分：</w:t>
            </w:r>
            <w:r>
              <w:rPr>
                <w:rFonts w:hint="eastAsia" w:ascii="Times New Roman" w:hAnsi="Times New Roman" w:eastAsia="仿宋_GB2312" w:cs="Times New Roman"/>
                <w:color w:val="000000"/>
                <w:kern w:val="0"/>
                <w:sz w:val="21"/>
                <w:szCs w:val="21"/>
                <w:lang w:val="en-US" w:eastAsia="zh-CN"/>
              </w:rPr>
              <w:t>351.14</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按支出性质分：</w:t>
            </w:r>
            <w:r>
              <w:rPr>
                <w:rFonts w:hint="eastAsia" w:ascii="Times New Roman" w:hAnsi="Times New Roman" w:eastAsia="仿宋_GB2312" w:cs="Times New Roman"/>
                <w:color w:val="000000"/>
                <w:kern w:val="0"/>
                <w:sz w:val="21"/>
                <w:szCs w:val="21"/>
                <w:lang w:val="en-US" w:eastAsia="zh-CN"/>
              </w:rPr>
              <w:t>351.14</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eastAsia="仿宋_GB2312" w:cs="Times New Roman"/>
                <w:color w:val="000000"/>
                <w:kern w:val="0"/>
                <w:sz w:val="21"/>
                <w:szCs w:val="21"/>
                <w:lang w:val="en-US" w:eastAsia="zh-CN"/>
              </w:rPr>
              <w:t>351.14</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eastAsia="仿宋_GB2312" w:cs="Times New Roman"/>
                <w:color w:val="000000"/>
                <w:kern w:val="0"/>
                <w:sz w:val="21"/>
                <w:szCs w:val="21"/>
                <w:lang w:val="en-US" w:eastAsia="zh-CN"/>
              </w:rPr>
              <w:t>103.02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ind w:firstLine="840" w:firstLineChars="4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ind w:firstLine="630" w:firstLineChars="300"/>
              <w:jc w:val="left"/>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eastAsia="仿宋_GB2312" w:cs="Times New Roman"/>
                <w:color w:val="000000"/>
                <w:kern w:val="0"/>
                <w:sz w:val="21"/>
                <w:szCs w:val="21"/>
                <w:lang w:val="en-US" w:eastAsia="zh-CN"/>
              </w:rPr>
              <w:t>248.12</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continue"/>
            <w:tcBorders>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nil"/>
              <w:left w:val="nil"/>
              <w:bottom w:val="single" w:color="auto" w:sz="4" w:space="0"/>
              <w:right w:val="single" w:color="auto" w:sz="4" w:space="0"/>
            </w:tcBorders>
            <w:noWrap w:val="0"/>
            <w:vAlign w:val="center"/>
          </w:tcPr>
          <w:p>
            <w:pPr>
              <w:widowControl/>
              <w:spacing w:line="240" w:lineRule="exact"/>
              <w:ind w:firstLine="1470" w:firstLineChars="700"/>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4293" w:type="dxa"/>
            <w:gridSpan w:val="4"/>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bottom w:val="single" w:color="000000"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620"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jc w:val="center"/>
        </w:trPr>
        <w:tc>
          <w:tcPr>
            <w:tcW w:w="1080" w:type="dxa"/>
            <w:vMerge w:val="continue"/>
            <w:tcBorders>
              <w:top w:val="nil"/>
              <w:left w:val="single" w:color="auto" w:sz="4" w:space="0"/>
              <w:bottom w:val="single" w:color="000000"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4620" w:type="dxa"/>
            <w:gridSpan w:val="5"/>
            <w:tcBorders>
              <w:top w:val="single" w:color="auto" w:sz="4" w:space="0"/>
              <w:left w:val="nil"/>
              <w:bottom w:val="single" w:color="auto" w:sz="4" w:space="0"/>
              <w:right w:val="single" w:color="000000" w:sz="4" w:space="0"/>
            </w:tcBorders>
            <w:noWrap w:val="0"/>
            <w:vAlign w:val="center"/>
          </w:tcPr>
          <w:p>
            <w:pPr>
              <w:widowControl/>
              <w:spacing w:line="240" w:lineRule="exact"/>
              <w:jc w:val="center"/>
            </w:pPr>
            <w:r>
              <w:t>　　</w:t>
            </w:r>
          </w:p>
          <w:p>
            <w:pPr>
              <w:pStyle w:val="2"/>
              <w:ind w:left="0" w:leftChars="0" w:firstLine="0" w:firstLineChars="0"/>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做好洞庭湖自然环境保护区工作</w:t>
            </w:r>
            <w:r>
              <w:rPr>
                <w:rFonts w:hint="eastAsia" w:ascii="Times New Roman" w:hAnsi="Times New Roman" w:eastAsia="仿宋_GB2312" w:cs="Times New Roman"/>
                <w:color w:val="000000"/>
                <w:kern w:val="0"/>
                <w:sz w:val="21"/>
                <w:szCs w:val="21"/>
                <w:lang w:eastAsia="zh-CN"/>
              </w:rPr>
              <w:t>，制定并落实保护区湿地保护宣传计划，组织协调相关职能部门和乡镇开展联合行政执法和专项整治行动，落实保护区相关项目建设、生物资源科研监测。</w:t>
            </w:r>
          </w:p>
          <w:p>
            <w:pPr>
              <w:pStyle w:val="2"/>
              <w:rPr>
                <w:rFonts w:ascii="Times New Roman" w:hAnsi="Times New Roman" w:eastAsia="仿宋_GB2312" w:cs="Times New Roman"/>
                <w:color w:val="000000"/>
                <w:kern w:val="0"/>
                <w:sz w:val="21"/>
                <w:szCs w:val="21"/>
              </w:rPr>
            </w:pPr>
          </w:p>
        </w:tc>
        <w:tc>
          <w:tcPr>
            <w:tcW w:w="4293" w:type="dxa"/>
            <w:gridSpan w:val="4"/>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科学推进湿地恢复和修复</w:t>
            </w:r>
            <w:r>
              <w:rPr>
                <w:rFonts w:hint="eastAsia" w:ascii="Times New Roman" w:hAnsi="Times New Roman" w:eastAsia="仿宋_GB2312" w:cs="Times New Roman"/>
                <w:color w:val="000000"/>
                <w:kern w:val="0"/>
                <w:sz w:val="21"/>
                <w:szCs w:val="21"/>
                <w:lang w:eastAsia="zh-CN"/>
              </w:rPr>
              <w:t>，扎实推进项目建设，全面开展湿地保护科普宣教，大力整治漂浮物和水葫芦，持续提高保护区科学管护水平。</w:t>
            </w:r>
          </w:p>
        </w:tc>
      </w:tr>
      <w:tr>
        <w:tblPrEx>
          <w:tblCellMar>
            <w:top w:w="0" w:type="dxa"/>
            <w:left w:w="108" w:type="dxa"/>
            <w:bottom w:w="0" w:type="dxa"/>
            <w:right w:w="108" w:type="dxa"/>
          </w:tblCellMar>
        </w:tblPrEx>
        <w:trPr>
          <w:jc w:val="center"/>
        </w:trPr>
        <w:tc>
          <w:tcPr>
            <w:tcW w:w="1080"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spacing w:line="240" w:lineRule="exact"/>
              <w:jc w:val="center"/>
              <w:rPr>
                <w:rFonts w:ascii="Times New Roman" w:hAnsi="Times New Roman" w:eastAsia="仿宋_GB2312" w:cs="Times New Roman"/>
                <w:color w:val="000000"/>
                <w:kern w:val="0"/>
                <w:sz w:val="21"/>
                <w:szCs w:val="21"/>
              </w:rPr>
            </w:pPr>
          </w:p>
        </w:tc>
        <w:tc>
          <w:tcPr>
            <w:tcW w:w="110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10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widowControl/>
              <w:spacing w:line="240" w:lineRule="exact"/>
              <w:jc w:val="center"/>
              <w:rPr>
                <w:rFonts w:ascii="Times New Roman" w:hAnsi="Times New Roman" w:eastAsia="仿宋_GB2312" w:cs="Times New Roman"/>
                <w:color w:val="000000"/>
                <w:kern w:val="0"/>
                <w:sz w:val="21"/>
                <w:szCs w:val="21"/>
              </w:rPr>
            </w:pP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湿地恢复和修复面积</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800亩</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修复退化湿地</w:t>
            </w:r>
            <w:r>
              <w:rPr>
                <w:rFonts w:hint="eastAsia" w:ascii="Times New Roman" w:hAnsi="Times New Roman" w:eastAsia="仿宋_GB2312" w:cs="Times New Roman"/>
                <w:color w:val="000000"/>
                <w:kern w:val="0"/>
                <w:sz w:val="21"/>
                <w:szCs w:val="21"/>
                <w:lang w:val="en-US" w:eastAsia="zh-CN"/>
              </w:rPr>
              <w:t>720亩、微地形生境改造540亩、乡土树种替代225亩。</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常态化巡护质效</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8人</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增设8名专职巡护人员，对保护区范围内偷种的近120亩杨树全面清除。</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科普宣教成效</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增设宣传牌</w:t>
            </w:r>
            <w:r>
              <w:rPr>
                <w:rFonts w:hint="eastAsia" w:ascii="Times New Roman" w:hAnsi="Times New Roman" w:eastAsia="仿宋_GB2312" w:cs="Times New Roman"/>
                <w:color w:val="000000"/>
                <w:kern w:val="0"/>
                <w:sz w:val="21"/>
                <w:szCs w:val="21"/>
                <w:lang w:val="en-US" w:eastAsia="zh-CN"/>
              </w:rPr>
              <w:t>36块，拍摄宣传短片，发送宣传短信6万余条。</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管理制度健全性</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年初预算编制不够全面细致</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定期开展整治工作</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每季度</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每季度组织对南洞庭资阳岸线进行漂浮物和水葫芦整治。</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项目建设</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有序推进</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湿地保护与修复项目已销号，退耕还湿项目已制定实施方案</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7</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经费控制率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100%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年度决算数较年初预算数增加</w:t>
            </w:r>
            <w:r>
              <w:rPr>
                <w:rFonts w:hint="eastAsia" w:ascii="Times New Roman" w:hAnsi="Times New Roman" w:eastAsia="仿宋_GB2312" w:cs="Times New Roman"/>
                <w:color w:val="000000"/>
                <w:kern w:val="0"/>
                <w:sz w:val="21"/>
                <w:szCs w:val="21"/>
                <w:lang w:val="en-US" w:eastAsia="zh-CN"/>
              </w:rPr>
              <w:t>214.13%。</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4</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部分项目支出未纳入年初预算</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restart"/>
            <w:tcBorders>
              <w:top w:val="nil"/>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widowControl/>
              <w:spacing w:line="240" w:lineRule="exact"/>
              <w:jc w:val="left"/>
              <w:rPr>
                <w:rFonts w:ascii="Times New Roman" w:hAnsi="Times New Roman" w:eastAsia="仿宋_GB2312" w:cs="Times New Roman"/>
                <w:color w:val="000000"/>
                <w:kern w:val="0"/>
                <w:sz w:val="21"/>
                <w:szCs w:val="21"/>
              </w:rPr>
            </w:pP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widowControl/>
              <w:spacing w:line="240" w:lineRule="exact"/>
              <w:jc w:val="center"/>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重点工作完成率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项目推进率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95%</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科普覆盖率</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95%</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restart"/>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湿地保护及修复成效</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95%</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vMerge w:val="continue"/>
            <w:tcBorders>
              <w:left w:val="nil"/>
              <w:right w:val="single" w:color="auto" w:sz="4" w:space="0"/>
            </w:tcBorders>
            <w:noWrap w:val="0"/>
            <w:vAlign w:val="center"/>
          </w:tcPr>
          <w:p>
            <w:pPr>
              <w:spacing w:line="240" w:lineRule="exact"/>
              <w:jc w:val="center"/>
              <w:rPr>
                <w:rFonts w:ascii="Times New Roman" w:hAnsi="Times New Roman" w:eastAsia="仿宋_GB2312" w:cs="Times New Roman"/>
                <w:color w:val="000000"/>
                <w:kern w:val="0"/>
                <w:sz w:val="21"/>
                <w:szCs w:val="21"/>
              </w:rPr>
            </w:pP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常态化巡护工作质效</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95%</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5</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4"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有力有效维护南洞庭湖自然保护区生态良好</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全部达成目标</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全部达成目标</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p>
        </w:tc>
        <w:tc>
          <w:tcPr>
            <w:tcW w:w="1104"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44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保护、修复常态长效机制</w:t>
            </w:r>
          </w:p>
        </w:tc>
        <w:tc>
          <w:tcPr>
            <w:tcW w:w="9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健全</w:t>
            </w:r>
          </w:p>
        </w:tc>
        <w:tc>
          <w:tcPr>
            <w:tcW w:w="171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健全</w:t>
            </w:r>
          </w:p>
        </w:tc>
        <w:tc>
          <w:tcPr>
            <w:tcW w:w="79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480" w:hRule="atLeast"/>
          <w:jc w:val="center"/>
        </w:trPr>
        <w:tc>
          <w:tcPr>
            <w:tcW w:w="1080" w:type="dxa"/>
            <w:vMerge w:val="continue"/>
            <w:tcBorders>
              <w:left w:val="single" w:color="auto" w:sz="4" w:space="0"/>
              <w:right w:val="single" w:color="auto" w:sz="4" w:space="0"/>
            </w:tcBorders>
            <w:noWrap w:val="0"/>
            <w:vAlign w:val="center"/>
          </w:tcPr>
          <w:p>
            <w:pPr>
              <w:spacing w:line="240" w:lineRule="exact"/>
              <w:jc w:val="left"/>
              <w:rPr>
                <w:rFonts w:ascii="Times New Roman" w:hAnsi="Times New Roman" w:eastAsia="仿宋_GB2312" w:cs="Times New Roman"/>
                <w:color w:val="000000"/>
                <w:kern w:val="0"/>
                <w:sz w:val="21"/>
                <w:szCs w:val="21"/>
              </w:rPr>
            </w:pPr>
          </w:p>
        </w:tc>
        <w:tc>
          <w:tcPr>
            <w:tcW w:w="1102" w:type="dxa"/>
            <w:vMerge w:val="continue"/>
            <w:tcBorders>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p>
        </w:tc>
        <w:tc>
          <w:tcPr>
            <w:tcW w:w="1104" w:type="dxa"/>
            <w:tcBorders>
              <w:top w:val="nil"/>
              <w:left w:val="nil"/>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44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岸线生态良好度</w:t>
            </w:r>
          </w:p>
        </w:tc>
        <w:tc>
          <w:tcPr>
            <w:tcW w:w="96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w:t>
            </w:r>
            <w:r>
              <w:rPr>
                <w:rFonts w:hint="eastAsia" w:ascii="Times New Roman" w:hAnsi="Times New Roman" w:eastAsia="仿宋_GB2312" w:cs="Times New Roman"/>
                <w:color w:val="000000"/>
                <w:kern w:val="0"/>
                <w:sz w:val="21"/>
                <w:szCs w:val="21"/>
                <w:lang w:val="en-US" w:eastAsia="zh-CN"/>
              </w:rPr>
              <w:t>80%</w:t>
            </w:r>
          </w:p>
        </w:tc>
        <w:tc>
          <w:tcPr>
            <w:tcW w:w="171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95%</w:t>
            </w:r>
          </w:p>
        </w:tc>
        <w:tc>
          <w:tcPr>
            <w:tcW w:w="791"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8</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val="en-US" w:eastAsia="zh-CN"/>
              </w:rPr>
              <w:t>8</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bookmarkStart w:id="0" w:name="_GoBack"/>
            <w:bookmarkEnd w:id="0"/>
          </w:p>
        </w:tc>
      </w:tr>
      <w:tr>
        <w:tblPrEx>
          <w:tblCellMar>
            <w:top w:w="0" w:type="dxa"/>
            <w:left w:w="108" w:type="dxa"/>
            <w:bottom w:w="0" w:type="dxa"/>
            <w:right w:w="108" w:type="dxa"/>
          </w:tblCellMar>
        </w:tblPrEx>
        <w:trPr>
          <w:trHeight w:val="270" w:hRule="atLeast"/>
          <w:jc w:val="center"/>
        </w:trPr>
        <w:tc>
          <w:tcPr>
            <w:tcW w:w="7418" w:type="dxa"/>
            <w:gridSpan w:val="7"/>
            <w:tcBorders>
              <w:top w:val="single" w:color="auto" w:sz="4" w:space="0"/>
              <w:left w:val="single" w:color="auto" w:sz="4" w:space="0"/>
              <w:bottom w:val="single" w:color="auto" w:sz="4" w:space="0"/>
              <w:right w:val="single" w:color="000000" w:sz="4" w:space="0"/>
            </w:tcBorders>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791" w:type="dxa"/>
            <w:tcBorders>
              <w:top w:val="nil"/>
              <w:left w:val="nil"/>
              <w:bottom w:val="single" w:color="auto" w:sz="4" w:space="0"/>
              <w:right w:val="single" w:color="auto" w:sz="4" w:space="0"/>
            </w:tcBorders>
            <w:noWrap w:val="0"/>
            <w:vAlign w:val="center"/>
          </w:tcPr>
          <w:p>
            <w:pPr>
              <w:widowControl/>
              <w:spacing w:line="240" w:lineRule="exact"/>
              <w:jc w:val="both"/>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w:t>
            </w:r>
            <w:r>
              <w:rPr>
                <w:rFonts w:hint="eastAsia" w:ascii="Times New Roman" w:hAnsi="Times New Roman" w:eastAsia="仿宋_GB2312" w:cs="Times New Roman"/>
                <w:color w:val="000000"/>
                <w:kern w:val="0"/>
                <w:sz w:val="21"/>
                <w:szCs w:val="21"/>
                <w:lang w:val="en-US" w:eastAsia="zh-CN"/>
              </w:rPr>
              <w:t>0</w:t>
            </w:r>
            <w:r>
              <w:rPr>
                <w:rFonts w:hint="eastAsia" w:ascii="Times New Roman" w:hAnsi="Times New Roman" w:cs="Times New Roman"/>
                <w:color w:val="000000"/>
                <w:kern w:val="0"/>
                <w:sz w:val="21"/>
                <w:szCs w:val="21"/>
                <w:lang w:eastAsia="zh-CN"/>
              </w:rPr>
              <w:t>分</w:t>
            </w:r>
          </w:p>
        </w:tc>
        <w:tc>
          <w:tcPr>
            <w:tcW w:w="66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94</w:t>
            </w:r>
          </w:p>
        </w:tc>
        <w:tc>
          <w:tcPr>
            <w:tcW w:w="1116" w:type="dxa"/>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2"/>
        <w:ind w:left="0" w:leftChars="0" w:firstLine="0" w:firstLineChars="0"/>
        <w:rPr>
          <w:rFonts w:hint="default"/>
          <w:lang w:val="en-US" w:eastAsia="zh-CN"/>
        </w:rPr>
      </w:pPr>
      <w:r>
        <w:rPr>
          <w:rFonts w:ascii="Times New Roman" w:hAnsi="Times New Roman" w:eastAsia="仿宋_GB2312" w:cs="Times New Roman"/>
          <w:kern w:val="0"/>
          <w:sz w:val="21"/>
          <w:szCs w:val="21"/>
        </w:rPr>
        <w:t>填表人：        填报日期：          联系电话：            单位负责人签字：</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C7118A"/>
    <w:multiLevelType w:val="singleLevel"/>
    <w:tmpl w:val="D8C7118A"/>
    <w:lvl w:ilvl="0" w:tentative="0">
      <w:start w:val="2"/>
      <w:numFmt w:val="decimal"/>
      <w:suff w:val="space"/>
      <w:lvlText w:val="%1."/>
      <w:lvlJc w:val="left"/>
      <w:pPr>
        <w:ind w:left="1600" w:leftChars="0" w:firstLine="0" w:firstLineChars="0"/>
      </w:pPr>
    </w:lvl>
  </w:abstractNum>
  <w:abstractNum w:abstractNumId="1">
    <w:nsid w:val="0EEA2A60"/>
    <w:multiLevelType w:val="singleLevel"/>
    <w:tmpl w:val="0EEA2A60"/>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Mzc1M2Y1ODRkMTExMGEwMDA0NDUzNTVmZmMyNzYifQ=="/>
  </w:docVars>
  <w:rsids>
    <w:rsidRoot w:val="00000000"/>
    <w:rsid w:val="03AD506D"/>
    <w:rsid w:val="04351B1E"/>
    <w:rsid w:val="144162BD"/>
    <w:rsid w:val="19AB1FD6"/>
    <w:rsid w:val="46E836D6"/>
    <w:rsid w:val="49DA3B9B"/>
    <w:rsid w:val="64041AE8"/>
    <w:rsid w:val="6F5E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3544</Words>
  <Characters>3691</Characters>
  <Lines>0</Lines>
  <Paragraphs>0</Paragraphs>
  <TotalTime>4</TotalTime>
  <ScaleCrop>false</ScaleCrop>
  <LinksUpToDate>false</LinksUpToDate>
  <CharactersWithSpaces>4049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WPS_1665734332</cp:lastModifiedBy>
  <dcterms:modified xsi:type="dcterms:W3CDTF">2023-04-19T12:30:44Z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154BEE2E6C3345949E986B7E9C4FED4A</vt:lpwstr>
  </property>
</Properties>
</file>