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资阳区水利局部门整体支出绩效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自 评 报 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kern w:val="0"/>
          <w:sz w:val="28"/>
          <w:szCs w:val="28"/>
          <w:lang w:val="en-US" w:eastAsia="zh-CN" w:bidi="ar"/>
        </w:rPr>
        <w:t>为加强财政支出管理，切实提高财政资金使用效益，进一步落实监管责任，根据《中华人民共和国预算法》《中共中央国务院关于全面实施预算绩效管理的意见》</w:t>
      </w:r>
      <w:r>
        <w:rPr>
          <w:rFonts w:hint="default" w:ascii="仿宋" w:hAnsi="仿宋" w:eastAsia="仿宋" w:cs="仿宋"/>
          <w:b w:val="0"/>
          <w:bCs w:val="0"/>
          <w:kern w:val="0"/>
          <w:sz w:val="28"/>
          <w:szCs w:val="28"/>
          <w:lang w:val="en-US" w:eastAsia="zh-CN" w:bidi="ar"/>
        </w:rPr>
        <w:t>(中发〔2018〕34号)、《中共湖南省委办公厅湖南省人民政府办公厅关于全面实施预算绩效管理的实施意见》(湘办发〔2019〕10号)和</w:t>
      </w:r>
      <w:r>
        <w:rPr>
          <w:rFonts w:hint="eastAsia" w:ascii="仿宋" w:hAnsi="仿宋" w:eastAsia="仿宋" w:cs="仿宋"/>
          <w:b w:val="0"/>
          <w:bCs w:val="0"/>
          <w:kern w:val="0"/>
          <w:sz w:val="28"/>
          <w:szCs w:val="28"/>
          <w:lang w:val="en-US" w:eastAsia="zh-CN" w:bidi="ar"/>
        </w:rPr>
        <w:t>《益阳市资阳区财政局关于开展2022年度预算绩效自评工作的通知》（益资财〔2023〕4号）文件精神，</w:t>
      </w:r>
      <w:r>
        <w:rPr>
          <w:rFonts w:hint="eastAsia" w:ascii="仿宋" w:hAnsi="仿宋" w:eastAsia="仿宋" w:cs="仿宋"/>
          <w:b w:val="0"/>
          <w:bCs w:val="0"/>
          <w:sz w:val="28"/>
          <w:szCs w:val="28"/>
        </w:rPr>
        <w:t>我局积极组织，对</w:t>
      </w:r>
      <w:r>
        <w:rPr>
          <w:rFonts w:hint="eastAsia" w:ascii="仿宋" w:hAnsi="仿宋" w:eastAsia="仿宋" w:cs="仿宋"/>
          <w:b w:val="0"/>
          <w:bCs w:val="0"/>
          <w:sz w:val="28"/>
          <w:szCs w:val="28"/>
          <w:lang w:val="en-US" w:eastAsia="zh-CN"/>
        </w:rPr>
        <w:t>2022</w:t>
      </w:r>
      <w:r>
        <w:rPr>
          <w:rFonts w:hint="eastAsia" w:ascii="仿宋" w:hAnsi="仿宋" w:eastAsia="仿宋" w:cs="仿宋"/>
          <w:b w:val="0"/>
          <w:bCs w:val="0"/>
          <w:sz w:val="28"/>
          <w:szCs w:val="28"/>
        </w:rPr>
        <w:t>年度本单位整体支出进行了绩效自评，现将具体绩效评价情况报告如下：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一、部门概况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(一）</w:t>
      </w:r>
      <w:r>
        <w:rPr>
          <w:rFonts w:hint="eastAsia" w:ascii="仿宋" w:hAnsi="仿宋" w:eastAsia="仿宋" w:cs="仿宋"/>
          <w:b w:val="0"/>
          <w:bCs w:val="0"/>
          <w:sz w:val="28"/>
          <w:szCs w:val="28"/>
        </w:rPr>
        <w:t>部门机构设置</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kern w:val="0"/>
          <w:sz w:val="28"/>
          <w:szCs w:val="28"/>
        </w:rPr>
        <w:t>机构设置情况：根据工作职责，益阳市资阳区水利</w:t>
      </w:r>
      <w:r>
        <w:rPr>
          <w:rFonts w:hint="eastAsia" w:ascii="仿宋" w:hAnsi="仿宋" w:eastAsia="仿宋" w:cs="仿宋"/>
          <w:b w:val="0"/>
          <w:bCs w:val="0"/>
          <w:color w:val="333333"/>
          <w:sz w:val="28"/>
          <w:szCs w:val="28"/>
        </w:rPr>
        <w:t>局本级设办公室、</w:t>
      </w:r>
      <w:r>
        <w:rPr>
          <w:rFonts w:hint="eastAsia" w:ascii="仿宋" w:hAnsi="仿宋" w:eastAsia="仿宋" w:cs="仿宋"/>
          <w:b w:val="0"/>
          <w:bCs w:val="0"/>
          <w:color w:val="333333"/>
          <w:sz w:val="28"/>
          <w:szCs w:val="28"/>
          <w:lang w:eastAsia="zh-CN"/>
        </w:rPr>
        <w:t>政工</w:t>
      </w:r>
      <w:r>
        <w:rPr>
          <w:rFonts w:hint="eastAsia" w:ascii="仿宋" w:hAnsi="仿宋" w:eastAsia="仿宋" w:cs="仿宋"/>
          <w:b w:val="0"/>
          <w:bCs w:val="0"/>
          <w:color w:val="333333"/>
          <w:sz w:val="28"/>
          <w:szCs w:val="28"/>
        </w:rPr>
        <w:t>人事股、财</w:t>
      </w:r>
      <w:r>
        <w:rPr>
          <w:rFonts w:hint="eastAsia" w:ascii="仿宋" w:hAnsi="仿宋" w:eastAsia="仿宋" w:cs="仿宋"/>
          <w:b w:val="0"/>
          <w:bCs w:val="0"/>
          <w:color w:val="333333"/>
          <w:sz w:val="28"/>
          <w:szCs w:val="28"/>
          <w:lang w:eastAsia="zh-CN"/>
        </w:rPr>
        <w:t>计</w:t>
      </w:r>
      <w:r>
        <w:rPr>
          <w:rFonts w:hint="eastAsia" w:ascii="仿宋" w:hAnsi="仿宋" w:eastAsia="仿宋" w:cs="仿宋"/>
          <w:b w:val="0"/>
          <w:bCs w:val="0"/>
          <w:color w:val="333333"/>
          <w:sz w:val="28"/>
          <w:szCs w:val="28"/>
        </w:rPr>
        <w:t>股、安全生产与质量监督</w:t>
      </w:r>
      <w:r>
        <w:rPr>
          <w:rFonts w:hint="eastAsia" w:ascii="仿宋" w:hAnsi="仿宋" w:eastAsia="仿宋" w:cs="仿宋"/>
          <w:b w:val="0"/>
          <w:bCs w:val="0"/>
          <w:color w:val="333333"/>
          <w:sz w:val="28"/>
          <w:szCs w:val="28"/>
          <w:lang w:eastAsia="zh-CN"/>
        </w:rPr>
        <w:t>股</w:t>
      </w:r>
      <w:r>
        <w:rPr>
          <w:rFonts w:hint="eastAsia" w:ascii="仿宋" w:hAnsi="仿宋" w:eastAsia="仿宋" w:cs="仿宋"/>
          <w:b w:val="0"/>
          <w:bCs w:val="0"/>
          <w:color w:val="333333"/>
          <w:sz w:val="28"/>
          <w:szCs w:val="28"/>
        </w:rPr>
        <w:t>、水资源股、河长制工作股6个内设机构；设置资阳区水利工程站、资阳区水旱灾害防御事务中心、资阳区河道湖泊管理站、资阳区村镇供水工程管理站、资阳区砂石市场管理办公室、资阳区水政监察大队、资阳区机电排灌站、资阳区库区移民事务中心、资阳区迎丰水库管理处9个事业单位。下辖资阳区城区水利管理站、资阳区</w:t>
      </w:r>
      <w:r>
        <w:rPr>
          <w:rFonts w:hint="eastAsia" w:ascii="仿宋" w:hAnsi="仿宋" w:eastAsia="仿宋" w:cs="仿宋"/>
          <w:b w:val="0"/>
          <w:bCs w:val="0"/>
          <w:color w:val="333333"/>
          <w:sz w:val="28"/>
          <w:szCs w:val="28"/>
          <w:lang w:eastAsia="zh-CN"/>
        </w:rPr>
        <w:t>黄</w:t>
      </w:r>
      <w:r>
        <w:rPr>
          <w:rFonts w:hint="eastAsia" w:ascii="仿宋" w:hAnsi="仿宋" w:eastAsia="仿宋" w:cs="仿宋"/>
          <w:b w:val="0"/>
          <w:bCs w:val="0"/>
          <w:color w:val="333333"/>
          <w:sz w:val="28"/>
          <w:szCs w:val="28"/>
        </w:rPr>
        <w:t>家湖电排管理站、资阳区民主垸中心水利管理站</w:t>
      </w: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w:t>
      </w:r>
      <w:r>
        <w:rPr>
          <w:rFonts w:hint="eastAsia" w:ascii="仿宋" w:hAnsi="仿宋" w:eastAsia="仿宋" w:cs="仿宋"/>
          <w:b w:val="0"/>
          <w:bCs w:val="0"/>
          <w:color w:val="333333"/>
          <w:sz w:val="28"/>
          <w:szCs w:val="28"/>
          <w:lang w:eastAsia="zh-CN"/>
        </w:rPr>
        <w:t>局属水利管理站</w:t>
      </w:r>
      <w:r>
        <w:rPr>
          <w:rFonts w:hint="eastAsia" w:ascii="仿宋" w:hAnsi="仿宋" w:eastAsia="仿宋" w:cs="仿宋"/>
          <w:b w:val="0"/>
          <w:bCs w:val="0"/>
          <w:color w:val="333333"/>
          <w:sz w:val="28"/>
          <w:szCs w:val="28"/>
        </w:rPr>
        <w:t>。</w:t>
      </w:r>
    </w:p>
    <w:p>
      <w:pPr>
        <w:keepNext w:val="0"/>
        <w:keepLines w:val="0"/>
        <w:pageBreakBefore w:val="0"/>
        <w:widowControl/>
        <w:kinsoku/>
        <w:wordWrap/>
        <w:overflowPunct/>
        <w:topLinePunct w:val="0"/>
        <w:autoSpaceDE/>
        <w:autoSpaceDN/>
        <w:bidi w:val="0"/>
        <w:adjustRightInd/>
        <w:snapToGrid/>
        <w:spacing w:line="520" w:lineRule="exact"/>
        <w:ind w:firstLine="548" w:firstLineChars="196"/>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区水利局工作职能及职责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1、拟定全区水利工作规划性文件及中、长期水利规划，组织起草有关政策性法规，并督促实施。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2、统一管理水资源（含空中水、地表水、地下水）。组织有关城区规划及重大建设项目的水资源和防洪的论证工作；组织实行取水许可制度和水资源费征收制度。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3、组织、指导水政监察和水行政执法，协调并仲裁区域内的水事纠纷。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4、合法使用、调控水利资金，搞好水利行业的供水、水电及多种经营工作。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5、编制、上报年度水利基建项目设计书，搞好基建项目的施工及技术监理工作，严格操作规划。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6、搞好水利设施、水域及其岸线的管理与保护；组织指导河滩的治理与开发；组织建设和管理水利工程，组织、指导水库大坝的安全监管。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7、组织协调农田水利基本建设和乡镇供水工作。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8、搞好全区水土保持工作，研究制定水土保持的工程措施规划，组织水土流失的监测和综合防治。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9、负责水利方面的科技工作，搞好全区水利队伍建设。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10、指导河长制工作；指导全区砂石市场管理工作；指导区防汛抗旱工作，对水库、内湖实施防汛抗旱调度。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11、承担区政府交办的其他事项。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二、部门（单位）整体支出管理及使用情况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（一）部门整体经费支出情况分析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年度基本支出共计</w:t>
      </w:r>
      <w:r>
        <w:rPr>
          <w:rFonts w:hint="eastAsia" w:ascii="仿宋" w:hAnsi="仿宋" w:eastAsia="仿宋" w:cs="仿宋"/>
          <w:i w:val="0"/>
          <w:iCs w:val="0"/>
          <w:caps w:val="0"/>
          <w:color w:val="333333"/>
          <w:spacing w:val="0"/>
          <w:sz w:val="28"/>
          <w:szCs w:val="28"/>
          <w:shd w:val="clear" w:fill="FFFFFF"/>
          <w:lang w:val="en-US" w:eastAsia="zh-CN"/>
        </w:rPr>
        <w:t>2948.71</w:t>
      </w:r>
      <w:r>
        <w:rPr>
          <w:rFonts w:hint="eastAsia" w:ascii="仿宋" w:hAnsi="仿宋" w:eastAsia="仿宋" w:cs="仿宋"/>
          <w:i w:val="0"/>
          <w:iCs w:val="0"/>
          <w:caps w:val="0"/>
          <w:color w:val="333333"/>
          <w:spacing w:val="0"/>
          <w:sz w:val="28"/>
          <w:szCs w:val="28"/>
          <w:shd w:val="clear" w:fill="FFFFFF"/>
        </w:rPr>
        <w:t>万元，其中人员经费</w:t>
      </w:r>
      <w:r>
        <w:rPr>
          <w:rFonts w:hint="eastAsia" w:ascii="仿宋" w:hAnsi="仿宋" w:eastAsia="仿宋" w:cs="仿宋"/>
          <w:i w:val="0"/>
          <w:iCs w:val="0"/>
          <w:caps w:val="0"/>
          <w:color w:val="333333"/>
          <w:spacing w:val="0"/>
          <w:sz w:val="28"/>
          <w:szCs w:val="28"/>
          <w:shd w:val="clear" w:fill="FFFFFF"/>
          <w:lang w:val="en-US" w:eastAsia="zh-CN"/>
        </w:rPr>
        <w:t>2596.88</w:t>
      </w:r>
      <w:r>
        <w:rPr>
          <w:rFonts w:hint="eastAsia" w:ascii="仿宋" w:hAnsi="仿宋" w:eastAsia="仿宋" w:cs="仿宋"/>
          <w:i w:val="0"/>
          <w:iCs w:val="0"/>
          <w:caps w:val="0"/>
          <w:color w:val="333333"/>
          <w:spacing w:val="0"/>
          <w:sz w:val="28"/>
          <w:szCs w:val="28"/>
          <w:shd w:val="clear" w:fill="FFFFFF"/>
        </w:rPr>
        <w:t>万元，</w:t>
      </w:r>
      <w:r>
        <w:rPr>
          <w:rFonts w:hint="eastAsia" w:ascii="仿宋" w:hAnsi="仿宋" w:eastAsia="仿宋" w:cs="仿宋"/>
          <w:i w:val="0"/>
          <w:iCs w:val="0"/>
          <w:caps w:val="0"/>
          <w:color w:val="333333"/>
          <w:spacing w:val="0"/>
          <w:sz w:val="28"/>
          <w:szCs w:val="28"/>
          <w:shd w:val="clear" w:fill="FFFFFF"/>
          <w:lang w:eastAsia="zh-CN"/>
        </w:rPr>
        <w:t>主要用于</w:t>
      </w:r>
      <w:r>
        <w:rPr>
          <w:rFonts w:hint="eastAsia" w:ascii="仿宋" w:hAnsi="仿宋" w:eastAsia="仿宋" w:cs="仿宋"/>
          <w:i w:val="0"/>
          <w:iCs w:val="0"/>
          <w:caps w:val="0"/>
          <w:color w:val="333333"/>
          <w:spacing w:val="0"/>
          <w:sz w:val="28"/>
          <w:szCs w:val="28"/>
          <w:shd w:val="clear" w:fill="FFFFFF"/>
        </w:rPr>
        <w:t>局机关及下属事业单位的基本工资、津贴补贴、绩效工资、机关事业单位基本养老保险缴费、职业年金缴费、其他社会保障缴费、其他工资福利支出、住房公积金、其他对个人和家庭的补助支出等支出；</w:t>
      </w:r>
      <w:r>
        <w:rPr>
          <w:rFonts w:hint="eastAsia" w:ascii="仿宋" w:hAnsi="仿宋" w:eastAsia="仿宋" w:cs="仿宋"/>
          <w:i w:val="0"/>
          <w:iCs w:val="0"/>
          <w:caps w:val="0"/>
          <w:color w:val="333333"/>
          <w:spacing w:val="0"/>
          <w:sz w:val="28"/>
          <w:szCs w:val="28"/>
          <w:shd w:val="clear" w:fill="FFFFFF"/>
          <w:lang w:eastAsia="zh-CN"/>
        </w:rPr>
        <w:t>日常</w:t>
      </w:r>
      <w:r>
        <w:rPr>
          <w:rFonts w:hint="eastAsia" w:ascii="仿宋" w:hAnsi="仿宋" w:eastAsia="仿宋" w:cs="仿宋"/>
          <w:i w:val="0"/>
          <w:iCs w:val="0"/>
          <w:caps w:val="0"/>
          <w:color w:val="333333"/>
          <w:spacing w:val="0"/>
          <w:sz w:val="28"/>
          <w:szCs w:val="28"/>
          <w:shd w:val="clear" w:fill="FFFFFF"/>
        </w:rPr>
        <w:t>公用支出</w:t>
      </w:r>
      <w:r>
        <w:rPr>
          <w:rFonts w:hint="eastAsia" w:ascii="仿宋" w:hAnsi="仿宋" w:eastAsia="仿宋" w:cs="仿宋"/>
          <w:i w:val="0"/>
          <w:iCs w:val="0"/>
          <w:caps w:val="0"/>
          <w:color w:val="333333"/>
          <w:spacing w:val="0"/>
          <w:sz w:val="28"/>
          <w:szCs w:val="28"/>
          <w:shd w:val="clear" w:fill="FFFFFF"/>
          <w:lang w:val="en-US" w:eastAsia="zh-CN"/>
        </w:rPr>
        <w:t>351.83</w:t>
      </w:r>
      <w:r>
        <w:rPr>
          <w:rFonts w:hint="eastAsia" w:ascii="仿宋" w:hAnsi="仿宋" w:eastAsia="仿宋" w:cs="仿宋"/>
          <w:i w:val="0"/>
          <w:iCs w:val="0"/>
          <w:caps w:val="0"/>
          <w:color w:val="333333"/>
          <w:spacing w:val="0"/>
          <w:sz w:val="28"/>
          <w:szCs w:val="28"/>
          <w:shd w:val="clear" w:fill="FFFFFF"/>
        </w:rPr>
        <w:t>万元，主要为用于保障机关正常运转所需开支的办公费、</w:t>
      </w:r>
      <w:r>
        <w:rPr>
          <w:rFonts w:hint="eastAsia" w:ascii="仿宋" w:hAnsi="仿宋" w:eastAsia="仿宋" w:cs="仿宋"/>
          <w:i w:val="0"/>
          <w:iCs w:val="0"/>
          <w:caps w:val="0"/>
          <w:color w:val="333333"/>
          <w:spacing w:val="0"/>
          <w:sz w:val="28"/>
          <w:szCs w:val="28"/>
          <w:shd w:val="clear" w:fill="FFFFFF"/>
          <w:lang w:eastAsia="zh-CN"/>
        </w:rPr>
        <w:t>水电费、</w:t>
      </w:r>
      <w:r>
        <w:rPr>
          <w:rFonts w:hint="eastAsia" w:ascii="仿宋" w:hAnsi="仿宋" w:eastAsia="仿宋" w:cs="仿宋"/>
          <w:i w:val="0"/>
          <w:iCs w:val="0"/>
          <w:caps w:val="0"/>
          <w:color w:val="333333"/>
          <w:spacing w:val="0"/>
          <w:sz w:val="28"/>
          <w:szCs w:val="28"/>
          <w:shd w:val="clear" w:fill="FFFFFF"/>
        </w:rPr>
        <w:t>差旅费、</w:t>
      </w:r>
      <w:r>
        <w:rPr>
          <w:rFonts w:hint="eastAsia" w:ascii="仿宋" w:hAnsi="仿宋" w:eastAsia="仿宋" w:cs="仿宋"/>
          <w:i w:val="0"/>
          <w:iCs w:val="0"/>
          <w:caps w:val="0"/>
          <w:color w:val="333333"/>
          <w:spacing w:val="0"/>
          <w:sz w:val="28"/>
          <w:szCs w:val="28"/>
          <w:shd w:val="clear" w:fill="FFFFFF"/>
          <w:lang w:eastAsia="zh-CN"/>
        </w:rPr>
        <w:t>公务接</w:t>
      </w:r>
      <w:r>
        <w:rPr>
          <w:rFonts w:hint="eastAsia" w:ascii="仿宋" w:hAnsi="仿宋" w:eastAsia="仿宋" w:cs="仿宋"/>
          <w:i w:val="0"/>
          <w:iCs w:val="0"/>
          <w:caps w:val="0"/>
          <w:color w:val="333333"/>
          <w:spacing w:val="0"/>
          <w:sz w:val="28"/>
          <w:szCs w:val="28"/>
          <w:shd w:val="clear" w:fill="FFFFFF"/>
        </w:rPr>
        <w:t>待费、培训费、物业管理费、工会经费、福利费、、其他交通费</w:t>
      </w:r>
      <w:r>
        <w:rPr>
          <w:rFonts w:hint="eastAsia" w:ascii="仿宋" w:hAnsi="仿宋" w:eastAsia="仿宋" w:cs="仿宋"/>
          <w:i w:val="0"/>
          <w:iCs w:val="0"/>
          <w:caps w:val="0"/>
          <w:color w:val="333333"/>
          <w:spacing w:val="0"/>
          <w:sz w:val="28"/>
          <w:szCs w:val="28"/>
          <w:shd w:val="clear" w:fill="FFFFFF"/>
          <w:lang w:eastAsia="zh-CN"/>
        </w:rPr>
        <w:t>用</w:t>
      </w:r>
      <w:r>
        <w:rPr>
          <w:rFonts w:hint="eastAsia" w:ascii="仿宋" w:hAnsi="仿宋" w:eastAsia="仿宋" w:cs="仿宋"/>
          <w:i w:val="0"/>
          <w:iCs w:val="0"/>
          <w:caps w:val="0"/>
          <w:color w:val="333333"/>
          <w:spacing w:val="0"/>
          <w:sz w:val="28"/>
          <w:szCs w:val="28"/>
          <w:shd w:val="clear" w:fill="FFFFFF"/>
        </w:rPr>
        <w:t>、办公设备购置等支出。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2、项目支出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年度项目支出共计</w:t>
      </w:r>
      <w:r>
        <w:rPr>
          <w:rFonts w:hint="eastAsia" w:ascii="仿宋" w:hAnsi="仿宋" w:eastAsia="仿宋" w:cs="仿宋"/>
          <w:i w:val="0"/>
          <w:iCs w:val="0"/>
          <w:caps w:val="0"/>
          <w:color w:val="333333"/>
          <w:spacing w:val="0"/>
          <w:sz w:val="28"/>
          <w:szCs w:val="28"/>
          <w:shd w:val="clear" w:fill="FFFFFF"/>
          <w:lang w:val="en-US" w:eastAsia="zh-CN"/>
        </w:rPr>
        <w:t>9647.16</w:t>
      </w:r>
      <w:r>
        <w:rPr>
          <w:rFonts w:hint="eastAsia" w:ascii="仿宋" w:hAnsi="仿宋" w:eastAsia="仿宋" w:cs="仿宋"/>
          <w:i w:val="0"/>
          <w:iCs w:val="0"/>
          <w:caps w:val="0"/>
          <w:color w:val="333333"/>
          <w:spacing w:val="0"/>
          <w:sz w:val="28"/>
          <w:szCs w:val="28"/>
          <w:shd w:val="clear" w:fill="FFFFFF"/>
        </w:rPr>
        <w:t>万元，主要用于水利建设</w:t>
      </w:r>
      <w:r>
        <w:rPr>
          <w:rFonts w:hint="eastAsia" w:ascii="仿宋" w:hAnsi="仿宋" w:eastAsia="仿宋" w:cs="仿宋"/>
          <w:i w:val="0"/>
          <w:iCs w:val="0"/>
          <w:caps w:val="0"/>
          <w:color w:val="333333"/>
          <w:spacing w:val="0"/>
          <w:sz w:val="28"/>
          <w:szCs w:val="28"/>
          <w:shd w:val="clear" w:fill="FFFFFF"/>
          <w:lang w:eastAsia="zh-CN"/>
        </w:rPr>
        <w:t>项目</w:t>
      </w:r>
      <w:r>
        <w:rPr>
          <w:rFonts w:hint="eastAsia" w:ascii="仿宋" w:hAnsi="仿宋" w:eastAsia="仿宋" w:cs="仿宋"/>
          <w:i w:val="0"/>
          <w:iCs w:val="0"/>
          <w:caps w:val="0"/>
          <w:color w:val="333333"/>
          <w:spacing w:val="0"/>
          <w:sz w:val="28"/>
          <w:szCs w:val="28"/>
          <w:shd w:val="clear" w:fill="FFFFFF"/>
        </w:rPr>
        <w:t>、防汛抗旱工作经费支出、河道</w:t>
      </w:r>
      <w:r>
        <w:rPr>
          <w:rFonts w:hint="eastAsia" w:ascii="仿宋" w:hAnsi="仿宋" w:eastAsia="仿宋" w:cs="仿宋"/>
          <w:i w:val="0"/>
          <w:iCs w:val="0"/>
          <w:caps w:val="0"/>
          <w:color w:val="333333"/>
          <w:spacing w:val="0"/>
          <w:sz w:val="28"/>
          <w:szCs w:val="28"/>
          <w:shd w:val="clear" w:fill="FFFFFF"/>
          <w:lang w:eastAsia="zh-CN"/>
        </w:rPr>
        <w:t>保洁支出</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eastAsia="zh-CN"/>
        </w:rPr>
        <w:t>水利前期工作经费，河长制</w:t>
      </w:r>
      <w:r>
        <w:rPr>
          <w:rFonts w:hint="eastAsia" w:ascii="仿宋" w:hAnsi="仿宋" w:eastAsia="仿宋" w:cs="仿宋"/>
          <w:i w:val="0"/>
          <w:iCs w:val="0"/>
          <w:caps w:val="0"/>
          <w:color w:val="333333"/>
          <w:spacing w:val="0"/>
          <w:sz w:val="28"/>
          <w:szCs w:val="28"/>
          <w:shd w:val="clear" w:fill="FFFFFF"/>
        </w:rPr>
        <w:t>工作经费、</w:t>
      </w:r>
      <w:r>
        <w:rPr>
          <w:rFonts w:hint="eastAsia" w:ascii="仿宋" w:hAnsi="仿宋" w:eastAsia="仿宋" w:cs="仿宋"/>
          <w:i w:val="0"/>
          <w:iCs w:val="0"/>
          <w:caps w:val="0"/>
          <w:color w:val="333333"/>
          <w:spacing w:val="0"/>
          <w:sz w:val="28"/>
          <w:szCs w:val="28"/>
          <w:shd w:val="clear" w:fill="FFFFFF"/>
          <w:lang w:eastAsia="zh-CN"/>
        </w:rPr>
        <w:t>洞庭湖转移支付等</w:t>
      </w:r>
      <w:r>
        <w:rPr>
          <w:rFonts w:hint="eastAsia" w:ascii="仿宋" w:hAnsi="仿宋" w:eastAsia="仿宋" w:cs="仿宋"/>
          <w:i w:val="0"/>
          <w:iCs w:val="0"/>
          <w:caps w:val="0"/>
          <w:color w:val="333333"/>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三、政府性基金预算支出情况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年资阳区水利局无政府性基金预算。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四、国有资本经营预算支出情况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年资阳区水利局无国有资本经营预算。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五、社会保险基金预算支出情况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年资阳区水利局无社会保险基金预算。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eastAsia="zh-CN"/>
        </w:rPr>
        <w:t>六</w:t>
      </w:r>
      <w:r>
        <w:rPr>
          <w:rFonts w:hint="eastAsia" w:ascii="仿宋" w:hAnsi="仿宋" w:eastAsia="仿宋" w:cs="仿宋"/>
          <w:i w:val="0"/>
          <w:iCs w:val="0"/>
          <w:caps w:val="0"/>
          <w:color w:val="333333"/>
          <w:spacing w:val="0"/>
          <w:sz w:val="28"/>
          <w:szCs w:val="28"/>
          <w:shd w:val="clear" w:fill="FFFFFF"/>
        </w:rPr>
        <w:t>、部门（单位）整体支出绩效情况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）防汛抗旱工作扎实开展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一是防抗结合，加强应对指导。针对</w:t>
      </w:r>
      <w:r>
        <w:rPr>
          <w:rFonts w:hint="eastAsia" w:ascii="仿宋" w:hAnsi="仿宋" w:eastAsia="仿宋" w:cs="仿宋"/>
          <w:sz w:val="28"/>
          <w:szCs w:val="28"/>
          <w:lang w:val="en-US" w:eastAsia="zh-CN"/>
        </w:rPr>
        <w:t>2022</w:t>
      </w:r>
      <w:r>
        <w:rPr>
          <w:rFonts w:hint="eastAsia" w:ascii="仿宋" w:hAnsi="仿宋" w:eastAsia="仿宋" w:cs="仿宋"/>
          <w:sz w:val="28"/>
          <w:szCs w:val="28"/>
        </w:rPr>
        <w:t>年旱情中发现的新问题以及天气形势分析，出台《资阳区</w:t>
      </w:r>
      <w:r>
        <w:rPr>
          <w:rFonts w:hint="eastAsia" w:ascii="仿宋" w:hAnsi="仿宋" w:eastAsia="仿宋" w:cs="仿宋"/>
          <w:sz w:val="28"/>
          <w:szCs w:val="28"/>
          <w:lang w:eastAsia="zh-CN"/>
        </w:rPr>
        <w:t>极</w:t>
      </w:r>
      <w:r>
        <w:rPr>
          <w:rFonts w:hint="eastAsia" w:ascii="仿宋" w:hAnsi="仿宋" w:eastAsia="仿宋" w:cs="仿宋"/>
          <w:sz w:val="28"/>
          <w:szCs w:val="28"/>
        </w:rPr>
        <w:t>端旱情应对方案》《资阳区抗长旱应急预案》，着重对人畜饮水和灌区生产用水进行部署。二是多方调水，强化用水保障。调度36座上型号水库开闸泄水保障农业生产，有效缓解旱情对农业生产影响，保障21处农村安全饮水工程全力运行，全区人畜饮水基本得到保障。三是担当有力，行动成效显著。筹措资金维修采购一批移动式水泵支援旱情严重乡镇，同时争取水利救灾资金550万元，拟新增2处水厂供水设施和水源连通工程建设，并对各乡镇抗旱设备采购以及用油用电进行补助。通过做细做实洪涝干旱应对措施，成功防御了汛后高温少雨旱情发展，有效减轻了洪涝干旱灾害损失，全力保障人民群众生产生活不受影响，取得抗旱阶段性胜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）河湖长制工作有效推进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一是不断完善工作体制机制，调整充实区乡村三级河湖长242名，设置、更新河湖长制公示牌640块；召开会议专题研究河湖长制工作，区政府常务会议和区总河长会议各2次；深化河湖长制各类协作联动机制，开展联合巡河巡湖；完善“四长一站”“一办两员”工作体系，积极探索乡村网格化管理；结合《益阳市资阳区2022年度暗访工作计划》，组织开展暗访2次、例行督查3次，并印发通报。二是持续推进河湖系统治理问题25个、区检察院印发问题整改磋商函2份、省市交办单涉及问题4个，均已按照上级要求完成整改并递交了销号资料。三是加快推进完成年度各项重点工作任务。我区河湖长制工作</w:t>
      </w:r>
      <w:r>
        <w:rPr>
          <w:rFonts w:hint="eastAsia" w:ascii="仿宋" w:hAnsi="仿宋" w:eastAsia="仿宋" w:cs="仿宋"/>
          <w:sz w:val="28"/>
          <w:szCs w:val="28"/>
          <w:lang w:eastAsia="zh-CN"/>
        </w:rPr>
        <w:t>年终绩效考核综合评分全市第一，</w:t>
      </w:r>
      <w:r>
        <w:rPr>
          <w:rFonts w:hint="eastAsia" w:ascii="仿宋" w:hAnsi="仿宋" w:eastAsia="仿宋" w:cs="仿宋"/>
          <w:sz w:val="28"/>
          <w:szCs w:val="28"/>
        </w:rPr>
        <w:t>经省级考评复核，</w:t>
      </w:r>
      <w:r>
        <w:rPr>
          <w:rFonts w:hint="eastAsia" w:ascii="仿宋" w:hAnsi="仿宋" w:eastAsia="仿宋" w:cs="仿宋"/>
          <w:sz w:val="28"/>
          <w:szCs w:val="28"/>
          <w:lang w:eastAsia="zh-CN"/>
        </w:rPr>
        <w:t>获</w:t>
      </w:r>
      <w:r>
        <w:rPr>
          <w:rFonts w:hint="eastAsia" w:ascii="仿宋" w:hAnsi="仿宋" w:eastAsia="仿宋" w:cs="仿宋"/>
          <w:sz w:val="28"/>
          <w:szCs w:val="28"/>
        </w:rPr>
        <w:t>2022年省政府真抓实干督查激励。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）水利建设工作全面加强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一是资阳区水系连通及水美乡村建设试点县项目，投入中央资金8100万元，对民主垸水系进行综合治理。二是茈湖口河治理工程，投入资金779万元，完成堤岸护砌1.6公里，完成总投资约1800万元。三是长春垸堤防加固一期工程，资阳部分总投资11.7亿元，生态疏浚项目分四个部分实施，目前，已进入施工阶段。四是水库除险加固、维修养护工程，投入资金1200万元，对石牛潭水库大坝及输水涵闸进行除险加固；投入资金243万元，对全区25座水库进行维修和非工程措施升级改造。五是水利工程设施维修养护项目，投入资金138万元，对25座水库、11处水厂进行维修养护。六是水库移民后期扶持项目，投入资金414万元，对移民村基础设施进行改造。七是长春涝区二期排涝工程，投入资金18439万元，对部分中型泵站进行新建，对部分村级排涝泵站进行更新改造，对内湖堤防、排涝渠道进行整治。八是抗旱能力建设项目，投入资金550万元，对迎丰灌区渠道、引调水工程进行整治，对2处农饮工程进行恢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）行业管理成效显著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堤防和水库管理逐步规范。一是领导重视，落实专人负责堤防和水库管理日常工作。二是推行示范堤段和水库建设，以点带面。三是进一步完善管护办法，严格考核考评。今年，区政府出台了《资阳区堤防管理实施条例》《资阳区水库除险加固和运行管护实施意见》，通过法治手段为堤防及水库日常管理提供了行动指南及根本遵循。</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水资源管理强效推进。一是严格按照要求，规范全区取水许可管理，并全部录入取水许可登记系统。二是实现取水量（地下水）5万吨及以上的重点取水户用水量监测和用水量（地表水）20万吨以上的用水户用水数据监测。三是对全区下发取水许可证的用水户（含农饮水厂）安装了计量设施，并每季度上门进行检查登记，进一步规范水资源费收缴。四是加大水土保持方案编制及执行力度，截至2022年底全年审批水土保持项目16个，收取水土保持补偿费37.0898万元。五是区县域节水型社会达标建设现场评估工作已完成，2022年益阳市资阳区被确认为第四批节水型社会建设达标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农饮水安全有效保障。一是引入社会资本参与水厂经营管理，实行专业化运营，目前各水厂实现了管理人员固定化、专业化和常态化；二是统一了全区农村自来水水价，优化维修基金使用，确保工程持续、长效、安全运行；三是加强对供水单位的监督，特别是定期进行水质检测，确保供水水质合格率，顺利通过了乡村振兴工作省市验收，使广大人民群众喝上安全、干净、卫生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4.砂石市场管理更加有序。继续推行“水利+公安”模式，健全打击非法采砂部门联动协作机制，对全区砂石场和河道采砂区域进行共管共治、严管严治；在已实施砂石开采的水域完善实时在线监控系统，实行禁采区管理，落实昼采夜停制和采运管理凭单制，对采运砂船实行红黑名单管理，严格落实“六控”措施和签单发航、排档叫号制度，确保采砂作业和水上交通安全；加紧完善明朗水域采砂规划调整认证和黄荆湖、长泊湖两大内湖疏浚实施方案编制，以促早时开采，确保市场供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5. 移民事务管理明显加强。全区移民已实行移民身份认定，后扶资金发放做到了动态管理和统一发放。2022年直补资金4119人280.62万元，至目前，发放资金247.14万元，通过区财政“农税网”及时、安全到达移民专户手中。今年到位移民项目资金344万元，我局严格按国家基本建设程序要求编报立项文件，编制实施方案，组织项目实施，严格项目验收和资金使用，做到了项目管理科学规范。针对移民基础设施建设项目小、分布散的现状，我们通过规范、精细管理求效益、促稳定。2022年我区移民工作绩效考核在市辖4区中排名第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6.水行政执法成效明显。强化水事案件的源头防治、动态巡查、查处水事违法案件。召开法治建设工作专题会议，并成立法治建设工作领导小组，迈入法治化新轨道。政务管理服务和政务公开工作全面加强，深化“放管服”改革，合并行政许可事项，进一步优化水利营商环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七、存在的问题</w:t>
      </w:r>
      <w:r>
        <w:rPr>
          <w:rFonts w:hint="eastAsia" w:ascii="仿宋" w:hAnsi="仿宋" w:eastAsia="仿宋" w:cs="仿宋"/>
          <w:b w:val="0"/>
          <w:bCs w:val="0"/>
          <w:sz w:val="28"/>
          <w:szCs w:val="28"/>
        </w:rPr>
        <w:t>和困难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水资源费收缴工作难度大。按照水利部的统一部署和长江委及省水利厅相关要求，取水工程（设施）核查登记工作作为水生态环境保护攻坚战的一项重要任务，工作成效已纳入省政府对各市州实行最严格水资源管理制度考核范围，且分值占比大，但个别取水大户欠缴较多，水资源收缴工作存在一定难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项目建设存在堵点。一方面水利建设项目在竣工验收时，对地方配套建设资金的要求越来越严格，没有配套资金的很难通过验收，地方配套资金不足给项目建设带来较大阻力；另一方面在向上立项争资时，都要求进行可研、初设，在申报比较大的项目时，承担项目前期费用压力较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rPr>
        <w:t>人员公用经费预算不足</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人员</w:t>
      </w:r>
      <w:r>
        <w:rPr>
          <w:rFonts w:hint="eastAsia" w:ascii="仿宋" w:hAnsi="仿宋" w:eastAsia="仿宋" w:cs="仿宋"/>
          <w:b w:val="0"/>
          <w:bCs w:val="0"/>
          <w:sz w:val="28"/>
          <w:szCs w:val="28"/>
        </w:rPr>
        <w:t>经费</w:t>
      </w:r>
      <w:r>
        <w:rPr>
          <w:rFonts w:hint="eastAsia" w:ascii="仿宋" w:hAnsi="仿宋" w:eastAsia="仿宋" w:cs="仿宋"/>
          <w:b w:val="0"/>
          <w:bCs w:val="0"/>
          <w:sz w:val="28"/>
          <w:szCs w:val="28"/>
          <w:lang w:eastAsia="zh-CN"/>
        </w:rPr>
        <w:t>缺口大（自收自支</w:t>
      </w:r>
      <w:r>
        <w:rPr>
          <w:rFonts w:hint="eastAsia" w:ascii="仿宋" w:hAnsi="仿宋" w:eastAsia="仿宋" w:cs="仿宋"/>
          <w:b w:val="0"/>
          <w:bCs w:val="0"/>
          <w:sz w:val="28"/>
          <w:szCs w:val="28"/>
          <w:lang w:val="en-US" w:eastAsia="zh-CN"/>
        </w:rPr>
        <w:t>15人，差额拨款14人，分流人员153人）</w:t>
      </w:r>
      <w:r>
        <w:rPr>
          <w:rFonts w:hint="eastAsia" w:ascii="仿宋" w:hAnsi="仿宋" w:eastAsia="仿宋" w:cs="仿宋"/>
          <w:b w:val="0"/>
          <w:bCs w:val="0"/>
          <w:sz w:val="28"/>
          <w:szCs w:val="28"/>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（四）由于区财政预算现在重点保人员经费，对专项统一采取每年要求递减20%，因此必然导致刚性专项支出经费的不足，所以建议财政根据实际情况，适当调整专项经费预算方案，保证刚性专项经费的支出。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、改进措施和有关建议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1.加强预算管理，定期做好预算执行情况分析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2.足额保障人员经费，稳定基层水利队伍。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3.完善管理制度，加强资产管理，提高固定资产使用效率。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九、部门整体支出绩效自评结果拟应用和公开情况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(一)绩效自评结果拟应用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(二)绩效自评结果公开情况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此次绩效自评报告将在资阳区政府官网上予以公布，向社会公开，广泛接受群众监督。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r>
        <w:rPr>
          <w:rFonts w:hint="eastAsia" w:ascii="仿宋" w:hAnsi="仿宋" w:eastAsia="仿宋" w:cs="仿宋"/>
          <w:sz w:val="28"/>
          <w:szCs w:val="28"/>
        </w:rPr>
        <w:t>其他需要说明的情况无。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right"/>
        <w:textAlignment w:val="auto"/>
        <w:rPr>
          <w:rFonts w:hint="eastAsia" w:ascii="仿宋" w:hAnsi="仿宋" w:eastAsia="仿宋" w:cs="仿宋"/>
          <w:sz w:val="28"/>
          <w:szCs w:val="28"/>
        </w:rPr>
      </w:pPr>
      <w:r>
        <w:rPr>
          <w:rFonts w:hint="eastAsia" w:ascii="仿宋" w:hAnsi="仿宋" w:eastAsia="仿宋" w:cs="仿宋"/>
          <w:sz w:val="28"/>
          <w:szCs w:val="28"/>
        </w:rPr>
        <w:t>益阳市资阳区水利局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righ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420"/>
        <w:jc w:val="both"/>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3214"/>
        <w:gridCol w:w="1341"/>
        <w:gridCol w:w="984"/>
        <w:gridCol w:w="1266"/>
        <w:gridCol w:w="954"/>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rPr>
            </w:pPr>
            <w:r>
              <w:rPr>
                <w:rFonts w:hint="eastAsia" w:ascii="Times New Roman" w:hAnsi="Times New Roman" w:eastAsia="仿宋_GB2312" w:cs="Times New Roman"/>
                <w:kern w:val="0"/>
                <w:sz w:val="21"/>
                <w:szCs w:val="21"/>
                <w:lang w:val="en-US" w:eastAsia="zh-CN"/>
              </w:rPr>
              <w:t>112</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113%</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11027.06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5363.99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12595.87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3816.47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3723.9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2948.71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380.69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256.01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351.83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7210.59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1640.09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9647.16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81.59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81.59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181.59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2、洞庭湖转移支付</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854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854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802.98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3、水利工作前期费用</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4、防汛抗旱费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5、河长制奖励资金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6、河道保洁</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w:t>
            </w:r>
          </w:p>
        </w:tc>
      </w:tr>
      <w:tr>
        <w:tblPrEx>
          <w:tblCellMar>
            <w:top w:w="0" w:type="dxa"/>
            <w:left w:w="108" w:type="dxa"/>
            <w:bottom w:w="0" w:type="dxa"/>
            <w:right w:w="108" w:type="dxa"/>
          </w:tblCellMar>
        </w:tblPrEx>
        <w:trPr>
          <w:trHeight w:val="4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7、河长制工作经费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8、安全生产三年行动专项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9、移民项目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55.29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601.15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9、水利建设项目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5919.71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7776.44</w:t>
            </w:r>
          </w:p>
        </w:tc>
      </w:tr>
      <w:tr>
        <w:tblPrEx>
          <w:tblCellMar>
            <w:top w:w="0" w:type="dxa"/>
            <w:left w:w="108" w:type="dxa"/>
            <w:bottom w:w="0" w:type="dxa"/>
            <w:right w:w="108" w:type="dxa"/>
          </w:tblCellMar>
        </w:tblPrEx>
        <w:trPr>
          <w:trHeight w:val="382"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3216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3216</w:t>
            </w:r>
          </w:p>
        </w:tc>
      </w:tr>
      <w:tr>
        <w:tblPrEx>
          <w:tblCellMar>
            <w:top w:w="0" w:type="dxa"/>
            <w:left w:w="108" w:type="dxa"/>
            <w:bottom w:w="0" w:type="dxa"/>
            <w:right w:w="108" w:type="dxa"/>
          </w:tblCellMar>
        </w:tblPrEx>
        <w:trPr>
          <w:trHeight w:val="33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163"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71"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kern w:val="0"/>
                <w:sz w:val="21"/>
                <w:szCs w:val="21"/>
              </w:rPr>
            </w:pPr>
            <w:r>
              <w:rPr>
                <w:rFonts w:hint="eastAsia" w:ascii="Times New Roman" w:hAnsi="Times New Roman" w:cs="Times New Roman"/>
                <w:color w:val="auto"/>
                <w:kern w:val="0"/>
                <w:sz w:val="21"/>
                <w:szCs w:val="21"/>
                <w:lang w:val="en-US" w:eastAsia="zh-CN"/>
              </w:rPr>
              <w:t>3216</w:t>
            </w:r>
            <w:r>
              <w:rPr>
                <w:rFonts w:ascii="Times New Roman" w:hAnsi="Times New Roman" w:eastAsia="仿宋_GB2312" w:cs="Times New Roman"/>
                <w:color w:val="auto"/>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auto"/>
                <w:kern w:val="0"/>
                <w:sz w:val="21"/>
                <w:szCs w:val="21"/>
              </w:rPr>
            </w:pPr>
            <w:r>
              <w:rPr>
                <w:rFonts w:hint="eastAsia" w:ascii="Times New Roman" w:hAnsi="Times New Roman" w:cs="Times New Roman"/>
                <w:color w:val="auto"/>
                <w:kern w:val="0"/>
                <w:sz w:val="21"/>
                <w:szCs w:val="21"/>
                <w:lang w:val="en-US" w:eastAsia="zh-CN"/>
              </w:rPr>
              <w:t>10</w:t>
            </w:r>
            <w:r>
              <w:rPr>
                <w:rFonts w:ascii="Times New Roman" w:hAnsi="Times New Roman" w:eastAsia="仿宋_GB2312" w:cs="Times New Roman"/>
                <w:color w:val="auto"/>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cs="Times New Roman"/>
                <w:color w:val="auto"/>
                <w:kern w:val="0"/>
                <w:sz w:val="21"/>
                <w:szCs w:val="21"/>
                <w:lang w:val="en-US" w:eastAsia="zh-CN"/>
              </w:rPr>
              <w:t>3216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2168.88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9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361"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898"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bidi="ar-SA"/>
              </w:rPr>
              <w:t>精简办公用品采购，节约用水用电，办公耗材，规范用餐管理，加强工程项目管理</w:t>
            </w:r>
            <w:r>
              <w:rPr>
                <w:rFonts w:ascii="Times New Roman" w:hAnsi="Times New Roman" w:eastAsia="仿宋_GB2312" w:cs="Times New Roman"/>
                <w:kern w:val="0"/>
                <w:sz w:val="21"/>
                <w:szCs w:val="21"/>
                <w:lang w:val="en-US" w:eastAsia="zh-CN" w:bidi="ar-SA"/>
              </w:rPr>
              <w:t>　</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fixed"/>
        <w:tblCellMar>
          <w:top w:w="0" w:type="dxa"/>
          <w:left w:w="108" w:type="dxa"/>
          <w:bottom w:w="0" w:type="dxa"/>
          <w:right w:w="108" w:type="dxa"/>
        </w:tblCellMar>
      </w:tblPr>
      <w:tblGrid>
        <w:gridCol w:w="1080"/>
        <w:gridCol w:w="1080"/>
        <w:gridCol w:w="953"/>
        <w:gridCol w:w="1256"/>
        <w:gridCol w:w="945"/>
        <w:gridCol w:w="727"/>
        <w:gridCol w:w="1004"/>
        <w:gridCol w:w="707"/>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EC6881" w:sz="4" w:space="0"/>
              <w:left w:val="single" w:color="FFFFFF" w:sz="4" w:space="0"/>
              <w:bottom w:val="single" w:color="EC6881"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预算部门</w:t>
            </w:r>
          </w:p>
        </w:tc>
        <w:tc>
          <w:tcPr>
            <w:tcW w:w="8913" w:type="dxa"/>
            <w:gridSpan w:val="9"/>
            <w:tcBorders>
              <w:top w:val="single" w:color="EC6881" w:sz="4" w:space="0"/>
              <w:left w:val="single" w:color="FBDFE4" w:sz="0" w:space="0"/>
              <w:bottom w:val="single" w:color="EC6881"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eastAsia="zh-CN"/>
              </w:rPr>
              <w:t>益阳市资阳区水利局</w:t>
            </w:r>
          </w:p>
        </w:tc>
      </w:tr>
      <w:tr>
        <w:tblPrEx>
          <w:tblCellMar>
            <w:top w:w="0" w:type="dxa"/>
            <w:left w:w="108" w:type="dxa"/>
            <w:bottom w:w="0" w:type="dxa"/>
            <w:right w:w="108" w:type="dxa"/>
          </w:tblCellMar>
        </w:tblPrEx>
        <w:trPr>
          <w:jc w:val="center"/>
        </w:trPr>
        <w:tc>
          <w:tcPr>
            <w:tcW w:w="1080" w:type="dxa"/>
            <w:vMerge w:val="restart"/>
            <w:tcBorders>
              <w:top w:val="single" w:color="EC6881" w:sz="0"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年度预</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算申请</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（万元）</w:t>
            </w:r>
          </w:p>
        </w:tc>
        <w:tc>
          <w:tcPr>
            <w:tcW w:w="2033" w:type="dxa"/>
            <w:gridSpan w:val="2"/>
            <w:tcBorders>
              <w:top w:val="single" w:color="EC6881"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256" w:type="dxa"/>
            <w:tcBorders>
              <w:top w:val="single" w:color="EC6881"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年初</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预算数</w:t>
            </w:r>
          </w:p>
        </w:tc>
        <w:tc>
          <w:tcPr>
            <w:tcW w:w="1672" w:type="dxa"/>
            <w:gridSpan w:val="2"/>
            <w:tcBorders>
              <w:top w:val="single" w:color="EC6881"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全年预算数</w:t>
            </w:r>
          </w:p>
        </w:tc>
        <w:tc>
          <w:tcPr>
            <w:tcW w:w="1004" w:type="dxa"/>
            <w:tcBorders>
              <w:top w:val="single" w:color="EC6881"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全年执行数</w:t>
            </w:r>
          </w:p>
        </w:tc>
        <w:tc>
          <w:tcPr>
            <w:tcW w:w="707" w:type="dxa"/>
            <w:tcBorders>
              <w:top w:val="single" w:color="EC6881"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分值</w:t>
            </w:r>
          </w:p>
        </w:tc>
        <w:tc>
          <w:tcPr>
            <w:tcW w:w="889" w:type="dxa"/>
            <w:tcBorders>
              <w:top w:val="single" w:color="EC6881"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执行率</w:t>
            </w:r>
          </w:p>
        </w:tc>
        <w:tc>
          <w:tcPr>
            <w:tcW w:w="1352" w:type="dxa"/>
            <w:tcBorders>
              <w:top w:val="single" w:color="EC6881"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single" w:color="FBDFE4" w:sz="0"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2033" w:type="dxa"/>
            <w:gridSpan w:val="2"/>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年度资金总额</w:t>
            </w:r>
          </w:p>
        </w:tc>
        <w:tc>
          <w:tcPr>
            <w:tcW w:w="1256"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5363.99</w:t>
            </w:r>
            <w:r>
              <w:rPr>
                <w:rFonts w:ascii="Times New Roman" w:hAnsi="Times New Roman" w:eastAsia="仿宋_GB2312" w:cs="Times New Roman"/>
                <w:kern w:val="0"/>
                <w:sz w:val="21"/>
                <w:szCs w:val="21"/>
              </w:rPr>
              <w:t>　</w:t>
            </w:r>
          </w:p>
        </w:tc>
        <w:tc>
          <w:tcPr>
            <w:tcW w:w="1672"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12595.87</w:t>
            </w:r>
          </w:p>
        </w:tc>
        <w:tc>
          <w:tcPr>
            <w:tcW w:w="1004"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12595.87</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10</w:t>
            </w:r>
            <w:r>
              <w:rPr>
                <w:rFonts w:hint="eastAsia" w:ascii="Times New Roman" w:hAnsi="Times New Roman" w:eastAsia="仿宋_GB2312" w:cs="Times New Roman"/>
                <w:kern w:val="0"/>
                <w:sz w:val="21"/>
                <w:szCs w:val="21"/>
                <w:lang w:eastAsia="zh-CN"/>
              </w:rPr>
              <w:t>分</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按收入性质分：</w:t>
            </w:r>
          </w:p>
        </w:tc>
        <w:tc>
          <w:tcPr>
            <w:tcW w:w="3952" w:type="dxa"/>
            <w:gridSpan w:val="4"/>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xml:space="preserve">  其中：  一般公共预算：</w:t>
            </w:r>
            <w:r>
              <w:rPr>
                <w:rFonts w:hint="eastAsia" w:ascii="Times New Roman" w:hAnsi="Times New Roman" w:eastAsia="仿宋_GB2312" w:cs="Times New Roman"/>
                <w:kern w:val="0"/>
                <w:sz w:val="21"/>
                <w:szCs w:val="21"/>
                <w:lang w:val="en-US" w:eastAsia="zh-CN"/>
              </w:rPr>
              <w:t>11665.29</w:t>
            </w:r>
          </w:p>
        </w:tc>
        <w:tc>
          <w:tcPr>
            <w:tcW w:w="3952" w:type="dxa"/>
            <w:gridSpan w:val="4"/>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其中：基本支出：</w:t>
            </w:r>
            <w:r>
              <w:rPr>
                <w:rFonts w:hint="eastAsia" w:ascii="Times New Roman" w:hAnsi="Times New Roman" w:eastAsia="仿宋_GB2312" w:cs="Times New Roman"/>
                <w:kern w:val="0"/>
                <w:sz w:val="21"/>
                <w:szCs w:val="21"/>
                <w:lang w:val="en-US" w:eastAsia="zh-CN"/>
              </w:rPr>
              <w:t>2948.71</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政府性基金拨款：</w:t>
            </w:r>
            <w:r>
              <w:rPr>
                <w:rFonts w:hint="eastAsia" w:ascii="Times New Roman" w:hAnsi="Times New Roman" w:eastAsia="仿宋_GB2312" w:cs="Times New Roman"/>
                <w:kern w:val="0"/>
                <w:sz w:val="21"/>
                <w:szCs w:val="21"/>
                <w:lang w:val="en-US" w:eastAsia="zh-CN"/>
              </w:rPr>
              <w:t>470.14</w:t>
            </w:r>
          </w:p>
        </w:tc>
        <w:tc>
          <w:tcPr>
            <w:tcW w:w="3952" w:type="dxa"/>
            <w:gridSpan w:val="4"/>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项目支出：</w:t>
            </w:r>
            <w:r>
              <w:rPr>
                <w:rFonts w:hint="eastAsia" w:ascii="Times New Roman" w:hAnsi="Times New Roman" w:eastAsia="仿宋_GB2312" w:cs="Times New Roman"/>
                <w:kern w:val="0"/>
                <w:sz w:val="21"/>
                <w:szCs w:val="21"/>
                <w:lang w:val="en-US" w:eastAsia="zh-CN"/>
              </w:rPr>
              <w:t>9647.16</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纳入专户管理的非税收入拨款：</w:t>
            </w:r>
            <w:r>
              <w:rPr>
                <w:rFonts w:hint="eastAsia" w:ascii="Times New Roman" w:hAnsi="Times New Roman" w:eastAsia="仿宋_GB2312" w:cs="Times New Roman"/>
                <w:kern w:val="0"/>
                <w:sz w:val="21"/>
                <w:szCs w:val="21"/>
                <w:lang w:val="en-US" w:eastAsia="zh-CN"/>
              </w:rPr>
              <w:t>0</w:t>
            </w:r>
          </w:p>
        </w:tc>
        <w:tc>
          <w:tcPr>
            <w:tcW w:w="3952" w:type="dxa"/>
            <w:gridSpan w:val="4"/>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其他资金：</w:t>
            </w:r>
            <w:r>
              <w:rPr>
                <w:rFonts w:hint="eastAsia" w:ascii="Times New Roman" w:hAnsi="Times New Roman" w:eastAsia="仿宋_GB2312" w:cs="Times New Roman"/>
                <w:kern w:val="0"/>
                <w:sz w:val="21"/>
                <w:szCs w:val="21"/>
                <w:lang w:val="en-US" w:eastAsia="zh-CN"/>
              </w:rPr>
              <w:t>460.44</w:t>
            </w:r>
          </w:p>
        </w:tc>
        <w:tc>
          <w:tcPr>
            <w:tcW w:w="3952" w:type="dxa"/>
            <w:gridSpan w:val="4"/>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single" w:color="FBDFE4" w:sz="0"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年度总体目标</w:t>
            </w:r>
          </w:p>
        </w:tc>
        <w:tc>
          <w:tcPr>
            <w:tcW w:w="4961" w:type="dxa"/>
            <w:gridSpan w:val="5"/>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预期目标</w:t>
            </w:r>
          </w:p>
        </w:tc>
        <w:tc>
          <w:tcPr>
            <w:tcW w:w="3952" w:type="dxa"/>
            <w:gridSpan w:val="4"/>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实际完成情况　</w:t>
            </w:r>
          </w:p>
        </w:tc>
      </w:tr>
      <w:tr>
        <w:tblPrEx>
          <w:tblCellMar>
            <w:top w:w="0" w:type="dxa"/>
            <w:left w:w="108" w:type="dxa"/>
            <w:bottom w:w="0" w:type="dxa"/>
            <w:right w:w="108" w:type="dxa"/>
          </w:tblCellMar>
        </w:tblPrEx>
        <w:trPr>
          <w:trHeight w:val="1199" w:hRule="atLeast"/>
          <w:jc w:val="center"/>
        </w:trPr>
        <w:tc>
          <w:tcPr>
            <w:tcW w:w="1080" w:type="dxa"/>
            <w:vMerge w:val="continue"/>
            <w:tcBorders>
              <w:top w:val="single" w:color="FBDFE4" w:sz="0"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4961" w:type="dxa"/>
            <w:gridSpan w:val="5"/>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防汛抗旱工作扎实开展</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（二）河湖长制工作有效推进</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（三）水利建设工作全面加强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（四）行业管理成效显著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3952" w:type="dxa"/>
            <w:gridSpan w:val="4"/>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（一）防汛抗旱工作扎实开展</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（二）河湖长制工作有效推进</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（三）水利建设工作全面加强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（四）行业管理成效显著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single" w:color="FBDFE4" w:sz="0"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绩</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效</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指</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标</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一级指标</w:t>
            </w:r>
          </w:p>
        </w:tc>
        <w:tc>
          <w:tcPr>
            <w:tcW w:w="953"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二级指标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三级指标</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年度</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指标值</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实际完成值</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分值</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得分</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偏差原因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分析及</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restart"/>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产出指标</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(50分)</w:t>
            </w: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数量指标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eastAsia="zh-CN"/>
              </w:rPr>
              <w:t>防汛抗旱工作开展完成率</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rPr>
              <w:t>设置、更新河湖长制公示牌</w:t>
            </w:r>
            <w:r>
              <w:rPr>
                <w:rFonts w:hint="eastAsia" w:ascii="Times New Roman" w:hAnsi="Times New Roman" w:eastAsia="仿宋_GB2312" w:cs="Times New Roman"/>
                <w:kern w:val="0"/>
                <w:sz w:val="21"/>
                <w:szCs w:val="21"/>
                <w:lang w:eastAsia="zh-CN"/>
              </w:rPr>
              <w:t>块数</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640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640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保障水利工程项目的顺利实施完成率</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质量指标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受益区农村人口水质达标率</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eastAsia="zh-CN"/>
              </w:rPr>
              <w:t>设备</w:t>
            </w:r>
            <w:r>
              <w:rPr>
                <w:rFonts w:hint="eastAsia" w:ascii="Times New Roman" w:hAnsi="Times New Roman" w:eastAsia="仿宋_GB2312" w:cs="Times New Roman"/>
                <w:kern w:val="0"/>
                <w:sz w:val="21"/>
                <w:szCs w:val="21"/>
              </w:rPr>
              <w:t>质量达标率</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rPr>
              <w:t>＞85%</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rPr>
              <w:t>＞85%</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资金使用合规性</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存在指标混用现象</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项目工程验收合格率</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62" w:hRule="atLeast"/>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直补资金按时发放率</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时效指标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目标完成及时率</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成本指标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“三公”经费支出控制在不超上年不超预算</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经费支出控制在预算内</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98%</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部分基本支出末纳入预算</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eastAsia="zh-CN"/>
              </w:rPr>
              <w:t>项目支出控制在批复的预算范围内比例</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95%</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部分项目支出末纳入部门预算</w:t>
            </w: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restart"/>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效益指标</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r>
              <w:rPr>
                <w:rFonts w:hint="eastAsia" w:ascii="Times New Roman" w:hAnsi="Times New Roman" w:eastAsia="仿宋_GB2312" w:cs="Times New Roman"/>
                <w:kern w:val="0"/>
                <w:sz w:val="21"/>
                <w:szCs w:val="21"/>
                <w:lang w:val="en-US" w:eastAsia="zh-CN"/>
              </w:rPr>
              <w:t>4</w:t>
            </w:r>
            <w:r>
              <w:rPr>
                <w:rFonts w:ascii="Times New Roman" w:hAnsi="Times New Roman" w:eastAsia="仿宋_GB2312" w:cs="Times New Roman"/>
                <w:kern w:val="0"/>
                <w:sz w:val="21"/>
                <w:szCs w:val="21"/>
              </w:rPr>
              <w:t>0分）</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经济效</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益指标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提高移民收入占当地农村居民收入比例</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增加移民可支配收入</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重点工作完成率</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社会效</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益指标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增加达到当地农村居民平均收入水平移民人口</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920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920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1207" w:hRule="atLeast"/>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rPr>
              <w:t>农</w:t>
            </w:r>
            <w:r>
              <w:rPr>
                <w:rFonts w:hint="eastAsia" w:ascii="Times New Roman" w:hAnsi="Times New Roman" w:eastAsia="仿宋_GB2312" w:cs="Times New Roman"/>
                <w:kern w:val="0"/>
                <w:sz w:val="21"/>
                <w:szCs w:val="21"/>
                <w:lang w:eastAsia="zh-CN"/>
              </w:rPr>
              <w:t>村饮水安全工程使广大人民群众喝上安全、干净、卫生水。</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rPr>
              <w:t>有效减轻了洪涝干旱灾害损失，全力保障人民群众生产生活不受影响</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restart"/>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生态效</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益指标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紧盯水生态文明建设，大力推进依法治水管水长效机制建设</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改善水生态环境</w:t>
            </w:r>
          </w:p>
        </w:tc>
        <w:tc>
          <w:tcPr>
            <w:tcW w:w="727" w:type="dxa"/>
            <w:tcBorders>
              <w:top w:val="single" w:color="FBDFE4" w:sz="0" w:space="0"/>
              <w:left w:val="single" w:color="FFFFFF"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完成</w:t>
            </w:r>
          </w:p>
        </w:tc>
        <w:tc>
          <w:tcPr>
            <w:tcW w:w="1004"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完成</w:t>
            </w:r>
          </w:p>
        </w:tc>
        <w:tc>
          <w:tcPr>
            <w:tcW w:w="707"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889"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352" w:type="dxa"/>
            <w:tcBorders>
              <w:top w:val="single" w:color="FBDFE4" w:sz="0"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tcBorders>
              <w:top w:val="single" w:color="FBDFE4" w:sz="4" w:space="0"/>
              <w:left w:val="single" w:color="FBDFE4"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可持续影响指标</w:t>
            </w:r>
          </w:p>
        </w:tc>
        <w:tc>
          <w:tcPr>
            <w:tcW w:w="2201" w:type="dxa"/>
            <w:gridSpan w:val="2"/>
            <w:tcBorders>
              <w:top w:val="single" w:color="FBDFE4" w:sz="4" w:space="0"/>
              <w:left w:val="single" w:color="FBDFE4" w:sz="4" w:space="0"/>
              <w:bottom w:val="single" w:color="FBDFE4" w:sz="4" w:space="0"/>
              <w:right w:val="single" w:color="FFFFFF"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已建工程项目良性运行比例</w:t>
            </w:r>
          </w:p>
        </w:tc>
        <w:tc>
          <w:tcPr>
            <w:tcW w:w="727" w:type="dxa"/>
            <w:tcBorders>
              <w:top w:val="single" w:color="FBDFE4" w:sz="4" w:space="0"/>
              <w:left w:val="single" w:color="FFFFFF"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1004" w:type="dxa"/>
            <w:tcBorders>
              <w:top w:val="single" w:color="FBDFE4" w:sz="4" w:space="0"/>
              <w:left w:val="single" w:color="FBDFE4"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707" w:type="dxa"/>
            <w:tcBorders>
              <w:top w:val="single" w:color="FBDFE4" w:sz="4" w:space="0"/>
              <w:left w:val="single" w:color="FBDFE4"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4" w:space="0"/>
              <w:left w:val="single" w:color="FBDFE4"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4" w:space="0"/>
              <w:left w:val="single" w:color="FBDFE4" w:sz="4" w:space="0"/>
              <w:bottom w:val="single" w:color="FBDFE4" w:sz="4" w:space="0"/>
              <w:right w:val="single" w:color="FBDFE4" w:sz="4" w:space="0"/>
            </w:tcBorders>
            <w:shd w:val="clear" w:color="auto" w:fill="FFF8F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FBDFE4" w:sz="4" w:space="0"/>
              <w:left w:val="single" w:color="FFFFFF" w:sz="4"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p>
        </w:tc>
        <w:tc>
          <w:tcPr>
            <w:tcW w:w="1080" w:type="dxa"/>
            <w:vMerge w:val="continue"/>
            <w:tcBorders>
              <w:top w:val="single" w:color="FBDFE4" w:sz="4"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c>
          <w:tcPr>
            <w:tcW w:w="953"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服务对象满意度指标</w:t>
            </w:r>
          </w:p>
        </w:tc>
        <w:tc>
          <w:tcPr>
            <w:tcW w:w="2201" w:type="dxa"/>
            <w:gridSpan w:val="2"/>
            <w:tcBorders>
              <w:top w:val="single" w:color="FBDFE4" w:sz="0" w:space="0"/>
              <w:left w:val="single" w:color="FBDFE4" w:sz="0" w:space="0"/>
              <w:bottom w:val="single" w:color="FBDFE4" w:sz="4" w:space="0"/>
              <w:right w:val="single" w:color="FFFFFF"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服务</w:t>
            </w:r>
            <w:r>
              <w:rPr>
                <w:rFonts w:hint="eastAsia" w:ascii="Times New Roman" w:hAnsi="Times New Roman" w:eastAsia="仿宋_GB2312" w:cs="Times New Roman"/>
                <w:kern w:val="0"/>
                <w:sz w:val="21"/>
                <w:szCs w:val="21"/>
                <w:lang w:eastAsia="zh-CN"/>
              </w:rPr>
              <w:t>群众</w:t>
            </w:r>
            <w:r>
              <w:rPr>
                <w:rFonts w:ascii="Times New Roman" w:hAnsi="Times New Roman" w:eastAsia="仿宋_GB2312" w:cs="Times New Roman"/>
                <w:kern w:val="0"/>
                <w:sz w:val="21"/>
                <w:szCs w:val="21"/>
              </w:rPr>
              <w:t>满意</w:t>
            </w:r>
            <w:r>
              <w:rPr>
                <w:rFonts w:hint="eastAsia" w:ascii="Times New Roman" w:hAnsi="Times New Roman" w:eastAsia="仿宋_GB2312" w:cs="Times New Roman"/>
                <w:kern w:val="0"/>
                <w:sz w:val="21"/>
                <w:szCs w:val="21"/>
                <w:lang w:eastAsia="zh-CN"/>
              </w:rPr>
              <w:t>度</w:t>
            </w:r>
          </w:p>
        </w:tc>
        <w:tc>
          <w:tcPr>
            <w:tcW w:w="727" w:type="dxa"/>
            <w:tcBorders>
              <w:top w:val="single" w:color="FBDFE4" w:sz="0" w:space="0"/>
              <w:left w:val="single" w:color="FFFFFF"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90%</w:t>
            </w:r>
          </w:p>
        </w:tc>
        <w:tc>
          <w:tcPr>
            <w:tcW w:w="1004"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95%</w:t>
            </w:r>
          </w:p>
        </w:tc>
        <w:tc>
          <w:tcPr>
            <w:tcW w:w="707"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889"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352" w:type="dxa"/>
            <w:tcBorders>
              <w:top w:val="single" w:color="FBDFE4" w:sz="0" w:space="0"/>
              <w:left w:val="single" w:color="FBDFE4" w:sz="0" w:space="0"/>
              <w:bottom w:val="single" w:color="FBDFE4" w:sz="4" w:space="0"/>
              <w:right w:val="single" w:color="FBDFE4"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270" w:hRule="atLeast"/>
          <w:jc w:val="center"/>
        </w:trPr>
        <w:tc>
          <w:tcPr>
            <w:tcW w:w="7045" w:type="dxa"/>
            <w:gridSpan w:val="7"/>
            <w:tcBorders>
              <w:top w:val="single" w:color="FBDFE4" w:sz="4" w:space="0"/>
              <w:left w:val="single" w:color="FFFFFF" w:sz="4" w:space="0"/>
              <w:bottom w:val="single" w:color="EC6881" w:sz="4" w:space="0"/>
              <w:right w:val="single" w:color="FBDFE4" w:sz="4" w:space="0"/>
            </w:tcBorders>
            <w:shd w:val="clear" w:color="auto" w:fill="FBDFE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总分</w:t>
            </w:r>
          </w:p>
        </w:tc>
        <w:tc>
          <w:tcPr>
            <w:tcW w:w="707" w:type="dxa"/>
            <w:tcBorders>
              <w:top w:val="single" w:color="FBDFE4" w:sz="0" w:space="0"/>
              <w:left w:val="single" w:color="FBDFE4" w:sz="0" w:space="0"/>
              <w:bottom w:val="single" w:color="EC6881" w:sz="4" w:space="0"/>
              <w:right w:val="single" w:color="FBDFE4" w:sz="4" w:space="0"/>
            </w:tcBorders>
            <w:shd w:val="clear" w:color="auto" w:fill="FBDFE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100</w:t>
            </w:r>
            <w:r>
              <w:rPr>
                <w:rFonts w:hint="eastAsia" w:ascii="Times New Roman" w:hAnsi="Times New Roman" w:eastAsia="仿宋_GB2312" w:cs="Times New Roman"/>
                <w:kern w:val="0"/>
                <w:sz w:val="21"/>
                <w:szCs w:val="21"/>
                <w:lang w:eastAsia="zh-CN"/>
              </w:rPr>
              <w:t>分</w:t>
            </w:r>
          </w:p>
        </w:tc>
        <w:tc>
          <w:tcPr>
            <w:tcW w:w="889" w:type="dxa"/>
            <w:tcBorders>
              <w:top w:val="single" w:color="FBDFE4" w:sz="0" w:space="0"/>
              <w:left w:val="single" w:color="FBDFE4" w:sz="0" w:space="0"/>
              <w:bottom w:val="single" w:color="EC6881" w:sz="4" w:space="0"/>
              <w:right w:val="single" w:color="FBDFE4" w:sz="4" w:space="0"/>
            </w:tcBorders>
            <w:shd w:val="clear" w:color="auto" w:fill="FBDFE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97.5</w:t>
            </w:r>
          </w:p>
        </w:tc>
        <w:tc>
          <w:tcPr>
            <w:tcW w:w="1352" w:type="dxa"/>
            <w:tcBorders>
              <w:top w:val="single" w:color="FBDFE4" w:sz="0" w:space="0"/>
              <w:left w:val="single" w:color="FBDFE4" w:sz="0" w:space="0"/>
              <w:bottom w:val="single" w:color="EC6881" w:sz="4" w:space="0"/>
              <w:right w:val="single" w:color="FFFFFF" w:sz="4" w:space="0"/>
            </w:tcBorders>
            <w:shd w:val="clear" w:color="auto" w:fill="FBDFE4"/>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0"/>
          <w:szCs w:val="30"/>
        </w:rPr>
      </w:pPr>
      <w:bookmarkStart w:id="0" w:name="_GoBack"/>
      <w:bookmarkEnd w:id="0"/>
    </w:p>
    <w:sectPr>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jRiNmM1ZDlhZTZlMTQ4ZmQ2MDE3NjVlY2IzN2YifQ=="/>
  </w:docVars>
  <w:rsids>
    <w:rsidRoot w:val="0058593D"/>
    <w:rsid w:val="00024CE5"/>
    <w:rsid w:val="000262D5"/>
    <w:rsid w:val="000541FB"/>
    <w:rsid w:val="00073B47"/>
    <w:rsid w:val="000902CC"/>
    <w:rsid w:val="000D4009"/>
    <w:rsid w:val="000F304C"/>
    <w:rsid w:val="00106175"/>
    <w:rsid w:val="00137452"/>
    <w:rsid w:val="00141EAE"/>
    <w:rsid w:val="00164EEA"/>
    <w:rsid w:val="001D50AB"/>
    <w:rsid w:val="002146AA"/>
    <w:rsid w:val="00224011"/>
    <w:rsid w:val="00262142"/>
    <w:rsid w:val="00277007"/>
    <w:rsid w:val="002D3B8A"/>
    <w:rsid w:val="002F178C"/>
    <w:rsid w:val="002F3485"/>
    <w:rsid w:val="003048AA"/>
    <w:rsid w:val="00335561"/>
    <w:rsid w:val="00352F30"/>
    <w:rsid w:val="00383EC6"/>
    <w:rsid w:val="0039272E"/>
    <w:rsid w:val="00395371"/>
    <w:rsid w:val="003B3646"/>
    <w:rsid w:val="003C46F5"/>
    <w:rsid w:val="003D5E9B"/>
    <w:rsid w:val="004039C8"/>
    <w:rsid w:val="0041502A"/>
    <w:rsid w:val="00441E8E"/>
    <w:rsid w:val="004621A7"/>
    <w:rsid w:val="004704F2"/>
    <w:rsid w:val="0049052C"/>
    <w:rsid w:val="00493301"/>
    <w:rsid w:val="004A146B"/>
    <w:rsid w:val="0050658B"/>
    <w:rsid w:val="00512D13"/>
    <w:rsid w:val="0058593D"/>
    <w:rsid w:val="00586D12"/>
    <w:rsid w:val="00592A94"/>
    <w:rsid w:val="005F7141"/>
    <w:rsid w:val="0063300D"/>
    <w:rsid w:val="0065272C"/>
    <w:rsid w:val="00682898"/>
    <w:rsid w:val="00684ECE"/>
    <w:rsid w:val="006B4C9A"/>
    <w:rsid w:val="006D265F"/>
    <w:rsid w:val="006E308E"/>
    <w:rsid w:val="006F04CB"/>
    <w:rsid w:val="007051FD"/>
    <w:rsid w:val="0071599B"/>
    <w:rsid w:val="00722E95"/>
    <w:rsid w:val="0074316D"/>
    <w:rsid w:val="00771C31"/>
    <w:rsid w:val="00772549"/>
    <w:rsid w:val="007846B8"/>
    <w:rsid w:val="0078797E"/>
    <w:rsid w:val="007919DC"/>
    <w:rsid w:val="007A153C"/>
    <w:rsid w:val="007C1C23"/>
    <w:rsid w:val="007D0C12"/>
    <w:rsid w:val="007D770E"/>
    <w:rsid w:val="007F4473"/>
    <w:rsid w:val="008168A1"/>
    <w:rsid w:val="008216FE"/>
    <w:rsid w:val="008346B2"/>
    <w:rsid w:val="00841CD1"/>
    <w:rsid w:val="00846D2A"/>
    <w:rsid w:val="00863925"/>
    <w:rsid w:val="008C7489"/>
    <w:rsid w:val="008D0353"/>
    <w:rsid w:val="009243D9"/>
    <w:rsid w:val="00931E9B"/>
    <w:rsid w:val="009918E4"/>
    <w:rsid w:val="009A5243"/>
    <w:rsid w:val="00A20089"/>
    <w:rsid w:val="00A3113B"/>
    <w:rsid w:val="00A5654D"/>
    <w:rsid w:val="00A74BB7"/>
    <w:rsid w:val="00A74BC3"/>
    <w:rsid w:val="00A8583C"/>
    <w:rsid w:val="00AA3E4E"/>
    <w:rsid w:val="00AB28FF"/>
    <w:rsid w:val="00B00D1A"/>
    <w:rsid w:val="00B43F42"/>
    <w:rsid w:val="00B701FA"/>
    <w:rsid w:val="00B83339"/>
    <w:rsid w:val="00BC7567"/>
    <w:rsid w:val="00BF04F8"/>
    <w:rsid w:val="00C2071C"/>
    <w:rsid w:val="00C5211A"/>
    <w:rsid w:val="00CD034D"/>
    <w:rsid w:val="00CF05D9"/>
    <w:rsid w:val="00D1048C"/>
    <w:rsid w:val="00D15D99"/>
    <w:rsid w:val="00D17CF6"/>
    <w:rsid w:val="00D216B7"/>
    <w:rsid w:val="00D26D1F"/>
    <w:rsid w:val="00D61492"/>
    <w:rsid w:val="00DC7FDA"/>
    <w:rsid w:val="00E21F8F"/>
    <w:rsid w:val="00EC1377"/>
    <w:rsid w:val="00EC1474"/>
    <w:rsid w:val="00EC3C67"/>
    <w:rsid w:val="00EF26A8"/>
    <w:rsid w:val="00F15DD4"/>
    <w:rsid w:val="00F17D18"/>
    <w:rsid w:val="00F47B60"/>
    <w:rsid w:val="00F47DF7"/>
    <w:rsid w:val="00F56CFD"/>
    <w:rsid w:val="00F7375D"/>
    <w:rsid w:val="03092543"/>
    <w:rsid w:val="05380ED5"/>
    <w:rsid w:val="075D0DEF"/>
    <w:rsid w:val="07AB775D"/>
    <w:rsid w:val="085A3F7E"/>
    <w:rsid w:val="08612BCD"/>
    <w:rsid w:val="091B278A"/>
    <w:rsid w:val="09572DA4"/>
    <w:rsid w:val="0A270325"/>
    <w:rsid w:val="0B3A00C5"/>
    <w:rsid w:val="0B9E249C"/>
    <w:rsid w:val="0CAC477F"/>
    <w:rsid w:val="0D2A1EF5"/>
    <w:rsid w:val="0D9C5B7C"/>
    <w:rsid w:val="0FD03570"/>
    <w:rsid w:val="10E82067"/>
    <w:rsid w:val="125C4979"/>
    <w:rsid w:val="151353C3"/>
    <w:rsid w:val="16FD6B0E"/>
    <w:rsid w:val="182A5B03"/>
    <w:rsid w:val="1A4334AB"/>
    <w:rsid w:val="1BC87347"/>
    <w:rsid w:val="1C023255"/>
    <w:rsid w:val="1C931680"/>
    <w:rsid w:val="1CB601A3"/>
    <w:rsid w:val="1D9F5A1B"/>
    <w:rsid w:val="1DFF5AF9"/>
    <w:rsid w:val="1FE76641"/>
    <w:rsid w:val="201D27B1"/>
    <w:rsid w:val="203E1CA7"/>
    <w:rsid w:val="205066B1"/>
    <w:rsid w:val="21CE0C4C"/>
    <w:rsid w:val="24167231"/>
    <w:rsid w:val="24A67C53"/>
    <w:rsid w:val="25737224"/>
    <w:rsid w:val="26160AAB"/>
    <w:rsid w:val="27105C02"/>
    <w:rsid w:val="28736638"/>
    <w:rsid w:val="28FE4D07"/>
    <w:rsid w:val="29A21154"/>
    <w:rsid w:val="29F529DC"/>
    <w:rsid w:val="2C6A0AE4"/>
    <w:rsid w:val="2D6B3688"/>
    <w:rsid w:val="2E8F1974"/>
    <w:rsid w:val="2F652B4D"/>
    <w:rsid w:val="2FED29FE"/>
    <w:rsid w:val="30E42652"/>
    <w:rsid w:val="32BF07F6"/>
    <w:rsid w:val="32EE0CB4"/>
    <w:rsid w:val="33784CD4"/>
    <w:rsid w:val="34CF0EDF"/>
    <w:rsid w:val="351245EB"/>
    <w:rsid w:val="37B961A9"/>
    <w:rsid w:val="381E1BB6"/>
    <w:rsid w:val="38995E18"/>
    <w:rsid w:val="39946573"/>
    <w:rsid w:val="3A45540A"/>
    <w:rsid w:val="3EBC63CE"/>
    <w:rsid w:val="41373B09"/>
    <w:rsid w:val="41715AAE"/>
    <w:rsid w:val="43315AC9"/>
    <w:rsid w:val="43E80F94"/>
    <w:rsid w:val="44BF2A8D"/>
    <w:rsid w:val="4531444E"/>
    <w:rsid w:val="4694640A"/>
    <w:rsid w:val="46F45967"/>
    <w:rsid w:val="47A95057"/>
    <w:rsid w:val="492D06A9"/>
    <w:rsid w:val="496769A8"/>
    <w:rsid w:val="49923178"/>
    <w:rsid w:val="49CE0DBE"/>
    <w:rsid w:val="4A5C2802"/>
    <w:rsid w:val="4B201A81"/>
    <w:rsid w:val="4B7212CC"/>
    <w:rsid w:val="4B77309F"/>
    <w:rsid w:val="4E895FEC"/>
    <w:rsid w:val="4F4A671A"/>
    <w:rsid w:val="53B12D39"/>
    <w:rsid w:val="54722583"/>
    <w:rsid w:val="55010852"/>
    <w:rsid w:val="55E67E20"/>
    <w:rsid w:val="56AA6B86"/>
    <w:rsid w:val="56F95A5B"/>
    <w:rsid w:val="57420052"/>
    <w:rsid w:val="5875199A"/>
    <w:rsid w:val="5A5E7D06"/>
    <w:rsid w:val="5B36691F"/>
    <w:rsid w:val="5B9E1D64"/>
    <w:rsid w:val="5BF03802"/>
    <w:rsid w:val="5E1D4A3F"/>
    <w:rsid w:val="5FD14D4D"/>
    <w:rsid w:val="60EA08F7"/>
    <w:rsid w:val="61351EF3"/>
    <w:rsid w:val="619356D7"/>
    <w:rsid w:val="626C657C"/>
    <w:rsid w:val="632C1BA9"/>
    <w:rsid w:val="64E50155"/>
    <w:rsid w:val="667364DD"/>
    <w:rsid w:val="6A767EE1"/>
    <w:rsid w:val="6B8658C5"/>
    <w:rsid w:val="6BD74A8A"/>
    <w:rsid w:val="6D9A41A6"/>
    <w:rsid w:val="6E12550B"/>
    <w:rsid w:val="70AF0E26"/>
    <w:rsid w:val="71333A0D"/>
    <w:rsid w:val="72105B74"/>
    <w:rsid w:val="73007082"/>
    <w:rsid w:val="749C1E74"/>
    <w:rsid w:val="79D05145"/>
    <w:rsid w:val="7A06306F"/>
    <w:rsid w:val="7DAA72C5"/>
    <w:rsid w:val="7DE952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widowControl/>
      <w:autoSpaceDE/>
      <w:autoSpaceDN/>
      <w:spacing w:before="0" w:after="0" w:line="360" w:lineRule="auto"/>
      <w:ind w:left="0" w:firstLine="3640"/>
      <w:jc w:val="both"/>
    </w:pPr>
  </w:style>
  <w:style w:type="paragraph" w:styleId="3">
    <w:name w:val="Balloon Text"/>
    <w:basedOn w:val="1"/>
    <w:link w:val="10"/>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style>
  <w:style w:type="character" w:customStyle="1" w:styleId="10">
    <w:name w:val="批注框文本 Char"/>
    <w:basedOn w:val="8"/>
    <w:link w:val="3"/>
    <w:semiHidden/>
    <w:qFormat/>
    <w:locked/>
    <w:uiPriority w:val="99"/>
    <w:rPr>
      <w:rFonts w:cs="Times New Roman"/>
      <w:sz w:val="18"/>
      <w:szCs w:val="18"/>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5577</Words>
  <Characters>6093</Characters>
  <Lines>35</Lines>
  <Paragraphs>10</Paragraphs>
  <TotalTime>6</TotalTime>
  <ScaleCrop>false</ScaleCrop>
  <LinksUpToDate>false</LinksUpToDate>
  <CharactersWithSpaces>6222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2018-09-26T00:59:00Z</dcterms:created>
  <dc:creator>China</dc:creator>
  <cp:lastModifiedBy>Administrator</cp:lastModifiedBy>
  <cp:lastPrinted>2023-04-20T00:28:00Z</cp:lastPrinted>
  <dcterms:modified xsi:type="dcterms:W3CDTF">2023-05-30T02:19:46Z</dcterms:modified>
  <dc:title>资阳区水利局部门整体支出绩效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942025D3A0444F83A6A4C9C4D11FEB52</vt:lpwstr>
  </property>
</Properties>
</file>