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资阳区</w:t>
      </w:r>
      <w:r>
        <w:rPr>
          <w:rFonts w:hint="eastAsia" w:ascii="方正小标宋简体" w:hAnsi="方正小标宋简体" w:eastAsia="方正小标宋简体" w:cs="方正小标宋简体"/>
          <w:b w:val="0"/>
          <w:bCs/>
          <w:sz w:val="44"/>
          <w:szCs w:val="44"/>
          <w:lang w:eastAsia="zh-CN"/>
        </w:rPr>
        <w:t>特种养殖实验场</w:t>
      </w:r>
      <w:r>
        <w:rPr>
          <w:rFonts w:hint="eastAsia" w:ascii="方正小标宋简体" w:hAnsi="方正小标宋简体" w:eastAsia="方正小标宋简体" w:cs="方正小标宋简体"/>
          <w:b w:val="0"/>
          <w:bCs/>
          <w:sz w:val="44"/>
          <w:szCs w:val="44"/>
        </w:rPr>
        <w:t>部门整体支出绩效</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自 评 报 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val="0"/>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为加强预算资金管理，进一步规范预算资金使用，提高财政资金使用效益，我</w:t>
      </w:r>
      <w:r>
        <w:rPr>
          <w:rFonts w:hint="eastAsia" w:ascii="仿宋_GB2312" w:hAnsi="仿宋_GB2312" w:eastAsia="仿宋_GB2312" w:cs="仿宋_GB2312"/>
          <w:b w:val="0"/>
          <w:bCs w:val="0"/>
          <w:sz w:val="32"/>
          <w:szCs w:val="32"/>
          <w:lang w:eastAsia="zh-CN"/>
        </w:rPr>
        <w:t>场</w:t>
      </w:r>
      <w:r>
        <w:rPr>
          <w:rFonts w:hint="eastAsia" w:ascii="仿宋_GB2312" w:hAnsi="仿宋_GB2312" w:eastAsia="仿宋_GB2312" w:cs="仿宋_GB2312"/>
          <w:b w:val="0"/>
          <w:bCs w:val="0"/>
          <w:sz w:val="32"/>
          <w:szCs w:val="32"/>
        </w:rPr>
        <w:t>对</w:t>
      </w:r>
      <w:r>
        <w:rPr>
          <w:rFonts w:hint="eastAsia" w:ascii="仿宋_GB2312" w:hAnsi="仿宋_GB2312" w:eastAsia="仿宋_GB2312" w:cs="仿宋_GB2312"/>
          <w:b w:val="0"/>
          <w:bCs w:val="0"/>
          <w:sz w:val="32"/>
          <w:szCs w:val="32"/>
          <w:lang w:val="en-US" w:eastAsia="zh-CN"/>
        </w:rPr>
        <w:t>2022</w:t>
      </w:r>
      <w:r>
        <w:rPr>
          <w:rFonts w:hint="eastAsia" w:ascii="仿宋_GB2312" w:hAnsi="仿宋_GB2312" w:eastAsia="仿宋_GB2312" w:cs="仿宋_GB2312"/>
          <w:b w:val="0"/>
          <w:bCs w:val="0"/>
          <w:sz w:val="32"/>
          <w:szCs w:val="32"/>
        </w:rPr>
        <w:t>年度本单位整体支出进行了绩效自评，现将具体绩效评价情况报告如下：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一、部门概况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333333"/>
          <w:kern w:val="2"/>
          <w:sz w:val="32"/>
          <w:szCs w:val="32"/>
          <w:lang w:val="en-US" w:eastAsia="zh-CN" w:bidi="ar-SA"/>
        </w:rPr>
      </w:pPr>
      <w:r>
        <w:rPr>
          <w:rFonts w:hint="eastAsia" w:ascii="仿宋_GB2312" w:hAnsi="仿宋_GB2312" w:eastAsia="仿宋_GB2312" w:cs="仿宋_GB2312"/>
          <w:b w:val="0"/>
          <w:bCs w:val="0"/>
          <w:color w:val="333333"/>
          <w:kern w:val="2"/>
          <w:sz w:val="32"/>
          <w:szCs w:val="32"/>
          <w:lang w:val="en-US" w:eastAsia="zh-CN" w:bidi="ar-SA"/>
        </w:rPr>
        <w:t>我场资阳区畜牧水产事务中心下属二级全额事业单位，现有编制8个，在岗在编8人，退休人员7人。主要责任是负责全区特种养殖技术的实验、推广等工作。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、一般公共预算支出情况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b w:val="0"/>
          <w:bCs w:val="0"/>
          <w:color w:val="FF0000"/>
          <w:kern w:val="0"/>
          <w:sz w:val="32"/>
          <w:szCs w:val="32"/>
          <w:lang w:val="en-US" w:eastAsia="zh-CN"/>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color w:val="auto"/>
          <w:sz w:val="32"/>
          <w:szCs w:val="32"/>
        </w:rPr>
        <w:t>全年支出</w:t>
      </w:r>
      <w:r>
        <w:rPr>
          <w:rFonts w:hint="eastAsia" w:ascii="仿宋_GB2312" w:hAnsi="仿宋_GB2312" w:eastAsia="仿宋_GB2312" w:cs="仿宋_GB2312"/>
          <w:b w:val="0"/>
          <w:bCs w:val="0"/>
          <w:color w:val="auto"/>
          <w:sz w:val="32"/>
          <w:szCs w:val="32"/>
          <w:lang w:val="en-US" w:eastAsia="zh-CN"/>
        </w:rPr>
        <w:t>109.38</w:t>
      </w:r>
      <w:r>
        <w:rPr>
          <w:rFonts w:hint="eastAsia" w:ascii="仿宋_GB2312" w:hAnsi="仿宋_GB2312" w:eastAsia="仿宋_GB2312" w:cs="仿宋_GB2312"/>
          <w:b w:val="0"/>
          <w:bCs w:val="0"/>
          <w:color w:val="auto"/>
          <w:sz w:val="32"/>
          <w:szCs w:val="32"/>
        </w:rPr>
        <w:t>万元，其中工资福利支出</w:t>
      </w:r>
      <w:r>
        <w:rPr>
          <w:rFonts w:hint="eastAsia" w:ascii="仿宋_GB2312" w:hAnsi="仿宋_GB2312" w:eastAsia="仿宋_GB2312" w:cs="仿宋_GB2312"/>
          <w:b w:val="0"/>
          <w:bCs w:val="0"/>
          <w:color w:val="auto"/>
          <w:sz w:val="32"/>
          <w:szCs w:val="32"/>
          <w:lang w:val="en-US" w:eastAsia="zh-CN"/>
        </w:rPr>
        <w:t>93.24</w:t>
      </w:r>
      <w:r>
        <w:rPr>
          <w:rFonts w:hint="eastAsia" w:ascii="仿宋_GB2312" w:hAnsi="仿宋_GB2312" w:eastAsia="仿宋_GB2312" w:cs="仿宋_GB2312"/>
          <w:b w:val="0"/>
          <w:bCs w:val="0"/>
          <w:color w:val="auto"/>
          <w:sz w:val="32"/>
          <w:szCs w:val="32"/>
        </w:rPr>
        <w:t>万元，主要包括：基本工资、</w:t>
      </w:r>
      <w:r>
        <w:rPr>
          <w:rFonts w:hint="eastAsia" w:ascii="仿宋_GB2312" w:hAnsi="仿宋_GB2312" w:eastAsia="仿宋_GB2312" w:cs="仿宋_GB2312"/>
          <w:b w:val="0"/>
          <w:bCs w:val="0"/>
          <w:color w:val="auto"/>
          <w:sz w:val="32"/>
          <w:szCs w:val="32"/>
          <w:lang w:val="en-US" w:eastAsia="zh-CN"/>
        </w:rPr>
        <w:t>津贴补贴、绩效工资、机关养老保险</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职工医保</w:t>
      </w:r>
      <w:r>
        <w:rPr>
          <w:rFonts w:hint="eastAsia" w:ascii="仿宋_GB2312" w:hAnsi="仿宋_GB2312" w:eastAsia="仿宋_GB2312" w:cs="仿宋_GB2312"/>
          <w:b w:val="0"/>
          <w:bCs w:val="0"/>
          <w:color w:val="auto"/>
          <w:sz w:val="32"/>
          <w:szCs w:val="32"/>
        </w:rPr>
        <w:t>、住房公积金</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医疗费</w:t>
      </w:r>
      <w:r>
        <w:rPr>
          <w:rFonts w:hint="eastAsia" w:ascii="仿宋_GB2312" w:hAnsi="仿宋_GB2312" w:eastAsia="仿宋_GB2312" w:cs="仿宋_GB2312"/>
          <w:b w:val="0"/>
          <w:bCs w:val="0"/>
          <w:color w:val="auto"/>
          <w:sz w:val="32"/>
          <w:szCs w:val="32"/>
        </w:rPr>
        <w:t>等；商品和服务性支出</w:t>
      </w:r>
      <w:r>
        <w:rPr>
          <w:rFonts w:hint="eastAsia" w:ascii="仿宋_GB2312" w:hAnsi="仿宋_GB2312" w:eastAsia="仿宋_GB2312" w:cs="仿宋_GB2312"/>
          <w:b w:val="0"/>
          <w:bCs w:val="0"/>
          <w:color w:val="auto"/>
          <w:sz w:val="32"/>
          <w:szCs w:val="32"/>
          <w:lang w:val="en-US" w:eastAsia="zh-CN"/>
        </w:rPr>
        <w:t>16.14</w:t>
      </w:r>
      <w:r>
        <w:rPr>
          <w:rFonts w:hint="eastAsia" w:ascii="仿宋_GB2312" w:hAnsi="仿宋_GB2312" w:eastAsia="仿宋_GB2312" w:cs="仿宋_GB2312"/>
          <w:b w:val="0"/>
          <w:bCs w:val="0"/>
          <w:color w:val="auto"/>
          <w:sz w:val="32"/>
          <w:szCs w:val="32"/>
        </w:rPr>
        <w:t>万元，主要包括：</w:t>
      </w:r>
      <w:r>
        <w:rPr>
          <w:rFonts w:hint="eastAsia" w:ascii="仿宋_GB2312" w:hAnsi="仿宋_GB2312" w:eastAsia="仿宋_GB2312" w:cs="仿宋_GB2312"/>
          <w:b w:val="0"/>
          <w:bCs w:val="0"/>
          <w:color w:val="auto"/>
          <w:sz w:val="32"/>
          <w:szCs w:val="32"/>
          <w:lang w:val="en-US" w:eastAsia="zh-CN"/>
        </w:rPr>
        <w:t>办公费、维修（护）费（农业资源保护修复与利用）、工会经费、福利费、其他商品和服务支出、其他交通费用等。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5"/>
          <w:rFonts w:hint="eastAsia" w:ascii="仿宋_GB2312" w:hAnsi="仿宋_GB2312" w:eastAsia="仿宋_GB2312" w:cs="仿宋_GB2312"/>
        </w:rPr>
      </w:pPr>
      <w:r>
        <w:rPr>
          <w:rFonts w:hint="eastAsia" w:ascii="黑体" w:hAnsi="黑体" w:eastAsia="黑体" w:cs="黑体"/>
          <w:b w:val="0"/>
          <w:bCs w:val="0"/>
          <w:color w:val="333333"/>
          <w:kern w:val="2"/>
          <w:sz w:val="32"/>
          <w:szCs w:val="32"/>
          <w:lang w:val="en-US" w:eastAsia="zh-CN" w:bidi="ar-SA"/>
        </w:rPr>
        <w:t>三、部门整体支出绩效情况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5"/>
          <w:rFonts w:hint="eastAsia" w:ascii="仿宋_GB2312" w:hAnsi="仿宋_GB2312" w:eastAsia="仿宋_GB2312" w:cs="仿宋_GB2312"/>
        </w:rPr>
      </w:pPr>
      <w:r>
        <w:rPr>
          <w:rStyle w:val="15"/>
          <w:rFonts w:hint="eastAsia" w:ascii="仿宋_GB2312" w:hAnsi="仿宋_GB2312" w:eastAsia="仿宋_GB2312" w:cs="仿宋_GB2312"/>
        </w:rPr>
        <w:t>1.</w:t>
      </w:r>
      <w:r>
        <w:rPr>
          <w:rStyle w:val="15"/>
          <w:rFonts w:hint="eastAsia" w:ascii="仿宋_GB2312" w:hAnsi="仿宋_GB2312" w:eastAsia="仿宋_GB2312" w:cs="仿宋_GB2312"/>
          <w:lang w:eastAsia="zh-CN"/>
        </w:rPr>
        <w:t>开展</w:t>
      </w:r>
      <w:r>
        <w:rPr>
          <w:rStyle w:val="15"/>
          <w:rFonts w:hint="eastAsia" w:ascii="仿宋_GB2312" w:hAnsi="仿宋_GB2312" w:eastAsia="仿宋_GB2312" w:cs="仿宋_GB2312"/>
        </w:rPr>
        <w:t>了稻渔综合种养技术示范、推广等工作。通过试验、示范、推广，带动周边1</w:t>
      </w:r>
      <w:r>
        <w:rPr>
          <w:rStyle w:val="15"/>
          <w:rFonts w:hint="eastAsia" w:ascii="仿宋_GB2312" w:hAnsi="仿宋_GB2312" w:eastAsia="仿宋_GB2312" w:cs="仿宋_GB2312"/>
          <w:lang w:val="en-US" w:eastAsia="zh-CN"/>
        </w:rPr>
        <w:t>0</w:t>
      </w:r>
      <w:r>
        <w:rPr>
          <w:rStyle w:val="15"/>
          <w:rFonts w:hint="eastAsia" w:ascii="仿宋_GB2312" w:hAnsi="仿宋_GB2312" w:eastAsia="仿宋_GB2312" w:cs="仿宋_GB2312"/>
        </w:rPr>
        <w:t>户农民进行了稻渔的养殖，并取得了一定的经济效益和社会效益。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5"/>
          <w:rFonts w:hint="eastAsia" w:ascii="仿宋_GB2312" w:hAnsi="仿宋_GB2312" w:eastAsia="仿宋_GB2312" w:cs="仿宋_GB2312"/>
          <w:color w:val="000000" w:themeColor="text1"/>
          <w14:textFill>
            <w14:solidFill>
              <w14:schemeClr w14:val="tx1"/>
            </w14:solidFill>
          </w14:textFill>
        </w:rPr>
      </w:pPr>
      <w:r>
        <w:rPr>
          <w:rStyle w:val="15"/>
          <w:rFonts w:hint="eastAsia" w:ascii="仿宋_GB2312" w:hAnsi="仿宋_GB2312" w:eastAsia="仿宋_GB2312" w:cs="仿宋_GB2312"/>
        </w:rPr>
        <w:t>2.对养殖户开展指导指导。每名专业技术人员联系3-4户种养殖户进行技术指导。全场</w:t>
      </w:r>
      <w:r>
        <w:rPr>
          <w:rStyle w:val="15"/>
          <w:rFonts w:hint="eastAsia" w:ascii="仿宋_GB2312" w:hAnsi="仿宋_GB2312" w:eastAsia="仿宋_GB2312" w:cs="仿宋_GB2312"/>
          <w:lang w:val="en-US" w:eastAsia="zh-CN"/>
        </w:rPr>
        <w:t>3</w:t>
      </w:r>
      <w:r>
        <w:rPr>
          <w:rStyle w:val="15"/>
          <w:rFonts w:hint="eastAsia" w:ascii="仿宋_GB2312" w:hAnsi="仿宋_GB2312" w:eastAsia="仿宋_GB2312" w:cs="仿宋_GB2312"/>
        </w:rPr>
        <w:t>名专业技术人员按各自所擅长的专业联系种养殖户，全年共联系了2</w:t>
      </w:r>
      <w:r>
        <w:rPr>
          <w:rStyle w:val="15"/>
          <w:rFonts w:hint="eastAsia" w:ascii="仿宋_GB2312" w:hAnsi="仿宋_GB2312" w:eastAsia="仿宋_GB2312" w:cs="仿宋_GB2312"/>
          <w:lang w:val="en-US" w:eastAsia="zh-CN"/>
        </w:rPr>
        <w:t>3</w:t>
      </w:r>
      <w:r>
        <w:rPr>
          <w:rStyle w:val="15"/>
          <w:rFonts w:hint="eastAsia" w:ascii="仿宋_GB2312" w:hAnsi="仿宋_GB2312" w:eastAsia="仿宋_GB2312" w:cs="仿宋_GB2312"/>
        </w:rPr>
        <w:t>户，指导其生产，取得了较好的社会效益。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5"/>
          <w:rFonts w:hint="eastAsia" w:ascii="仿宋_GB2312" w:hAnsi="仿宋_GB2312" w:eastAsia="仿宋_GB2312" w:cs="仿宋_GB2312"/>
        </w:rPr>
      </w:pPr>
      <w:r>
        <w:rPr>
          <w:rStyle w:val="15"/>
          <w:rFonts w:hint="eastAsia" w:ascii="仿宋_GB2312" w:hAnsi="仿宋_GB2312" w:eastAsia="仿宋_GB2312" w:cs="仿宋_GB2312"/>
        </w:rPr>
        <w:t>3.积极开展农业科技培训。全年组织了</w:t>
      </w:r>
      <w:r>
        <w:rPr>
          <w:rStyle w:val="15"/>
          <w:rFonts w:hint="eastAsia" w:ascii="仿宋_GB2312" w:hAnsi="仿宋_GB2312" w:eastAsia="仿宋_GB2312" w:cs="仿宋_GB2312"/>
          <w:lang w:val="en-US" w:eastAsia="zh-CN"/>
        </w:rPr>
        <w:t>8</w:t>
      </w:r>
      <w:r>
        <w:rPr>
          <w:rStyle w:val="15"/>
          <w:rFonts w:hint="eastAsia" w:ascii="仿宋_GB2312" w:hAnsi="仿宋_GB2312" w:eastAsia="仿宋_GB2312" w:cs="仿宋_GB2312"/>
        </w:rPr>
        <w:t>场种养技术培训，受训3</w:t>
      </w:r>
      <w:r>
        <w:rPr>
          <w:rStyle w:val="15"/>
          <w:rFonts w:hint="eastAsia" w:ascii="仿宋_GB2312" w:hAnsi="仿宋_GB2312" w:eastAsia="仿宋_GB2312" w:cs="仿宋_GB2312"/>
          <w:lang w:val="en-US" w:eastAsia="zh-CN"/>
        </w:rPr>
        <w:t>42</w:t>
      </w:r>
      <w:r>
        <w:rPr>
          <w:rStyle w:val="15"/>
          <w:rFonts w:hint="eastAsia" w:ascii="仿宋_GB2312" w:hAnsi="仿宋_GB2312" w:eastAsia="仿宋_GB2312" w:cs="仿宋_GB2312"/>
        </w:rPr>
        <w:t>人次，并发放农业技术资料1</w:t>
      </w:r>
      <w:r>
        <w:rPr>
          <w:rStyle w:val="15"/>
          <w:rFonts w:hint="eastAsia" w:ascii="仿宋_GB2312" w:hAnsi="仿宋_GB2312" w:eastAsia="仿宋_GB2312" w:cs="仿宋_GB2312"/>
          <w:lang w:val="en-US" w:eastAsia="zh-CN"/>
        </w:rPr>
        <w:t>268</w:t>
      </w:r>
      <w:r>
        <w:rPr>
          <w:rStyle w:val="15"/>
          <w:rFonts w:hint="eastAsia" w:ascii="仿宋_GB2312" w:hAnsi="仿宋_GB2312" w:eastAsia="仿宋_GB2312" w:cs="仿宋_GB2312"/>
        </w:rPr>
        <w:t>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5"/>
          <w:rFonts w:hint="default" w:ascii="仿宋_GB2312" w:hAnsi="仿宋_GB2312" w:eastAsia="仿宋_GB2312" w:cs="仿宋_GB2312"/>
          <w:lang w:val="en-US" w:eastAsia="zh-CN"/>
        </w:rPr>
      </w:pPr>
      <w:r>
        <w:rPr>
          <w:rStyle w:val="15"/>
          <w:rFonts w:hint="eastAsia" w:ascii="仿宋_GB2312" w:hAnsi="仿宋_GB2312" w:eastAsia="仿宋_GB2312" w:cs="仿宋_GB2312"/>
          <w:lang w:val="en-US" w:eastAsia="zh-CN"/>
        </w:rPr>
        <w:t>4.实施人工鱼巢项目。受区畜牧水产事务中心委托，4-6月在资江刘公滩水域，设置人工鱼巢9000个，面积1000平方米。设置人工鱼巢，有助于鱼卵附着、孵化，为鱼类提供了良好的栖息环境和生长、索饵及庇敌的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5"/>
          <w:rFonts w:hint="eastAsia" w:ascii="仿宋_GB2312" w:hAnsi="仿宋_GB2312" w:eastAsia="仿宋_GB2312" w:cs="仿宋_GB2312"/>
        </w:rPr>
      </w:pPr>
      <w:r>
        <w:rPr>
          <w:rStyle w:val="15"/>
          <w:rFonts w:hint="eastAsia" w:ascii="仿宋_GB2312" w:hAnsi="仿宋_GB2312" w:eastAsia="仿宋_GB2312" w:cs="仿宋_GB2312"/>
          <w:lang w:val="en-US" w:eastAsia="zh-CN"/>
        </w:rPr>
        <w:t>5.组织干职工到贺家桥社区服务开展创文巩卫、志愿服务、社会实践等活动。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、部门整体支出存在的主要问题</w:t>
      </w:r>
      <w:r>
        <w:rPr>
          <w:rFonts w:hint="eastAsia" w:ascii="黑体" w:hAnsi="黑体" w:eastAsia="黑体" w:cs="黑体"/>
          <w:b w:val="0"/>
          <w:bCs w:val="0"/>
          <w:sz w:val="32"/>
          <w:szCs w:val="32"/>
          <w:lang w:eastAsia="zh-CN"/>
        </w:rPr>
        <w:t>及原因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2022年受区畜牧水产事务中心委托，我场实施了人工鱼巢项目，故而整体支出大于预算金额。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五、部门整体支出绩效自评结果拟应用和公开情况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2022年，我场通过积极作为，强化制度建设，增强内部管理，较好的完成了年度工作目标。通过加强预算收支管理，不断建立健全内部管理制度，梳理内部管理流程，部门整体支出管理水平得到提升。根据部门整体支出绩效评价指标体系，我单位2022年度评价得分为95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通过绩效自评，进一步掌握了资金使用情况和取得的效果， 总结了专项资金管理经验，认识到了工作中存在的问题和不足， </w:t>
      </w:r>
      <w:bookmarkStart w:id="2" w:name="_GoBack"/>
      <w:bookmarkEnd w:id="2"/>
      <w:r>
        <w:rPr>
          <w:rFonts w:hint="eastAsia" w:ascii="仿宋_GB2312" w:hAnsi="仿宋_GB2312" w:eastAsia="仿宋_GB2312" w:cs="仿宋_GB2312"/>
          <w:b w:val="0"/>
          <w:bCs w:val="0"/>
          <w:color w:val="auto"/>
          <w:sz w:val="32"/>
          <w:szCs w:val="32"/>
          <w:lang w:val="en-US" w:eastAsia="zh-CN"/>
        </w:rPr>
        <w:t>为今后完善年初预算编制、加强资金使用管理、健全资金支出项 目、提高资金绩效管理、加大资金使用效益工作提供了重要的参考依据绩效自评结果公开情况。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此次绩效自评报告将在资阳区政府官网上予以全文公布，向社会公开，广泛接受群众监督。</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b w:val="0"/>
          <w:bCs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b w:val="0"/>
          <w:bCs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2022年度部门整体支出绩效评价基础数据表</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1600" w:firstLineChars="5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2.2022年度部门整体支出绩效自评表</w:t>
      </w:r>
    </w:p>
    <w:p>
      <w:pPr>
        <w:pStyle w:val="2"/>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spacing w:before="114" w:line="224" w:lineRule="auto"/>
        <w:rPr>
          <w:rFonts w:hint="eastAsia" w:ascii="黑体" w:hAnsi="黑体" w:eastAsia="黑体" w:cs="黑体"/>
          <w:b w:val="0"/>
          <w:bCs w:val="0"/>
          <w:color w:val="auto"/>
          <w:spacing w:val="-5"/>
          <w:sz w:val="32"/>
          <w:szCs w:val="32"/>
          <w:lang w:val="en-US" w:eastAsia="zh-CN"/>
        </w:rPr>
      </w:pPr>
      <w:r>
        <w:rPr>
          <w:rFonts w:ascii="黑体" w:hAnsi="黑体" w:eastAsia="黑体" w:cs="黑体"/>
          <w:b w:val="0"/>
          <w:bCs w:val="0"/>
          <w:color w:val="auto"/>
          <w:spacing w:val="-5"/>
          <w:sz w:val="32"/>
          <w:szCs w:val="32"/>
        </w:rPr>
        <w:t>附件</w:t>
      </w:r>
      <w:r>
        <w:rPr>
          <w:rFonts w:hint="eastAsia" w:ascii="黑体" w:hAnsi="黑体" w:eastAsia="黑体" w:cs="黑体"/>
          <w:b w:val="0"/>
          <w:bCs w:val="0"/>
          <w:color w:val="auto"/>
          <w:spacing w:val="-5"/>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pacing w:val="-4"/>
          <w:sz w:val="44"/>
          <w:szCs w:val="44"/>
        </w:rPr>
        <w:t>2022年度部门整体支出绩效评价基础数据表</w:t>
      </w:r>
    </w:p>
    <w:p>
      <w:pPr>
        <w:spacing w:line="35" w:lineRule="auto"/>
        <w:rPr>
          <w:rFonts w:ascii="Arial"/>
          <w:color w:val="auto"/>
          <w:sz w:val="2"/>
        </w:rPr>
      </w:pPr>
    </w:p>
    <w:tbl>
      <w:tblPr>
        <w:tblStyle w:val="16"/>
        <w:tblW w:w="88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21"/>
        <w:gridCol w:w="1583"/>
        <w:gridCol w:w="2325"/>
        <w:gridCol w:w="1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3221" w:type="dxa"/>
            <w:vMerge w:val="restart"/>
            <w:tcBorders>
              <w:bottom w:val="nil"/>
            </w:tcBorders>
            <w:vAlign w:val="top"/>
          </w:tcPr>
          <w:p>
            <w:pPr>
              <w:spacing w:line="272" w:lineRule="auto"/>
              <w:rPr>
                <w:rFonts w:ascii="Arial"/>
                <w:color w:val="auto"/>
                <w:sz w:val="21"/>
              </w:rPr>
            </w:pPr>
          </w:p>
          <w:p>
            <w:pPr>
              <w:spacing w:before="68" w:line="219" w:lineRule="auto"/>
              <w:ind w:left="444"/>
              <w:rPr>
                <w:rFonts w:ascii="宋体" w:hAnsi="宋体" w:eastAsia="宋体" w:cs="宋体"/>
                <w:color w:val="auto"/>
                <w:sz w:val="21"/>
                <w:szCs w:val="21"/>
              </w:rPr>
            </w:pPr>
            <w:r>
              <w:rPr>
                <w:rFonts w:ascii="宋体" w:hAnsi="宋体" w:eastAsia="宋体" w:cs="宋体"/>
                <w:color w:val="auto"/>
                <w:spacing w:val="4"/>
                <w:sz w:val="21"/>
                <w:szCs w:val="21"/>
              </w:rPr>
              <w:t>财政供养人员情况(人)</w:t>
            </w:r>
          </w:p>
        </w:tc>
        <w:tc>
          <w:tcPr>
            <w:tcW w:w="1583" w:type="dxa"/>
            <w:vAlign w:val="top"/>
          </w:tcPr>
          <w:p>
            <w:pPr>
              <w:spacing w:before="173" w:line="219" w:lineRule="auto"/>
              <w:ind w:left="834"/>
              <w:rPr>
                <w:rFonts w:ascii="宋体" w:hAnsi="宋体" w:eastAsia="宋体" w:cs="宋体"/>
                <w:color w:val="auto"/>
                <w:sz w:val="21"/>
                <w:szCs w:val="21"/>
              </w:rPr>
            </w:pPr>
            <w:r>
              <w:rPr>
                <w:rFonts w:ascii="宋体" w:hAnsi="宋体" w:eastAsia="宋体" w:cs="宋体"/>
                <w:color w:val="auto"/>
                <w:spacing w:val="-3"/>
                <w:sz w:val="21"/>
                <w:szCs w:val="21"/>
              </w:rPr>
              <w:t>编制数</w:t>
            </w:r>
          </w:p>
        </w:tc>
        <w:tc>
          <w:tcPr>
            <w:tcW w:w="2325" w:type="dxa"/>
            <w:vAlign w:val="top"/>
          </w:tcPr>
          <w:p>
            <w:pPr>
              <w:spacing w:before="113" w:line="219" w:lineRule="auto"/>
              <w:ind w:left="97"/>
              <w:rPr>
                <w:rFonts w:ascii="宋体" w:hAnsi="宋体" w:eastAsia="宋体" w:cs="宋体"/>
                <w:color w:val="auto"/>
                <w:sz w:val="21"/>
                <w:szCs w:val="21"/>
              </w:rPr>
            </w:pPr>
            <w:r>
              <w:rPr>
                <w:rFonts w:ascii="宋体" w:hAnsi="宋体" w:eastAsia="宋体" w:cs="宋体"/>
                <w:color w:val="auto"/>
                <w:spacing w:val="-1"/>
                <w:sz w:val="21"/>
                <w:szCs w:val="21"/>
              </w:rPr>
              <w:t>2022年实际在职人数</w:t>
            </w:r>
          </w:p>
        </w:tc>
        <w:tc>
          <w:tcPr>
            <w:tcW w:w="1770" w:type="dxa"/>
            <w:vAlign w:val="top"/>
          </w:tcPr>
          <w:p>
            <w:pPr>
              <w:spacing w:before="163" w:line="219" w:lineRule="auto"/>
              <w:ind w:left="628"/>
              <w:rPr>
                <w:rFonts w:ascii="宋体" w:hAnsi="宋体" w:eastAsia="宋体" w:cs="宋体"/>
                <w:color w:val="auto"/>
                <w:sz w:val="21"/>
                <w:szCs w:val="21"/>
              </w:rPr>
            </w:pPr>
            <w:r>
              <w:rPr>
                <w:rFonts w:ascii="宋体" w:hAnsi="宋体" w:eastAsia="宋体" w:cs="宋体"/>
                <w:color w:val="auto"/>
                <w:spacing w:val="-2"/>
                <w:sz w:val="21"/>
                <w:szCs w:val="21"/>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3221" w:type="dxa"/>
            <w:vMerge w:val="continue"/>
            <w:tcBorders>
              <w:top w:val="nil"/>
            </w:tcBorders>
            <w:vAlign w:val="top"/>
          </w:tcPr>
          <w:p>
            <w:pPr>
              <w:rPr>
                <w:rFonts w:ascii="Arial"/>
                <w:color w:val="auto"/>
                <w:sz w:val="21"/>
              </w:rPr>
            </w:pPr>
          </w:p>
        </w:tc>
        <w:tc>
          <w:tcPr>
            <w:tcW w:w="1583" w:type="dxa"/>
            <w:vAlign w:val="center"/>
          </w:tcPr>
          <w:p>
            <w:pPr>
              <w:jc w:val="center"/>
              <w:rPr>
                <w:rFonts w:hint="default" w:ascii="Arial" w:eastAsia="宋体"/>
                <w:color w:val="auto"/>
                <w:sz w:val="21"/>
                <w:lang w:val="en-US" w:eastAsia="zh-CN"/>
              </w:rPr>
            </w:pPr>
            <w:r>
              <w:rPr>
                <w:rFonts w:hint="eastAsia" w:eastAsia="宋体"/>
                <w:color w:val="auto"/>
                <w:sz w:val="21"/>
                <w:lang w:val="en-US" w:eastAsia="zh-CN"/>
              </w:rPr>
              <w:t>8</w:t>
            </w:r>
          </w:p>
        </w:tc>
        <w:tc>
          <w:tcPr>
            <w:tcW w:w="2325" w:type="dxa"/>
            <w:vAlign w:val="center"/>
          </w:tcPr>
          <w:p>
            <w:pPr>
              <w:jc w:val="center"/>
              <w:rPr>
                <w:rFonts w:hint="default" w:ascii="Arial" w:eastAsia="宋体"/>
                <w:color w:val="auto"/>
                <w:sz w:val="21"/>
                <w:lang w:val="en-US" w:eastAsia="zh-CN"/>
              </w:rPr>
            </w:pPr>
            <w:r>
              <w:rPr>
                <w:rFonts w:hint="eastAsia" w:eastAsia="宋体"/>
                <w:color w:val="auto"/>
                <w:sz w:val="21"/>
                <w:lang w:val="en-US" w:eastAsia="zh-CN"/>
              </w:rPr>
              <w:t>8</w:t>
            </w:r>
          </w:p>
        </w:tc>
        <w:tc>
          <w:tcPr>
            <w:tcW w:w="1770" w:type="dxa"/>
            <w:vAlign w:val="center"/>
          </w:tcPr>
          <w:p>
            <w:pPr>
              <w:jc w:val="center"/>
              <w:rPr>
                <w:rFonts w:hint="default" w:ascii="Arial" w:eastAsia="宋体"/>
                <w:color w:val="auto"/>
                <w:sz w:val="21"/>
                <w:lang w:val="en-US" w:eastAsia="zh-CN"/>
              </w:rPr>
            </w:pPr>
            <w:r>
              <w:rPr>
                <w:rFonts w:hint="eastAsia" w:eastAsia="宋体"/>
                <w:color w:val="auto"/>
                <w:sz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21" w:type="dxa"/>
            <w:vAlign w:val="top"/>
          </w:tcPr>
          <w:p>
            <w:pPr>
              <w:spacing w:before="180" w:line="219" w:lineRule="auto"/>
              <w:ind w:left="575"/>
              <w:rPr>
                <w:rFonts w:ascii="宋体" w:hAnsi="宋体" w:eastAsia="宋体" w:cs="宋体"/>
                <w:color w:val="auto"/>
                <w:sz w:val="21"/>
                <w:szCs w:val="21"/>
              </w:rPr>
            </w:pPr>
            <w:r>
              <w:rPr>
                <w:rFonts w:ascii="宋体" w:hAnsi="宋体" w:eastAsia="宋体" w:cs="宋体"/>
                <w:color w:val="auto"/>
                <w:spacing w:val="4"/>
                <w:sz w:val="21"/>
                <w:szCs w:val="21"/>
              </w:rPr>
              <w:t>经费控制情况(万元)</w:t>
            </w:r>
          </w:p>
        </w:tc>
        <w:tc>
          <w:tcPr>
            <w:tcW w:w="1583" w:type="dxa"/>
            <w:vAlign w:val="center"/>
          </w:tcPr>
          <w:p>
            <w:pPr>
              <w:spacing w:before="177" w:line="219" w:lineRule="auto"/>
              <w:jc w:val="both"/>
              <w:rPr>
                <w:rFonts w:ascii="宋体" w:hAnsi="宋体" w:eastAsia="宋体" w:cs="宋体"/>
                <w:color w:val="auto"/>
                <w:sz w:val="21"/>
                <w:szCs w:val="21"/>
              </w:rPr>
            </w:pPr>
            <w:r>
              <w:rPr>
                <w:rFonts w:ascii="宋体" w:hAnsi="宋体" w:eastAsia="宋体" w:cs="宋体"/>
                <w:b/>
                <w:bCs/>
                <w:color w:val="auto"/>
                <w:spacing w:val="-4"/>
                <w:sz w:val="21"/>
                <w:szCs w:val="21"/>
              </w:rPr>
              <w:t>2021年决算数</w:t>
            </w:r>
          </w:p>
        </w:tc>
        <w:tc>
          <w:tcPr>
            <w:tcW w:w="2325" w:type="dxa"/>
            <w:vAlign w:val="center"/>
          </w:tcPr>
          <w:p>
            <w:pPr>
              <w:spacing w:before="110" w:line="219" w:lineRule="auto"/>
              <w:ind w:left="407"/>
              <w:jc w:val="both"/>
              <w:rPr>
                <w:rFonts w:ascii="宋体" w:hAnsi="宋体" w:eastAsia="宋体" w:cs="宋体"/>
                <w:color w:val="auto"/>
                <w:sz w:val="21"/>
                <w:szCs w:val="21"/>
              </w:rPr>
            </w:pPr>
            <w:r>
              <w:rPr>
                <w:rFonts w:ascii="宋体" w:hAnsi="宋体" w:eastAsia="宋体" w:cs="宋体"/>
                <w:color w:val="auto"/>
                <w:spacing w:val="-2"/>
                <w:sz w:val="21"/>
                <w:szCs w:val="21"/>
              </w:rPr>
              <w:t>2022年预算数</w:t>
            </w:r>
          </w:p>
        </w:tc>
        <w:tc>
          <w:tcPr>
            <w:tcW w:w="1770" w:type="dxa"/>
            <w:vAlign w:val="center"/>
          </w:tcPr>
          <w:p>
            <w:pPr>
              <w:spacing w:before="180" w:line="219" w:lineRule="auto"/>
              <w:ind w:left="318"/>
              <w:jc w:val="both"/>
              <w:rPr>
                <w:rFonts w:ascii="宋体" w:hAnsi="宋体" w:eastAsia="宋体" w:cs="宋体"/>
                <w:color w:val="auto"/>
                <w:sz w:val="21"/>
                <w:szCs w:val="21"/>
              </w:rPr>
            </w:pPr>
            <w:r>
              <w:rPr>
                <w:rFonts w:ascii="宋体" w:hAnsi="宋体" w:eastAsia="宋体" w:cs="宋体"/>
                <w:color w:val="auto"/>
                <w:spacing w:val="-2"/>
                <w:sz w:val="21"/>
                <w:szCs w:val="21"/>
              </w:rPr>
              <w:t>2022年决算数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21" w:type="dxa"/>
            <w:vAlign w:val="top"/>
          </w:tcPr>
          <w:p>
            <w:pPr>
              <w:spacing w:before="180" w:line="219" w:lineRule="auto"/>
              <w:ind w:left="94"/>
              <w:rPr>
                <w:rFonts w:ascii="宋体" w:hAnsi="宋体" w:eastAsia="宋体" w:cs="宋体"/>
                <w:color w:val="auto"/>
                <w:sz w:val="21"/>
                <w:szCs w:val="21"/>
              </w:rPr>
            </w:pPr>
            <w:r>
              <w:rPr>
                <w:rFonts w:ascii="宋体" w:hAnsi="宋体" w:eastAsia="宋体" w:cs="宋体"/>
                <w:color w:val="auto"/>
                <w:spacing w:val="-2"/>
                <w:sz w:val="21"/>
                <w:szCs w:val="21"/>
              </w:rPr>
              <w:t>支出总额</w:t>
            </w:r>
          </w:p>
        </w:tc>
        <w:tc>
          <w:tcPr>
            <w:tcW w:w="1583" w:type="dxa"/>
            <w:vAlign w:val="center"/>
          </w:tcPr>
          <w:p>
            <w:pPr>
              <w:jc w:val="center"/>
              <w:rPr>
                <w:rFonts w:hint="default" w:ascii="Arial" w:eastAsia="宋体"/>
                <w:color w:val="auto"/>
                <w:sz w:val="21"/>
                <w:lang w:val="en-US" w:eastAsia="zh-CN"/>
              </w:rPr>
            </w:pPr>
            <w:r>
              <w:rPr>
                <w:rFonts w:hint="eastAsia" w:ascii="Arial"/>
                <w:color w:val="auto"/>
                <w:sz w:val="21"/>
                <w:lang w:val="en-US" w:eastAsia="zh-CN"/>
              </w:rPr>
              <w:t>96.20</w:t>
            </w:r>
          </w:p>
        </w:tc>
        <w:tc>
          <w:tcPr>
            <w:tcW w:w="2325" w:type="dxa"/>
            <w:vAlign w:val="center"/>
          </w:tcPr>
          <w:p>
            <w:pPr>
              <w:jc w:val="center"/>
              <w:rPr>
                <w:rFonts w:hint="default" w:ascii="Arial" w:eastAsia="宋体"/>
                <w:color w:val="auto"/>
                <w:sz w:val="21"/>
                <w:lang w:val="en-US" w:eastAsia="zh-CN"/>
              </w:rPr>
            </w:pPr>
            <w:r>
              <w:rPr>
                <w:rFonts w:hint="eastAsia" w:ascii="Arial"/>
                <w:color w:val="auto"/>
                <w:sz w:val="21"/>
                <w:lang w:val="en-US" w:eastAsia="zh-CN"/>
              </w:rPr>
              <w:t>109.38</w:t>
            </w:r>
          </w:p>
        </w:tc>
        <w:tc>
          <w:tcPr>
            <w:tcW w:w="1770" w:type="dxa"/>
            <w:vAlign w:val="center"/>
          </w:tcPr>
          <w:p>
            <w:pPr>
              <w:jc w:val="center"/>
              <w:rPr>
                <w:rFonts w:hint="default" w:ascii="Arial" w:eastAsia="宋体"/>
                <w:color w:val="auto"/>
                <w:sz w:val="21"/>
                <w:lang w:val="en-US" w:eastAsia="zh-CN"/>
              </w:rPr>
            </w:pPr>
            <w:r>
              <w:rPr>
                <w:rFonts w:hint="eastAsia" w:ascii="Arial"/>
                <w:color w:val="auto"/>
                <w:sz w:val="21"/>
                <w:lang w:val="en-US" w:eastAsia="zh-CN"/>
              </w:rPr>
              <w:t>109.38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21" w:type="dxa"/>
            <w:vAlign w:val="top"/>
          </w:tcPr>
          <w:p>
            <w:pPr>
              <w:spacing w:before="169" w:line="219" w:lineRule="auto"/>
              <w:ind w:left="94"/>
              <w:rPr>
                <w:rFonts w:ascii="宋体" w:hAnsi="宋体" w:eastAsia="宋体" w:cs="宋体"/>
                <w:color w:val="auto"/>
                <w:sz w:val="21"/>
                <w:szCs w:val="21"/>
              </w:rPr>
            </w:pPr>
            <w:r>
              <w:rPr>
                <w:rFonts w:ascii="宋体" w:hAnsi="宋体" w:eastAsia="宋体" w:cs="宋体"/>
                <w:color w:val="auto"/>
                <w:spacing w:val="6"/>
                <w:sz w:val="21"/>
                <w:szCs w:val="21"/>
              </w:rPr>
              <w:t>基本支出</w:t>
            </w:r>
          </w:p>
        </w:tc>
        <w:tc>
          <w:tcPr>
            <w:tcW w:w="1583" w:type="dxa"/>
            <w:vAlign w:val="center"/>
          </w:tcPr>
          <w:p>
            <w:pPr>
              <w:jc w:val="center"/>
              <w:rPr>
                <w:rFonts w:hint="default" w:ascii="Arial" w:eastAsia="宋体"/>
                <w:color w:val="auto"/>
                <w:sz w:val="21"/>
                <w:lang w:val="en-US" w:eastAsia="zh-CN"/>
              </w:rPr>
            </w:pPr>
            <w:r>
              <w:rPr>
                <w:rFonts w:hint="eastAsia" w:ascii="Arial"/>
                <w:color w:val="auto"/>
                <w:sz w:val="21"/>
                <w:lang w:val="en-US" w:eastAsia="zh-CN"/>
              </w:rPr>
              <w:t>96.20</w:t>
            </w:r>
          </w:p>
        </w:tc>
        <w:tc>
          <w:tcPr>
            <w:tcW w:w="2325" w:type="dxa"/>
            <w:vAlign w:val="center"/>
          </w:tcPr>
          <w:p>
            <w:pPr>
              <w:jc w:val="center"/>
              <w:rPr>
                <w:rFonts w:hint="default" w:ascii="Arial" w:eastAsia="宋体"/>
                <w:color w:val="auto"/>
                <w:sz w:val="21"/>
                <w:lang w:val="en-US" w:eastAsia="zh-CN"/>
              </w:rPr>
            </w:pPr>
            <w:r>
              <w:rPr>
                <w:rFonts w:hint="eastAsia" w:ascii="Arial"/>
                <w:color w:val="auto"/>
                <w:sz w:val="21"/>
                <w:lang w:val="en-US" w:eastAsia="zh-CN"/>
              </w:rPr>
              <w:t>100.38</w:t>
            </w:r>
          </w:p>
        </w:tc>
        <w:tc>
          <w:tcPr>
            <w:tcW w:w="1770" w:type="dxa"/>
            <w:vAlign w:val="center"/>
          </w:tcPr>
          <w:p>
            <w:pPr>
              <w:jc w:val="center"/>
              <w:rPr>
                <w:rFonts w:hint="default" w:ascii="Arial" w:eastAsia="宋体"/>
                <w:color w:val="auto"/>
                <w:sz w:val="21"/>
                <w:lang w:val="en-US" w:eastAsia="zh-CN"/>
              </w:rPr>
            </w:pPr>
            <w:r>
              <w:rPr>
                <w:rFonts w:hint="eastAsia" w:ascii="Arial"/>
                <w:color w:val="auto"/>
                <w:sz w:val="21"/>
                <w:lang w:val="en-US" w:eastAsia="zh-CN"/>
              </w:rPr>
              <w:t>100.38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21" w:type="dxa"/>
            <w:vAlign w:val="top"/>
          </w:tcPr>
          <w:p>
            <w:pPr>
              <w:spacing w:before="121" w:line="220" w:lineRule="auto"/>
              <w:ind w:left="505"/>
              <w:rPr>
                <w:rFonts w:ascii="宋体" w:hAnsi="宋体" w:eastAsia="宋体" w:cs="宋体"/>
                <w:color w:val="auto"/>
                <w:sz w:val="21"/>
                <w:szCs w:val="21"/>
              </w:rPr>
            </w:pPr>
            <w:r>
              <w:rPr>
                <w:rFonts w:ascii="宋体" w:hAnsi="宋体" w:eastAsia="宋体" w:cs="宋体"/>
                <w:color w:val="auto"/>
                <w:spacing w:val="1"/>
                <w:sz w:val="21"/>
                <w:szCs w:val="21"/>
              </w:rPr>
              <w:t>其中：公用经费</w:t>
            </w:r>
          </w:p>
        </w:tc>
        <w:tc>
          <w:tcPr>
            <w:tcW w:w="1583" w:type="dxa"/>
            <w:vAlign w:val="center"/>
          </w:tcPr>
          <w:p>
            <w:pPr>
              <w:jc w:val="center"/>
              <w:rPr>
                <w:rFonts w:hint="default" w:ascii="Arial" w:eastAsia="宋体"/>
                <w:color w:val="auto"/>
                <w:sz w:val="21"/>
                <w:lang w:val="en-US" w:eastAsia="zh-CN"/>
              </w:rPr>
            </w:pPr>
          </w:p>
        </w:tc>
        <w:tc>
          <w:tcPr>
            <w:tcW w:w="2325" w:type="dxa"/>
            <w:vAlign w:val="center"/>
          </w:tcPr>
          <w:p>
            <w:pPr>
              <w:jc w:val="center"/>
              <w:rPr>
                <w:rFonts w:hint="default" w:ascii="Arial" w:eastAsia="宋体"/>
                <w:color w:val="auto"/>
                <w:sz w:val="21"/>
                <w:lang w:val="en-US" w:eastAsia="zh-CN"/>
              </w:rPr>
            </w:pPr>
            <w:r>
              <w:rPr>
                <w:rFonts w:hint="eastAsia" w:ascii="Arial"/>
                <w:color w:val="auto"/>
                <w:sz w:val="21"/>
                <w:lang w:val="en-US" w:eastAsia="zh-CN"/>
              </w:rPr>
              <w:t>7.14</w:t>
            </w:r>
          </w:p>
        </w:tc>
        <w:tc>
          <w:tcPr>
            <w:tcW w:w="1770" w:type="dxa"/>
            <w:vAlign w:val="center"/>
          </w:tcPr>
          <w:p>
            <w:pPr>
              <w:jc w:val="center"/>
              <w:rPr>
                <w:rFonts w:hint="default" w:ascii="Arial" w:eastAsia="宋体"/>
                <w:color w:val="auto"/>
                <w:sz w:val="21"/>
                <w:lang w:val="en-US" w:eastAsia="zh-CN"/>
              </w:rPr>
            </w:pPr>
            <w:r>
              <w:rPr>
                <w:rFonts w:hint="eastAsia" w:ascii="Arial"/>
                <w:color w:val="auto"/>
                <w:sz w:val="21"/>
                <w:lang w:val="en-US" w:eastAsia="zh-CN"/>
              </w:rPr>
              <w:t>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21" w:type="dxa"/>
            <w:vAlign w:val="top"/>
          </w:tcPr>
          <w:p>
            <w:pPr>
              <w:spacing w:before="152" w:line="220" w:lineRule="auto"/>
              <w:ind w:left="94"/>
              <w:rPr>
                <w:rFonts w:ascii="宋体" w:hAnsi="宋体" w:eastAsia="宋体" w:cs="宋体"/>
                <w:color w:val="auto"/>
                <w:sz w:val="21"/>
                <w:szCs w:val="21"/>
              </w:rPr>
            </w:pPr>
            <w:r>
              <w:rPr>
                <w:rFonts w:ascii="宋体" w:hAnsi="宋体" w:eastAsia="宋体" w:cs="宋体"/>
                <w:color w:val="auto"/>
                <w:spacing w:val="6"/>
                <w:sz w:val="21"/>
                <w:szCs w:val="21"/>
              </w:rPr>
              <w:t>项目支出</w:t>
            </w:r>
          </w:p>
        </w:tc>
        <w:tc>
          <w:tcPr>
            <w:tcW w:w="1583" w:type="dxa"/>
            <w:vAlign w:val="center"/>
          </w:tcPr>
          <w:p>
            <w:pPr>
              <w:jc w:val="center"/>
              <w:rPr>
                <w:rFonts w:hint="default" w:ascii="Arial" w:eastAsia="宋体"/>
                <w:color w:val="auto"/>
                <w:sz w:val="21"/>
                <w:lang w:val="en-US" w:eastAsia="zh-CN"/>
              </w:rPr>
            </w:pPr>
          </w:p>
        </w:tc>
        <w:tc>
          <w:tcPr>
            <w:tcW w:w="2325" w:type="dxa"/>
            <w:vAlign w:val="center"/>
          </w:tcPr>
          <w:p>
            <w:pPr>
              <w:jc w:val="center"/>
              <w:rPr>
                <w:rFonts w:hint="default" w:ascii="Arial" w:eastAsia="宋体"/>
                <w:color w:val="auto"/>
                <w:sz w:val="21"/>
                <w:lang w:val="en-US" w:eastAsia="zh-CN"/>
              </w:rPr>
            </w:pPr>
            <w:r>
              <w:rPr>
                <w:rFonts w:hint="eastAsia" w:ascii="Arial"/>
                <w:color w:val="auto"/>
                <w:sz w:val="21"/>
                <w:lang w:val="en-US" w:eastAsia="zh-CN"/>
              </w:rPr>
              <w:t>9</w:t>
            </w:r>
          </w:p>
        </w:tc>
        <w:tc>
          <w:tcPr>
            <w:tcW w:w="1770" w:type="dxa"/>
            <w:vAlign w:val="center"/>
          </w:tcPr>
          <w:p>
            <w:pPr>
              <w:jc w:val="center"/>
              <w:rPr>
                <w:rFonts w:ascii="Arial"/>
                <w:color w:val="auto"/>
                <w:sz w:val="21"/>
              </w:rPr>
            </w:pPr>
            <w:r>
              <w:rPr>
                <w:rFonts w:hint="eastAsia" w:eastAsia="宋体"/>
                <w:color w:val="auto"/>
                <w:sz w:val="21"/>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3221" w:type="dxa"/>
            <w:vAlign w:val="top"/>
          </w:tcPr>
          <w:p>
            <w:pPr>
              <w:spacing w:before="202" w:line="209" w:lineRule="auto"/>
              <w:ind w:left="505"/>
              <w:rPr>
                <w:rFonts w:ascii="宋体" w:hAnsi="宋体" w:eastAsia="宋体" w:cs="宋体"/>
                <w:color w:val="auto"/>
                <w:sz w:val="21"/>
                <w:szCs w:val="21"/>
              </w:rPr>
            </w:pPr>
            <w:r>
              <w:rPr>
                <w:rFonts w:ascii="宋体" w:hAnsi="宋体" w:eastAsia="宋体" w:cs="宋体"/>
                <w:color w:val="auto"/>
                <w:spacing w:val="-1"/>
                <w:sz w:val="21"/>
                <w:szCs w:val="21"/>
              </w:rPr>
              <w:t>其中：1、运行维护经费</w:t>
            </w:r>
          </w:p>
        </w:tc>
        <w:tc>
          <w:tcPr>
            <w:tcW w:w="1583" w:type="dxa"/>
            <w:vAlign w:val="center"/>
          </w:tcPr>
          <w:p>
            <w:pPr>
              <w:jc w:val="center"/>
              <w:rPr>
                <w:rFonts w:ascii="Arial"/>
                <w:color w:val="auto"/>
                <w:sz w:val="21"/>
              </w:rPr>
            </w:pPr>
          </w:p>
        </w:tc>
        <w:tc>
          <w:tcPr>
            <w:tcW w:w="2325" w:type="dxa"/>
            <w:vAlign w:val="center"/>
          </w:tcPr>
          <w:p>
            <w:pPr>
              <w:jc w:val="center"/>
              <w:rPr>
                <w:rFonts w:ascii="Arial"/>
                <w:color w:val="auto"/>
                <w:sz w:val="21"/>
              </w:rPr>
            </w:pPr>
          </w:p>
        </w:tc>
        <w:tc>
          <w:tcPr>
            <w:tcW w:w="1770"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221" w:type="dxa"/>
            <w:vAlign w:val="top"/>
          </w:tcPr>
          <w:p>
            <w:pPr>
              <w:spacing w:before="81" w:line="193" w:lineRule="auto"/>
              <w:ind w:left="1085"/>
              <w:rPr>
                <w:rFonts w:ascii="宋体" w:hAnsi="宋体" w:eastAsia="宋体" w:cs="宋体"/>
                <w:color w:val="auto"/>
                <w:sz w:val="21"/>
                <w:szCs w:val="21"/>
              </w:rPr>
            </w:pPr>
            <w:r>
              <w:rPr>
                <w:rFonts w:ascii="宋体" w:hAnsi="宋体" w:eastAsia="宋体" w:cs="宋体"/>
                <w:color w:val="auto"/>
                <w:spacing w:val="-2"/>
                <w:sz w:val="21"/>
                <w:szCs w:val="21"/>
              </w:rPr>
              <w:t>2、专项资金</w:t>
            </w:r>
          </w:p>
          <w:p>
            <w:pPr>
              <w:spacing w:line="219" w:lineRule="auto"/>
              <w:ind w:left="964"/>
              <w:rPr>
                <w:rFonts w:ascii="宋体" w:hAnsi="宋体" w:eastAsia="宋体" w:cs="宋体"/>
                <w:color w:val="auto"/>
                <w:sz w:val="21"/>
                <w:szCs w:val="21"/>
              </w:rPr>
            </w:pPr>
            <w:r>
              <w:rPr>
                <w:rFonts w:ascii="宋体" w:hAnsi="宋体" w:eastAsia="宋体" w:cs="宋体"/>
                <w:color w:val="auto"/>
                <w:spacing w:val="5"/>
                <w:sz w:val="21"/>
                <w:szCs w:val="21"/>
              </w:rPr>
              <w:t>(一个项目一行)</w:t>
            </w:r>
          </w:p>
        </w:tc>
        <w:tc>
          <w:tcPr>
            <w:tcW w:w="1583" w:type="dxa"/>
            <w:vAlign w:val="center"/>
          </w:tcPr>
          <w:p>
            <w:pPr>
              <w:jc w:val="center"/>
              <w:rPr>
                <w:rFonts w:ascii="Arial"/>
                <w:color w:val="auto"/>
                <w:sz w:val="21"/>
              </w:rPr>
            </w:pPr>
          </w:p>
        </w:tc>
        <w:tc>
          <w:tcPr>
            <w:tcW w:w="2325" w:type="dxa"/>
            <w:vAlign w:val="center"/>
          </w:tcPr>
          <w:p>
            <w:pPr>
              <w:jc w:val="center"/>
              <w:rPr>
                <w:rFonts w:ascii="Arial"/>
                <w:color w:val="auto"/>
                <w:sz w:val="21"/>
              </w:rPr>
            </w:pPr>
          </w:p>
        </w:tc>
        <w:tc>
          <w:tcPr>
            <w:tcW w:w="1770"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221" w:type="dxa"/>
            <w:vAlign w:val="center"/>
          </w:tcPr>
          <w:p>
            <w:pPr>
              <w:spacing w:line="219" w:lineRule="auto"/>
              <w:ind w:left="964"/>
              <w:jc w:val="both"/>
              <w:rPr>
                <w:rFonts w:hint="eastAsia" w:ascii="宋体" w:hAnsi="宋体" w:eastAsia="宋体" w:cs="宋体"/>
                <w:color w:val="auto"/>
                <w:spacing w:val="5"/>
                <w:sz w:val="21"/>
                <w:szCs w:val="21"/>
                <w:lang w:eastAsia="zh-CN"/>
              </w:rPr>
            </w:pPr>
            <w:r>
              <w:rPr>
                <w:rFonts w:hint="eastAsia" w:ascii="宋体" w:hAnsi="宋体" w:eastAsia="宋体" w:cs="宋体"/>
                <w:color w:val="auto"/>
                <w:spacing w:val="5"/>
                <w:sz w:val="21"/>
                <w:szCs w:val="21"/>
                <w:lang w:eastAsia="zh-CN"/>
              </w:rPr>
              <w:t>人工鱼巢项目</w:t>
            </w:r>
          </w:p>
        </w:tc>
        <w:tc>
          <w:tcPr>
            <w:tcW w:w="1583" w:type="dxa"/>
            <w:vAlign w:val="center"/>
          </w:tcPr>
          <w:p>
            <w:pPr>
              <w:jc w:val="center"/>
              <w:rPr>
                <w:rFonts w:ascii="Arial"/>
                <w:color w:val="auto"/>
                <w:sz w:val="21"/>
              </w:rPr>
            </w:pPr>
          </w:p>
        </w:tc>
        <w:tc>
          <w:tcPr>
            <w:tcW w:w="2325" w:type="dxa"/>
            <w:vAlign w:val="center"/>
          </w:tcPr>
          <w:p>
            <w:pPr>
              <w:jc w:val="center"/>
              <w:rPr>
                <w:rFonts w:ascii="Arial"/>
                <w:color w:val="auto"/>
                <w:sz w:val="21"/>
              </w:rPr>
            </w:pPr>
            <w:r>
              <w:rPr>
                <w:rFonts w:hint="eastAsia" w:eastAsia="宋体"/>
                <w:color w:val="auto"/>
                <w:sz w:val="21"/>
                <w:lang w:val="en-US" w:eastAsia="zh-CN"/>
              </w:rPr>
              <w:t>9</w:t>
            </w:r>
          </w:p>
        </w:tc>
        <w:tc>
          <w:tcPr>
            <w:tcW w:w="1770" w:type="dxa"/>
            <w:vAlign w:val="center"/>
          </w:tcPr>
          <w:p>
            <w:pPr>
              <w:jc w:val="center"/>
              <w:rPr>
                <w:rFonts w:hint="eastAsia" w:ascii="Arial" w:eastAsia="宋体"/>
                <w:color w:val="auto"/>
                <w:sz w:val="21"/>
                <w:lang w:val="en-US" w:eastAsia="zh-CN"/>
              </w:rPr>
            </w:pPr>
            <w:r>
              <w:rPr>
                <w:rFonts w:hint="eastAsia" w:ascii="Arial"/>
                <w:color w:val="auto"/>
                <w:sz w:val="21"/>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221" w:type="dxa"/>
            <w:vAlign w:val="center"/>
          </w:tcPr>
          <w:p>
            <w:pPr>
              <w:spacing w:line="219" w:lineRule="auto"/>
              <w:ind w:left="964"/>
              <w:jc w:val="both"/>
              <w:rPr>
                <w:rFonts w:hint="eastAsia" w:ascii="宋体" w:hAnsi="宋体" w:eastAsia="宋体" w:cs="宋体"/>
                <w:color w:val="auto"/>
                <w:spacing w:val="5"/>
                <w:sz w:val="21"/>
                <w:szCs w:val="21"/>
                <w:lang w:eastAsia="zh-CN"/>
              </w:rPr>
            </w:pPr>
          </w:p>
        </w:tc>
        <w:tc>
          <w:tcPr>
            <w:tcW w:w="1583" w:type="dxa"/>
            <w:vAlign w:val="center"/>
          </w:tcPr>
          <w:p>
            <w:pPr>
              <w:jc w:val="center"/>
              <w:rPr>
                <w:rFonts w:ascii="Arial"/>
                <w:color w:val="auto"/>
                <w:sz w:val="21"/>
              </w:rPr>
            </w:pPr>
          </w:p>
        </w:tc>
        <w:tc>
          <w:tcPr>
            <w:tcW w:w="2325" w:type="dxa"/>
            <w:vAlign w:val="center"/>
          </w:tcPr>
          <w:p>
            <w:pPr>
              <w:jc w:val="center"/>
              <w:rPr>
                <w:rFonts w:ascii="Arial"/>
                <w:color w:val="auto"/>
                <w:sz w:val="21"/>
              </w:rPr>
            </w:pPr>
          </w:p>
        </w:tc>
        <w:tc>
          <w:tcPr>
            <w:tcW w:w="1770" w:type="dxa"/>
            <w:vAlign w:val="center"/>
          </w:tcPr>
          <w:p>
            <w:pPr>
              <w:jc w:val="center"/>
              <w:rPr>
                <w:rFonts w:hint="eastAsia" w:ascii="Arial"/>
                <w:color w:val="auto"/>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221" w:type="dxa"/>
            <w:vAlign w:val="center"/>
          </w:tcPr>
          <w:p>
            <w:pPr>
              <w:spacing w:line="219" w:lineRule="auto"/>
              <w:ind w:left="964"/>
              <w:jc w:val="both"/>
              <w:rPr>
                <w:rFonts w:hint="eastAsia" w:ascii="宋体" w:hAnsi="宋体" w:eastAsia="宋体" w:cs="宋体"/>
                <w:color w:val="auto"/>
                <w:spacing w:val="5"/>
                <w:sz w:val="21"/>
                <w:szCs w:val="21"/>
                <w:lang w:eastAsia="zh-CN"/>
              </w:rPr>
            </w:pPr>
          </w:p>
        </w:tc>
        <w:tc>
          <w:tcPr>
            <w:tcW w:w="1583" w:type="dxa"/>
            <w:vAlign w:val="center"/>
          </w:tcPr>
          <w:p>
            <w:pPr>
              <w:jc w:val="center"/>
              <w:rPr>
                <w:rFonts w:ascii="Arial"/>
                <w:color w:val="auto"/>
                <w:sz w:val="21"/>
              </w:rPr>
            </w:pPr>
          </w:p>
        </w:tc>
        <w:tc>
          <w:tcPr>
            <w:tcW w:w="2325" w:type="dxa"/>
            <w:vAlign w:val="center"/>
          </w:tcPr>
          <w:p>
            <w:pPr>
              <w:jc w:val="center"/>
              <w:rPr>
                <w:rFonts w:ascii="Arial"/>
                <w:color w:val="auto"/>
                <w:sz w:val="21"/>
              </w:rPr>
            </w:pPr>
          </w:p>
        </w:tc>
        <w:tc>
          <w:tcPr>
            <w:tcW w:w="1770" w:type="dxa"/>
            <w:vAlign w:val="center"/>
          </w:tcPr>
          <w:p>
            <w:pPr>
              <w:jc w:val="center"/>
              <w:rPr>
                <w:rFonts w:hint="eastAsia" w:ascii="Arial"/>
                <w:color w:val="auto"/>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221" w:type="dxa"/>
            <w:vAlign w:val="center"/>
          </w:tcPr>
          <w:p>
            <w:pPr>
              <w:spacing w:line="219" w:lineRule="auto"/>
              <w:ind w:left="964"/>
              <w:jc w:val="both"/>
              <w:rPr>
                <w:rFonts w:hint="eastAsia" w:ascii="宋体" w:hAnsi="宋体" w:eastAsia="宋体" w:cs="宋体"/>
                <w:color w:val="auto"/>
                <w:spacing w:val="5"/>
                <w:sz w:val="21"/>
                <w:szCs w:val="21"/>
                <w:lang w:eastAsia="zh-CN"/>
              </w:rPr>
            </w:pPr>
          </w:p>
        </w:tc>
        <w:tc>
          <w:tcPr>
            <w:tcW w:w="1583" w:type="dxa"/>
            <w:vAlign w:val="center"/>
          </w:tcPr>
          <w:p>
            <w:pPr>
              <w:jc w:val="center"/>
              <w:rPr>
                <w:rFonts w:ascii="Arial"/>
                <w:color w:val="auto"/>
                <w:sz w:val="21"/>
              </w:rPr>
            </w:pPr>
          </w:p>
        </w:tc>
        <w:tc>
          <w:tcPr>
            <w:tcW w:w="2325" w:type="dxa"/>
            <w:vAlign w:val="center"/>
          </w:tcPr>
          <w:p>
            <w:pPr>
              <w:jc w:val="center"/>
              <w:rPr>
                <w:rFonts w:ascii="Arial"/>
                <w:color w:val="auto"/>
                <w:sz w:val="21"/>
              </w:rPr>
            </w:pPr>
          </w:p>
        </w:tc>
        <w:tc>
          <w:tcPr>
            <w:tcW w:w="1770" w:type="dxa"/>
            <w:vAlign w:val="center"/>
          </w:tcPr>
          <w:p>
            <w:pPr>
              <w:jc w:val="center"/>
              <w:rPr>
                <w:rFonts w:hint="eastAsia" w:ascii="Arial"/>
                <w:color w:val="auto"/>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221" w:type="dxa"/>
            <w:vAlign w:val="center"/>
          </w:tcPr>
          <w:p>
            <w:pPr>
              <w:spacing w:line="219" w:lineRule="auto"/>
              <w:ind w:left="964"/>
              <w:jc w:val="both"/>
              <w:rPr>
                <w:rFonts w:hint="eastAsia" w:ascii="宋体" w:hAnsi="宋体" w:eastAsia="宋体" w:cs="宋体"/>
                <w:color w:val="auto"/>
                <w:spacing w:val="5"/>
                <w:sz w:val="21"/>
                <w:szCs w:val="21"/>
                <w:lang w:eastAsia="zh-CN"/>
              </w:rPr>
            </w:pPr>
          </w:p>
        </w:tc>
        <w:tc>
          <w:tcPr>
            <w:tcW w:w="1583" w:type="dxa"/>
            <w:vAlign w:val="center"/>
          </w:tcPr>
          <w:p>
            <w:pPr>
              <w:jc w:val="center"/>
              <w:rPr>
                <w:rFonts w:ascii="Arial"/>
                <w:color w:val="auto"/>
                <w:sz w:val="21"/>
              </w:rPr>
            </w:pPr>
          </w:p>
        </w:tc>
        <w:tc>
          <w:tcPr>
            <w:tcW w:w="2325" w:type="dxa"/>
            <w:vAlign w:val="center"/>
          </w:tcPr>
          <w:p>
            <w:pPr>
              <w:jc w:val="center"/>
              <w:rPr>
                <w:rFonts w:ascii="Arial"/>
                <w:color w:val="auto"/>
                <w:sz w:val="21"/>
              </w:rPr>
            </w:pPr>
          </w:p>
        </w:tc>
        <w:tc>
          <w:tcPr>
            <w:tcW w:w="1770" w:type="dxa"/>
            <w:vAlign w:val="center"/>
          </w:tcPr>
          <w:p>
            <w:pPr>
              <w:jc w:val="center"/>
              <w:rPr>
                <w:rFonts w:hint="eastAsia" w:ascii="Arial"/>
                <w:color w:val="auto"/>
                <w:sz w:val="21"/>
                <w:lang w:val="en-US" w:eastAsia="zh-CN"/>
              </w:rPr>
            </w:pPr>
          </w:p>
        </w:tc>
      </w:tr>
    </w:tbl>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2</w:t>
      </w:r>
      <w:r>
        <w:rPr>
          <w:rFonts w:ascii="Times New Roman" w:hAnsi="Times New Roman" w:eastAsia="方正小标宋_GBK" w:cs="Times New Roman"/>
          <w:color w:val="000000"/>
          <w:kern w:val="0"/>
          <w:sz w:val="36"/>
          <w:szCs w:val="36"/>
        </w:rPr>
        <w:t>年度部门整体支出绩效自评表</w:t>
      </w:r>
    </w:p>
    <w:tbl>
      <w:tblPr>
        <w:tblStyle w:val="9"/>
        <w:tblW w:w="9993" w:type="dxa"/>
        <w:jc w:val="center"/>
        <w:tblLayout w:type="autofit"/>
        <w:tblCellMar>
          <w:top w:w="0" w:type="dxa"/>
          <w:left w:w="108" w:type="dxa"/>
          <w:bottom w:w="0" w:type="dxa"/>
          <w:right w:w="108" w:type="dxa"/>
        </w:tblCellMar>
      </w:tblPr>
      <w:tblGrid>
        <w:gridCol w:w="1080"/>
        <w:gridCol w:w="1080"/>
        <w:gridCol w:w="1060"/>
        <w:gridCol w:w="1149"/>
        <w:gridCol w:w="95"/>
        <w:gridCol w:w="1200"/>
        <w:gridCol w:w="1276"/>
        <w:gridCol w:w="812"/>
        <w:gridCol w:w="889"/>
        <w:gridCol w:w="1352"/>
      </w:tblGrid>
      <w:tr>
        <w:tblPrEx>
          <w:tblCellMar>
            <w:top w:w="0" w:type="dxa"/>
            <w:left w:w="108" w:type="dxa"/>
            <w:bottom w:w="0" w:type="dxa"/>
            <w:right w:w="108" w:type="dxa"/>
          </w:tblCellMar>
        </w:tblPrEx>
        <w:trPr>
          <w:trHeight w:val="45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预算部门</w:t>
            </w:r>
          </w:p>
        </w:tc>
        <w:tc>
          <w:tcPr>
            <w:tcW w:w="8913"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益阳市资阳区特种养殖实验场</w:t>
            </w: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550" w:hRule="atLeast"/>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年度预</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算申请</w:t>
            </w:r>
            <w:r>
              <w:rPr>
                <w:rFonts w:ascii="Times New Roman" w:hAnsi="Times New Roman" w:eastAsia="仿宋_GB2312" w:cs="Times New Roman"/>
                <w:color w:val="000000"/>
                <w:kern w:val="0"/>
                <w:sz w:val="21"/>
                <w:szCs w:val="21"/>
              </w:rPr>
              <w:br w:type="textWrapping"/>
            </w:r>
            <w:r>
              <w:rPr>
                <w:rFonts w:ascii="Times New Roman" w:hAnsi="Times New Roman" w:eastAsia="仿宋_GB2312" w:cs="Times New Roman"/>
                <w:color w:val="000000"/>
                <w:kern w:val="0"/>
                <w:sz w:val="21"/>
                <w:szCs w:val="21"/>
              </w:rPr>
              <w:t>（万元）</w:t>
            </w:r>
          </w:p>
        </w:tc>
        <w:tc>
          <w:tcPr>
            <w:tcW w:w="2140"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p>
        </w:tc>
        <w:tc>
          <w:tcPr>
            <w:tcW w:w="1149"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年初</w:t>
            </w:r>
          </w:p>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预算数</w:t>
            </w:r>
          </w:p>
        </w:tc>
        <w:tc>
          <w:tcPr>
            <w:tcW w:w="1295"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全年预算数</w:t>
            </w:r>
          </w:p>
        </w:tc>
        <w:tc>
          <w:tcPr>
            <w:tcW w:w="1276"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全年执行数</w:t>
            </w:r>
          </w:p>
        </w:tc>
        <w:tc>
          <w:tcPr>
            <w:tcW w:w="812"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分值</w:t>
            </w:r>
          </w:p>
        </w:tc>
        <w:tc>
          <w:tcPr>
            <w:tcW w:w="889"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执行率</w:t>
            </w:r>
          </w:p>
        </w:tc>
        <w:tc>
          <w:tcPr>
            <w:tcW w:w="1352"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得分</w:t>
            </w:r>
          </w:p>
        </w:tc>
      </w:tr>
      <w:tr>
        <w:tblPrEx>
          <w:tblCellMar>
            <w:top w:w="0" w:type="dxa"/>
            <w:left w:w="108" w:type="dxa"/>
            <w:bottom w:w="0" w:type="dxa"/>
            <w:right w:w="108" w:type="dxa"/>
          </w:tblCellMar>
        </w:tblPrEx>
        <w:trPr>
          <w:trHeight w:val="410" w:hRule="atLeast"/>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2140"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color w:val="000000"/>
                <w:kern w:val="0"/>
                <w:sz w:val="21"/>
                <w:szCs w:val="21"/>
              </w:rPr>
              <w:t>年度资金总额</w:t>
            </w:r>
          </w:p>
        </w:tc>
        <w:tc>
          <w:tcPr>
            <w:tcW w:w="1149"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hint="eastAsia" w:ascii="Arial"/>
                <w:color w:val="auto"/>
                <w:sz w:val="21"/>
                <w:lang w:val="en-US" w:eastAsia="zh-CN"/>
              </w:rPr>
              <w:t>98.74</w:t>
            </w:r>
          </w:p>
        </w:tc>
        <w:tc>
          <w:tcPr>
            <w:tcW w:w="1295"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hint="eastAsia" w:ascii="Arial"/>
                <w:color w:val="auto"/>
                <w:sz w:val="21"/>
                <w:lang w:val="en-US" w:eastAsia="zh-CN"/>
              </w:rPr>
              <w:t>109.38</w:t>
            </w:r>
          </w:p>
        </w:tc>
        <w:tc>
          <w:tcPr>
            <w:tcW w:w="1276"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hint="eastAsia" w:ascii="Arial"/>
                <w:color w:val="auto"/>
                <w:sz w:val="21"/>
                <w:lang w:val="en-US" w:eastAsia="zh-CN"/>
              </w:rPr>
              <w:t>109.38</w:t>
            </w:r>
          </w:p>
        </w:tc>
        <w:tc>
          <w:tcPr>
            <w:tcW w:w="812" w:type="dxa"/>
            <w:tcBorders>
              <w:top w:val="nil"/>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sz w:val="21"/>
                <w:szCs w:val="21"/>
                <w:lang w:eastAsia="zh-CN"/>
              </w:rPr>
            </w:pPr>
            <w:r>
              <w:rPr>
                <w:rFonts w:ascii="Times New Roman" w:hAnsi="Times New Roman" w:eastAsia="仿宋_GB2312" w:cs="Times New Roman"/>
                <w:sz w:val="21"/>
                <w:szCs w:val="21"/>
              </w:rPr>
              <w:t>10</w:t>
            </w:r>
            <w:r>
              <w:rPr>
                <w:rFonts w:hint="eastAsia" w:ascii="Times New Roman" w:hAnsi="Times New Roman" w:cs="Times New Roman"/>
                <w:sz w:val="21"/>
                <w:szCs w:val="21"/>
                <w:lang w:eastAsia="zh-CN"/>
              </w:rPr>
              <w:t>分</w:t>
            </w:r>
          </w:p>
        </w:tc>
        <w:tc>
          <w:tcPr>
            <w:tcW w:w="889"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100%</w:t>
            </w:r>
          </w:p>
        </w:tc>
        <w:tc>
          <w:tcPr>
            <w:tcW w:w="1352"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w:t>
            </w:r>
          </w:p>
        </w:tc>
      </w:tr>
      <w:tr>
        <w:tblPrEx>
          <w:tblCellMar>
            <w:top w:w="0" w:type="dxa"/>
            <w:left w:w="108" w:type="dxa"/>
            <w:bottom w:w="0" w:type="dxa"/>
            <w:right w:w="108" w:type="dxa"/>
          </w:tblCellMar>
        </w:tblPrEx>
        <w:trPr>
          <w:trHeight w:val="485"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按收入性质分：</w:t>
            </w:r>
            <w:r>
              <w:rPr>
                <w:rFonts w:hint="eastAsia" w:ascii="Times New Roman" w:hAnsi="Times New Roman" w:eastAsia="仿宋_GB2312" w:cs="Times New Roman"/>
                <w:color w:val="000000"/>
                <w:kern w:val="0"/>
                <w:sz w:val="21"/>
                <w:szCs w:val="21"/>
                <w:lang w:val="en-US" w:eastAsia="zh-CN"/>
              </w:rPr>
              <w:t>109.38</w:t>
            </w:r>
          </w:p>
        </w:tc>
        <w:tc>
          <w:tcPr>
            <w:tcW w:w="432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按支出性质分：</w:t>
            </w:r>
            <w:r>
              <w:rPr>
                <w:rFonts w:hint="eastAsia" w:ascii="Times New Roman" w:hAnsi="Times New Roman" w:eastAsia="仿宋_GB2312" w:cs="Times New Roman"/>
                <w:color w:val="000000"/>
                <w:kern w:val="0"/>
                <w:sz w:val="21"/>
                <w:szCs w:val="21"/>
                <w:lang w:val="en-US" w:eastAsia="zh-CN"/>
              </w:rPr>
              <w:t>109.38</w:t>
            </w:r>
          </w:p>
        </w:tc>
      </w:tr>
      <w:tr>
        <w:tblPrEx>
          <w:tblCellMar>
            <w:top w:w="0" w:type="dxa"/>
            <w:left w:w="108" w:type="dxa"/>
            <w:bottom w:w="0" w:type="dxa"/>
            <w:right w:w="108" w:type="dxa"/>
          </w:tblCellMar>
        </w:tblPrEx>
        <w:trPr>
          <w:trHeight w:val="41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xml:space="preserve">  其中：  一般公共预算：</w:t>
            </w:r>
            <w:r>
              <w:rPr>
                <w:rFonts w:hint="eastAsia" w:ascii="Times New Roman" w:hAnsi="Times New Roman" w:eastAsia="仿宋_GB2312" w:cs="Times New Roman"/>
                <w:color w:val="000000"/>
                <w:kern w:val="0"/>
                <w:sz w:val="21"/>
                <w:szCs w:val="21"/>
                <w:lang w:val="en-US" w:eastAsia="zh-CN"/>
              </w:rPr>
              <w:t>109.38</w:t>
            </w:r>
          </w:p>
        </w:tc>
        <w:tc>
          <w:tcPr>
            <w:tcW w:w="432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其中：基本支出：</w:t>
            </w:r>
            <w:r>
              <w:rPr>
                <w:rFonts w:hint="eastAsia" w:ascii="Times New Roman" w:hAnsi="Times New Roman" w:eastAsia="仿宋_GB2312" w:cs="Times New Roman"/>
                <w:color w:val="000000"/>
                <w:kern w:val="0"/>
                <w:sz w:val="21"/>
                <w:szCs w:val="21"/>
                <w:lang w:val="en-US" w:eastAsia="zh-CN"/>
              </w:rPr>
              <w:t>100.38</w:t>
            </w:r>
          </w:p>
        </w:tc>
      </w:tr>
      <w:tr>
        <w:tblPrEx>
          <w:tblCellMar>
            <w:top w:w="0" w:type="dxa"/>
            <w:left w:w="108" w:type="dxa"/>
            <w:bottom w:w="0" w:type="dxa"/>
            <w:right w:w="108" w:type="dxa"/>
          </w:tblCellMar>
        </w:tblPrEx>
        <w:trPr>
          <w:trHeight w:val="455"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ind w:firstLine="840" w:firstLineChars="4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政府性基金拨款：</w:t>
            </w:r>
          </w:p>
        </w:tc>
        <w:tc>
          <w:tcPr>
            <w:tcW w:w="4329" w:type="dxa"/>
            <w:gridSpan w:val="4"/>
            <w:tcBorders>
              <w:top w:val="nil"/>
              <w:left w:val="nil"/>
              <w:bottom w:val="single" w:color="auto" w:sz="4" w:space="0"/>
              <w:right w:val="single" w:color="auto" w:sz="4" w:space="0"/>
            </w:tcBorders>
            <w:noWrap w:val="0"/>
            <w:vAlign w:val="center"/>
          </w:tcPr>
          <w:p>
            <w:pPr>
              <w:widowControl/>
              <w:spacing w:line="240" w:lineRule="exact"/>
              <w:ind w:firstLine="630" w:firstLineChars="300"/>
              <w:jc w:val="left"/>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项目支出：</w:t>
            </w:r>
            <w:r>
              <w:rPr>
                <w:rFonts w:hint="eastAsia" w:ascii="Times New Roman" w:hAnsi="Times New Roman" w:eastAsia="仿宋_GB2312" w:cs="Times New Roman"/>
                <w:color w:val="000000"/>
                <w:kern w:val="0"/>
                <w:sz w:val="21"/>
                <w:szCs w:val="21"/>
                <w:lang w:val="en-US" w:eastAsia="zh-CN"/>
              </w:rPr>
              <w:t>9</w:t>
            </w:r>
          </w:p>
        </w:tc>
      </w:tr>
      <w:tr>
        <w:tblPrEx>
          <w:tblCellMar>
            <w:top w:w="0" w:type="dxa"/>
            <w:left w:w="108" w:type="dxa"/>
            <w:bottom w:w="0" w:type="dxa"/>
            <w:right w:w="108" w:type="dxa"/>
          </w:tblCellMar>
        </w:tblPrEx>
        <w:trPr>
          <w:trHeight w:val="455"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纳入专户管理的非税收入拨款：</w:t>
            </w:r>
          </w:p>
        </w:tc>
        <w:tc>
          <w:tcPr>
            <w:tcW w:w="432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trHeight w:val="450"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ind w:firstLine="1470" w:firstLineChars="7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其他资金：</w:t>
            </w:r>
          </w:p>
        </w:tc>
        <w:tc>
          <w:tcPr>
            <w:tcW w:w="432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trHeight w:val="330"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年度总体目标</w:t>
            </w:r>
          </w:p>
        </w:tc>
        <w:tc>
          <w:tcPr>
            <w:tcW w:w="4584" w:type="dxa"/>
            <w:gridSpan w:val="5"/>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预期目标</w:t>
            </w:r>
          </w:p>
        </w:tc>
        <w:tc>
          <w:tcPr>
            <w:tcW w:w="432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584"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exact"/>
              <w:jc w:val="left"/>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1.确保单位正常运转</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val="en-US" w:eastAsia="zh-CN"/>
              </w:rPr>
              <w:t>2.</w:t>
            </w:r>
            <w:r>
              <w:rPr>
                <w:rFonts w:hint="eastAsia" w:ascii="Times New Roman" w:hAnsi="Times New Roman" w:eastAsia="仿宋_GB2312" w:cs="Times New Roman"/>
                <w:color w:val="000000"/>
                <w:kern w:val="0"/>
                <w:sz w:val="21"/>
                <w:szCs w:val="21"/>
              </w:rPr>
              <w:t>提高预算执行力，合理高效使用财政预算资金，确保财政预算执行率100%</w:t>
            </w:r>
            <w:r>
              <w:rPr>
                <w:rFonts w:hint="eastAsia" w:ascii="Times New Roman" w:hAnsi="Times New Roman" w:eastAsia="仿宋_GB2312" w:cs="Times New Roman"/>
                <w:color w:val="000000"/>
                <w:kern w:val="0"/>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exact"/>
              <w:jc w:val="left"/>
              <w:textAlignment w:val="auto"/>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3.</w:t>
            </w:r>
            <w:r>
              <w:rPr>
                <w:rFonts w:hint="eastAsia" w:ascii="Times New Roman" w:hAnsi="Times New Roman" w:eastAsia="仿宋_GB2312" w:cs="Times New Roman"/>
                <w:color w:val="000000"/>
                <w:kern w:val="0"/>
                <w:sz w:val="21"/>
                <w:szCs w:val="21"/>
              </w:rPr>
              <w:t>提高特种养殖技术实验、示范能力与水平。</w:t>
            </w:r>
          </w:p>
          <w:p>
            <w:pPr>
              <w:pStyle w:val="8"/>
              <w:keepNext w:val="0"/>
              <w:keepLines w:val="0"/>
              <w:pageBreakBefore w:val="0"/>
              <w:kinsoku/>
              <w:wordWrap/>
              <w:overflowPunct/>
              <w:topLinePunct w:val="0"/>
              <w:autoSpaceDE/>
              <w:autoSpaceDN/>
              <w:bidi w:val="0"/>
              <w:adjustRightInd/>
              <w:snapToGrid/>
              <w:spacing w:before="0" w:beforeAutospacing="0" w:line="240" w:lineRule="exact"/>
              <w:ind w:left="0" w:leftChars="0" w:firstLine="0" w:firstLineChars="0"/>
              <w:jc w:val="left"/>
              <w:textAlignment w:val="auto"/>
              <w:rPr>
                <w:rFonts w:hint="default" w:eastAsia="仿宋_GB2312"/>
                <w:lang w:val="en-US" w:eastAsia="zh-CN"/>
              </w:rPr>
            </w:pPr>
            <w:r>
              <w:rPr>
                <w:rFonts w:hint="eastAsia" w:ascii="Times New Roman" w:hAnsi="Times New Roman" w:eastAsia="仿宋_GB2312" w:cs="Times New Roman"/>
                <w:color w:val="000000"/>
                <w:kern w:val="0"/>
                <w:sz w:val="21"/>
                <w:szCs w:val="21"/>
                <w:lang w:val="en-US" w:eastAsia="zh-CN"/>
              </w:rPr>
              <w:t>4.带动全区特种养殖技术水平的提升。</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432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exact"/>
              <w:jc w:val="left"/>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1.单位正常运转。</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val="en-US" w:eastAsia="zh-CN"/>
              </w:rPr>
              <w:t>2.</w:t>
            </w:r>
            <w:r>
              <w:rPr>
                <w:rFonts w:hint="eastAsia" w:ascii="Times New Roman" w:hAnsi="Times New Roman" w:eastAsia="仿宋_GB2312" w:cs="Times New Roman"/>
                <w:color w:val="000000"/>
                <w:kern w:val="0"/>
                <w:sz w:val="21"/>
                <w:szCs w:val="21"/>
              </w:rPr>
              <w:t>提高预算执行力，合理高效使用财政预算资金，财政预算执行率100%</w:t>
            </w:r>
            <w:r>
              <w:rPr>
                <w:rFonts w:hint="eastAsia" w:ascii="Times New Roman" w:hAnsi="Times New Roman" w:eastAsia="仿宋_GB2312" w:cs="Times New Roman"/>
                <w:color w:val="000000"/>
                <w:kern w:val="0"/>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exact"/>
              <w:jc w:val="left"/>
              <w:textAlignment w:val="auto"/>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3.</w:t>
            </w:r>
            <w:r>
              <w:rPr>
                <w:rFonts w:hint="eastAsia" w:ascii="Times New Roman" w:hAnsi="Times New Roman" w:eastAsia="仿宋_GB2312" w:cs="Times New Roman"/>
                <w:color w:val="000000"/>
                <w:kern w:val="0"/>
                <w:sz w:val="21"/>
                <w:szCs w:val="21"/>
              </w:rPr>
              <w:t>提高</w:t>
            </w:r>
            <w:r>
              <w:rPr>
                <w:rFonts w:hint="eastAsia" w:ascii="Times New Roman" w:hAnsi="Times New Roman" w:eastAsia="仿宋_GB2312" w:cs="Times New Roman"/>
                <w:color w:val="000000"/>
                <w:kern w:val="0"/>
                <w:sz w:val="21"/>
                <w:szCs w:val="21"/>
                <w:lang w:eastAsia="zh-CN"/>
              </w:rPr>
              <w:t>了</w:t>
            </w:r>
            <w:r>
              <w:rPr>
                <w:rFonts w:hint="eastAsia" w:ascii="Times New Roman" w:hAnsi="Times New Roman" w:eastAsia="仿宋_GB2312" w:cs="Times New Roman"/>
                <w:color w:val="000000"/>
                <w:kern w:val="0"/>
                <w:sz w:val="21"/>
                <w:szCs w:val="21"/>
              </w:rPr>
              <w:t>特种养殖技术实验、示范能力与水平。</w:t>
            </w:r>
          </w:p>
          <w:p>
            <w:pPr>
              <w:pStyle w:val="8"/>
              <w:keepNext w:val="0"/>
              <w:keepLines w:val="0"/>
              <w:pageBreakBefore w:val="0"/>
              <w:kinsoku/>
              <w:wordWrap/>
              <w:overflowPunct/>
              <w:topLinePunct w:val="0"/>
              <w:autoSpaceDE/>
              <w:autoSpaceDN/>
              <w:bidi w:val="0"/>
              <w:adjustRightInd/>
              <w:snapToGrid/>
              <w:spacing w:before="0" w:beforeAutospacing="0" w:line="240" w:lineRule="exact"/>
              <w:ind w:left="0" w:leftChars="0" w:firstLine="0" w:firstLineChars="0"/>
              <w:jc w:val="left"/>
              <w:textAlignment w:val="auto"/>
              <w:rPr>
                <w:rFonts w:hint="default" w:eastAsia="仿宋_GB2312"/>
                <w:lang w:val="en-US" w:eastAsia="zh-CN"/>
              </w:rPr>
            </w:pPr>
            <w:r>
              <w:rPr>
                <w:rFonts w:hint="eastAsia" w:ascii="Times New Roman" w:hAnsi="Times New Roman" w:eastAsia="仿宋_GB2312" w:cs="Times New Roman"/>
                <w:color w:val="000000"/>
                <w:kern w:val="0"/>
                <w:sz w:val="21"/>
                <w:szCs w:val="21"/>
                <w:lang w:val="en-US" w:eastAsia="zh-CN"/>
              </w:rPr>
              <w:t>4.提升了养殖从业人员的技术水平。</w:t>
            </w:r>
          </w:p>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绩</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标</w:t>
            </w:r>
          </w:p>
          <w:p>
            <w:pPr>
              <w:widowControl/>
              <w:spacing w:line="240" w:lineRule="exact"/>
              <w:jc w:val="center"/>
              <w:rPr>
                <w:rFonts w:ascii="Times New Roman" w:hAnsi="Times New Roman" w:eastAsia="仿宋_GB2312" w:cs="Times New Roman"/>
                <w:color w:val="000000"/>
                <w:kern w:val="0"/>
                <w:sz w:val="21"/>
                <w:szCs w:val="21"/>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一级指标</w:t>
            </w:r>
          </w:p>
        </w:tc>
        <w:tc>
          <w:tcPr>
            <w:tcW w:w="106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二级指标</w:t>
            </w:r>
          </w:p>
        </w:tc>
        <w:tc>
          <w:tcPr>
            <w:tcW w:w="124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三级指标</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指标值</w:t>
            </w:r>
          </w:p>
        </w:tc>
        <w:tc>
          <w:tcPr>
            <w:tcW w:w="1276" w:type="dxa"/>
            <w:tcBorders>
              <w:top w:val="nil"/>
              <w:left w:val="nil"/>
              <w:bottom w:val="single" w:color="auto" w:sz="4" w:space="0"/>
              <w:right w:val="single" w:color="auto" w:sz="4" w:space="0"/>
            </w:tcBorders>
            <w:noWrap w:val="0"/>
            <w:vAlign w:val="center"/>
          </w:tcPr>
          <w:p>
            <w:pPr>
              <w:widowControl/>
              <w:spacing w:line="240" w:lineRule="exac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实际完成值</w:t>
            </w:r>
          </w:p>
        </w:tc>
        <w:tc>
          <w:tcPr>
            <w:tcW w:w="81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分值</w:t>
            </w:r>
          </w:p>
        </w:tc>
        <w:tc>
          <w:tcPr>
            <w:tcW w:w="889"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得分</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偏差原因</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分析及</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trHeight w:val="70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bookmarkStart w:id="0" w:name="OLE_LINK2" w:colFirst="7" w:colLast="7"/>
            <w:bookmarkStart w:id="1" w:name="OLE_LINK1" w:colFirst="6" w:colLast="6"/>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产出指标</w:t>
            </w:r>
          </w:p>
          <w:p>
            <w:pPr>
              <w:widowControl/>
              <w:spacing w:line="240" w:lineRule="exact"/>
              <w:jc w:val="center"/>
              <w:rPr>
                <w:rFonts w:ascii="Times New Roman" w:hAnsi="Times New Roman" w:eastAsia="仿宋_GB2312" w:cs="Times New Roman"/>
                <w:color w:val="000000"/>
                <w:kern w:val="0"/>
                <w:sz w:val="21"/>
                <w:szCs w:val="21"/>
              </w:rPr>
            </w:pPr>
          </w:p>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w:t>
            </w:r>
            <w:r>
              <w:rPr>
                <w:rFonts w:ascii="Times New Roman" w:hAnsi="Times New Roman" w:eastAsia="仿宋_GB2312" w:cs="Times New Roman"/>
                <w:color w:val="000000"/>
                <w:kern w:val="0"/>
                <w:sz w:val="21"/>
                <w:szCs w:val="21"/>
              </w:rPr>
              <w:t>50分</w:t>
            </w:r>
            <w:r>
              <w:rPr>
                <w:rFonts w:hint="eastAsia" w:ascii="Times New Roman" w:hAnsi="Times New Roman" w:cs="Times New Roman"/>
                <w:color w:val="000000"/>
                <w:kern w:val="0"/>
                <w:sz w:val="21"/>
                <w:szCs w:val="21"/>
                <w:lang w:eastAsia="zh-CN"/>
              </w:rPr>
              <w:t>）</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数量指标</w:t>
            </w:r>
          </w:p>
        </w:tc>
        <w:tc>
          <w:tcPr>
            <w:tcW w:w="1244"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人员类经费</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93.24</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93.24</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9</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9</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715"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质量指标</w:t>
            </w:r>
          </w:p>
        </w:tc>
        <w:tc>
          <w:tcPr>
            <w:tcW w:w="1244"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eastAsia="zh-CN"/>
              </w:rPr>
              <w:t>人工鱼巢数量</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9000个</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9000个</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9</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9</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时效指标</w:t>
            </w:r>
          </w:p>
        </w:tc>
        <w:tc>
          <w:tcPr>
            <w:tcW w:w="12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jc w:val="left"/>
              <w:textAlignment w:val="baseline"/>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主要工作按计划完成程度</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jc w:val="left"/>
              <w:textAlignment w:val="baseline"/>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按年度计划完成</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jc w:val="left"/>
              <w:textAlignment w:val="baseline"/>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已按年度计划完成</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9</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8</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人工鱼巢拆除不及时</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244"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eastAsia="zh-CN"/>
              </w:rPr>
            </w:pPr>
            <w:r>
              <w:rPr>
                <w:rFonts w:hint="eastAsia" w:cs="宋体" w:asciiTheme="minorEastAsia" w:hAnsiTheme="minorEastAsia" w:eastAsiaTheme="minorEastAsia"/>
                <w:color w:val="000000" w:themeColor="text1"/>
                <w:kern w:val="0"/>
                <w:sz w:val="18"/>
                <w:szCs w:val="18"/>
                <w:lang w:eastAsia="zh-CN"/>
                <w14:textFill>
                  <w14:solidFill>
                    <w14:schemeClr w14:val="tx1"/>
                  </w14:solidFill>
                </w14:textFill>
              </w:rPr>
              <w:t>人工鱼巢设置时间</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jc w:val="left"/>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4-6月</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jc w:val="left"/>
              <w:textAlignment w:val="baseline"/>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4.8-6.30</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7</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7</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成本指标</w:t>
            </w:r>
          </w:p>
        </w:tc>
        <w:tc>
          <w:tcPr>
            <w:tcW w:w="1244"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hint="eastAsia" w:ascii="宋体" w:hAnsi="宋体" w:eastAsia="宋体" w:cs="宋体"/>
                <w:color w:val="auto"/>
                <w:sz w:val="20"/>
                <w:szCs w:val="20"/>
                <w:lang w:val="en-US" w:eastAsia="zh-CN"/>
              </w:rPr>
              <w:t>财政预算执行率</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hint="eastAsia" w:ascii="宋体" w:hAnsi="宋体" w:eastAsia="宋体" w:cs="宋体"/>
                <w:color w:val="auto"/>
                <w:sz w:val="20"/>
                <w:szCs w:val="20"/>
                <w:lang w:val="en-US" w:eastAsia="zh-CN"/>
              </w:rPr>
              <w:t>100%</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hint="eastAsia" w:ascii="宋体" w:hAnsi="宋体" w:eastAsia="宋体" w:cs="宋体"/>
                <w:color w:val="auto"/>
                <w:sz w:val="20"/>
                <w:szCs w:val="20"/>
                <w:lang w:val="en-US" w:eastAsia="zh-CN"/>
              </w:rPr>
              <w:t>100%</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8</w:t>
            </w:r>
          </w:p>
        </w:tc>
        <w:tc>
          <w:tcPr>
            <w:tcW w:w="889" w:type="dxa"/>
            <w:tcBorders>
              <w:top w:val="nil"/>
              <w:left w:val="nil"/>
              <w:bottom w:val="single" w:color="auto" w:sz="4" w:space="0"/>
              <w:right w:val="single" w:color="auto" w:sz="4" w:space="0"/>
            </w:tcBorders>
            <w:noWrap w:val="0"/>
            <w:vAlign w:val="center"/>
          </w:tcPr>
          <w:p>
            <w:pPr>
              <w:widowControl/>
              <w:spacing w:line="240" w:lineRule="exact"/>
              <w:ind w:firstLine="210" w:firstLineChars="100"/>
              <w:jc w:val="left"/>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8</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244"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eastAsia="zh-CN"/>
              </w:rPr>
              <w:t>人工鱼巢费用</w:t>
            </w:r>
            <w:r>
              <w:rPr>
                <w:rFonts w:hint="eastAsia" w:ascii="Times New Roman" w:hAnsi="Times New Roman" w:eastAsia="仿宋_GB2312" w:cs="Times New Roman"/>
                <w:color w:val="000000"/>
                <w:kern w:val="0"/>
                <w:sz w:val="21"/>
                <w:szCs w:val="21"/>
                <w:lang w:val="en-US" w:eastAsia="zh-CN"/>
              </w:rPr>
              <w:t xml:space="preserve"> </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9万元</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9万元</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9</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9</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效益指标</w:t>
            </w:r>
          </w:p>
          <w:p>
            <w:pPr>
              <w:widowControl/>
              <w:spacing w:line="240" w:lineRule="exact"/>
              <w:jc w:val="left"/>
              <w:rPr>
                <w:rFonts w:ascii="Times New Roman" w:hAnsi="Times New Roman" w:eastAsia="仿宋_GB2312" w:cs="Times New Roman"/>
                <w:color w:val="000000"/>
                <w:kern w:val="0"/>
                <w:sz w:val="21"/>
                <w:szCs w:val="21"/>
              </w:rPr>
            </w:pPr>
          </w:p>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val="en-US" w:eastAsia="zh-CN"/>
              </w:rPr>
              <w:t>4</w:t>
            </w:r>
            <w:r>
              <w:rPr>
                <w:rFonts w:ascii="Times New Roman" w:hAnsi="Times New Roman" w:eastAsia="仿宋_GB2312" w:cs="Times New Roman"/>
                <w:color w:val="000000"/>
                <w:kern w:val="0"/>
                <w:sz w:val="21"/>
                <w:szCs w:val="21"/>
              </w:rPr>
              <w:t>0分）</w:t>
            </w:r>
          </w:p>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spacing w:line="240" w:lineRule="exact"/>
              <w:jc w:val="center"/>
              <w:rPr>
                <w:rFonts w:ascii="Times New Roman" w:hAnsi="Times New Roman" w:eastAsia="仿宋_GB2312" w:cs="Times New Roman"/>
                <w:color w:val="000000"/>
                <w:kern w:val="0"/>
                <w:sz w:val="21"/>
                <w:szCs w:val="21"/>
              </w:rPr>
            </w:pPr>
          </w:p>
        </w:tc>
        <w:tc>
          <w:tcPr>
            <w:tcW w:w="10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经济效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244"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养殖从业人员技术水平</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eastAsia="zh-CN"/>
              </w:rPr>
              <w:t>提升</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eastAsia="zh-CN"/>
              </w:rPr>
              <w:t>提升</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7</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6</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rPr>
              <w:t>养殖从业人员技术水平</w:t>
            </w:r>
            <w:r>
              <w:rPr>
                <w:rFonts w:hint="eastAsia" w:ascii="Times New Roman" w:hAnsi="Times New Roman" w:eastAsia="仿宋_GB2312" w:cs="Times New Roman"/>
                <w:color w:val="000000"/>
                <w:kern w:val="0"/>
                <w:sz w:val="21"/>
                <w:szCs w:val="21"/>
                <w:lang w:eastAsia="zh-CN"/>
              </w:rPr>
              <w:t>有待进一步提升</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244"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指导养殖户数</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20</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23</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7</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7</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社会效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244"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lang w:val="en-US" w:eastAsia="zh-CN" w:bidi="ar-SA"/>
              </w:rPr>
            </w:pPr>
            <w:r>
              <w:rPr>
                <w:rFonts w:cs="宋体" w:asciiTheme="minorEastAsia" w:hAnsiTheme="minorEastAsia" w:eastAsiaTheme="minorEastAsia"/>
                <w:color w:val="000000" w:themeColor="text1"/>
                <w:kern w:val="0"/>
                <w:sz w:val="18"/>
                <w:szCs w:val="18"/>
                <w14:textFill>
                  <w14:solidFill>
                    <w14:schemeClr w14:val="tx1"/>
                  </w14:solidFill>
                </w14:textFill>
              </w:rPr>
              <w:t>提升群众保护渔业资源意识</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cs="宋体" w:asciiTheme="minorEastAsia" w:hAnsiTheme="minorEastAsia" w:eastAsiaTheme="minorEastAsia"/>
                <w:color w:val="000000" w:themeColor="text1"/>
                <w:kern w:val="0"/>
                <w:sz w:val="18"/>
                <w:szCs w:val="18"/>
                <w14:textFill>
                  <w14:solidFill>
                    <w14:schemeClr w14:val="tx1"/>
                  </w14:solidFill>
                </w14:textFill>
              </w:rPr>
              <w:t>明显</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cs="宋体" w:asciiTheme="minorEastAsia" w:hAnsiTheme="minorEastAsia" w:eastAsiaTheme="minorEastAsia"/>
                <w:color w:val="000000" w:themeColor="text1"/>
                <w:kern w:val="0"/>
                <w:sz w:val="18"/>
                <w:szCs w:val="18"/>
                <w14:textFill>
                  <w14:solidFill>
                    <w14:schemeClr w14:val="tx1"/>
                  </w14:solidFill>
                </w14:textFill>
              </w:rPr>
              <w:t>明显</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6</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5</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cs="Times New Roman" w:eastAsiaTheme="minorEastAsia"/>
                <w:color w:val="000000"/>
                <w:kern w:val="0"/>
                <w:sz w:val="21"/>
                <w:szCs w:val="21"/>
                <w:lang w:eastAsia="zh-CN"/>
              </w:rPr>
            </w:pPr>
            <w:r>
              <w:rPr>
                <w:rFonts w:cs="宋体" w:asciiTheme="minorEastAsia" w:hAnsiTheme="minorEastAsia" w:eastAsiaTheme="minorEastAsia"/>
                <w:color w:val="000000" w:themeColor="text1"/>
                <w:kern w:val="0"/>
                <w:sz w:val="18"/>
                <w:szCs w:val="18"/>
                <w14:textFill>
                  <w14:solidFill>
                    <w14:schemeClr w14:val="tx1"/>
                  </w14:solidFill>
                </w14:textFill>
              </w:rPr>
              <w:t>群众保护渔业资源意识</w:t>
            </w:r>
            <w:r>
              <w:rPr>
                <w:rFonts w:hint="eastAsia" w:cs="宋体" w:asciiTheme="minorEastAsia" w:hAnsiTheme="minorEastAsia" w:eastAsiaTheme="minorEastAsia"/>
                <w:color w:val="000000" w:themeColor="text1"/>
                <w:kern w:val="0"/>
                <w:sz w:val="18"/>
                <w:szCs w:val="18"/>
                <w:lang w:eastAsia="zh-CN"/>
                <w14:textFill>
                  <w14:solidFill>
                    <w14:schemeClr w14:val="tx1"/>
                  </w14:solidFill>
                </w14:textFill>
              </w:rPr>
              <w:t>有待进一步提升</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生态效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24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促进</w:t>
            </w:r>
            <w:r>
              <w:rPr>
                <w:rFonts w:hint="eastAsia" w:cs="宋体" w:asciiTheme="minorEastAsia" w:hAnsiTheme="minorEastAsia" w:eastAsiaTheme="minorEastAsia"/>
                <w:color w:val="000000" w:themeColor="text1"/>
                <w:kern w:val="0"/>
                <w:sz w:val="18"/>
                <w:szCs w:val="18"/>
                <w14:textFill>
                  <w14:solidFill>
                    <w14:schemeClr w14:val="tx1"/>
                  </w14:solidFill>
                </w14:textFill>
              </w:rPr>
              <w:t>水生生物种群与多样性恢复</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作用明显</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cs="宋体" w:asciiTheme="minorEastAsia" w:hAnsiTheme="minorEastAsia" w:eastAsiaTheme="minorEastAsia"/>
                <w:color w:val="000000" w:themeColor="text1"/>
                <w:kern w:val="0"/>
                <w:sz w:val="18"/>
                <w:szCs w:val="18"/>
                <w14:textFill>
                  <w14:solidFill>
                    <w14:schemeClr w14:val="tx1"/>
                  </w14:solidFill>
                </w14:textFill>
              </w:rPr>
              <w:t>作用明显</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6</w:t>
            </w:r>
          </w:p>
        </w:tc>
        <w:tc>
          <w:tcPr>
            <w:tcW w:w="8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5</w:t>
            </w:r>
          </w:p>
        </w:tc>
        <w:tc>
          <w:tcPr>
            <w:tcW w:w="13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水生生物种群与多样性恢复</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可持续影响指标</w:t>
            </w:r>
          </w:p>
        </w:tc>
        <w:tc>
          <w:tcPr>
            <w:tcW w:w="124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促进我区渔业可持续发展</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cs="宋体" w:asciiTheme="minorEastAsia" w:hAnsiTheme="minorEastAsia" w:eastAsiaTheme="minorEastAsia"/>
                <w:color w:val="000000" w:themeColor="text1"/>
                <w:kern w:val="0"/>
                <w:sz w:val="18"/>
                <w:szCs w:val="18"/>
                <w14:textFill>
                  <w14:solidFill>
                    <w14:schemeClr w14:val="tx1"/>
                  </w14:solidFill>
                </w14:textFill>
              </w:rPr>
              <w:t>作用明显</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cs="宋体" w:asciiTheme="minorEastAsia" w:hAnsiTheme="minorEastAsia" w:eastAsiaTheme="minorEastAsia"/>
                <w:color w:val="000000" w:themeColor="text1"/>
                <w:kern w:val="0"/>
                <w:sz w:val="18"/>
                <w:szCs w:val="18"/>
                <w14:textFill>
                  <w14:solidFill>
                    <w14:schemeClr w14:val="tx1"/>
                  </w14:solidFill>
                </w14:textFill>
              </w:rPr>
              <w:t>作用明显</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7</w:t>
            </w:r>
          </w:p>
        </w:tc>
        <w:tc>
          <w:tcPr>
            <w:tcW w:w="8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6</w:t>
            </w:r>
          </w:p>
        </w:tc>
        <w:tc>
          <w:tcPr>
            <w:tcW w:w="13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与高质量发展有一定差距</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服务对象满意度指标</w:t>
            </w:r>
          </w:p>
        </w:tc>
        <w:tc>
          <w:tcPr>
            <w:tcW w:w="12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ascii="Times New Roman" w:hAnsi="Times New Roman" w:eastAsia="仿宋_GB2312" w:cs="Times New Roman"/>
                <w:color w:val="000000"/>
                <w:kern w:val="0"/>
                <w:sz w:val="21"/>
                <w:szCs w:val="21"/>
              </w:rPr>
            </w:pPr>
            <w:r>
              <w:rPr>
                <w:rFonts w:hint="eastAsia" w:ascii="宋体" w:hAnsi="宋体" w:eastAsia="宋体" w:cs="宋体"/>
                <w:color w:val="auto"/>
                <w:sz w:val="20"/>
                <w:szCs w:val="20"/>
                <w:lang w:val="en-US" w:eastAsia="zh-CN"/>
              </w:rPr>
              <w:t>养殖户满意率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ascii="Times New Roman" w:hAnsi="Times New Roman" w:eastAsia="仿宋_GB2312" w:cs="Times New Roman"/>
                <w:color w:val="000000"/>
                <w:kern w:val="0"/>
                <w:sz w:val="21"/>
                <w:szCs w:val="21"/>
              </w:rPr>
            </w:pPr>
            <w:r>
              <w:rPr>
                <w:rFonts w:hint="eastAsia" w:ascii="宋体" w:hAnsi="宋体" w:eastAsia="宋体" w:cs="宋体"/>
                <w:i w:val="0"/>
                <w:iCs w:val="0"/>
                <w:caps w:val="0"/>
                <w:color w:val="auto"/>
                <w:spacing w:val="0"/>
                <w:sz w:val="20"/>
                <w:szCs w:val="20"/>
                <w:shd w:val="clear" w:color="auto" w:fill="FFFFFF"/>
              </w:rPr>
              <w:t>≥</w:t>
            </w:r>
            <w:r>
              <w:rPr>
                <w:rFonts w:hint="eastAsia" w:ascii="宋体" w:hAnsi="宋体" w:eastAsia="宋体" w:cs="宋体"/>
                <w:color w:val="auto"/>
                <w:sz w:val="20"/>
                <w:szCs w:val="20"/>
                <w:lang w:val="en-US" w:eastAsia="zh-CN"/>
              </w:rPr>
              <w:t>90%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ascii="Times New Roman" w:hAnsi="Times New Roman" w:eastAsia="仿宋_GB2312" w:cs="Times New Roman"/>
                <w:color w:val="000000"/>
                <w:kern w:val="0"/>
                <w:sz w:val="21"/>
                <w:szCs w:val="21"/>
              </w:rPr>
            </w:pPr>
            <w:r>
              <w:rPr>
                <w:rFonts w:hint="eastAsia" w:ascii="宋体" w:hAnsi="宋体" w:eastAsia="宋体" w:cs="宋体"/>
                <w:color w:val="auto"/>
                <w:sz w:val="20"/>
                <w:szCs w:val="20"/>
                <w:lang w:val="en-US" w:eastAsia="zh-CN"/>
              </w:rPr>
              <w:t>9</w:t>
            </w:r>
            <w:r>
              <w:rPr>
                <w:rFonts w:hint="eastAsia" w:ascii="宋体" w:hAnsi="宋体" w:cs="宋体"/>
                <w:color w:val="auto"/>
                <w:sz w:val="20"/>
                <w:szCs w:val="20"/>
                <w:lang w:val="en-US" w:eastAsia="zh-CN"/>
              </w:rPr>
              <w:t>5</w:t>
            </w:r>
            <w:r>
              <w:rPr>
                <w:rFonts w:hint="eastAsia" w:ascii="宋体" w:hAnsi="宋体" w:eastAsia="宋体" w:cs="宋体"/>
                <w:color w:val="auto"/>
                <w:sz w:val="20"/>
                <w:szCs w:val="20"/>
                <w:lang w:val="en-US" w:eastAsia="zh-CN"/>
              </w:rPr>
              <w:t>%</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6</w:t>
            </w:r>
          </w:p>
        </w:tc>
        <w:tc>
          <w:tcPr>
            <w:tcW w:w="8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6</w:t>
            </w:r>
          </w:p>
        </w:tc>
        <w:tc>
          <w:tcPr>
            <w:tcW w:w="13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bookmarkEnd w:id="0"/>
      <w:bookmarkEnd w:id="1"/>
      <w:tr>
        <w:tblPrEx>
          <w:tblCellMar>
            <w:top w:w="0" w:type="dxa"/>
            <w:left w:w="108" w:type="dxa"/>
            <w:bottom w:w="0" w:type="dxa"/>
            <w:right w:w="108" w:type="dxa"/>
          </w:tblCellMar>
        </w:tblPrEx>
        <w:trPr>
          <w:trHeight w:val="270" w:hRule="atLeast"/>
          <w:jc w:val="center"/>
        </w:trPr>
        <w:tc>
          <w:tcPr>
            <w:tcW w:w="694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总分</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100</w:t>
            </w:r>
            <w:r>
              <w:rPr>
                <w:rFonts w:hint="eastAsia" w:ascii="Times New Roman" w:hAnsi="Times New Roman" w:cs="Times New Roman"/>
                <w:color w:val="000000"/>
                <w:kern w:val="0"/>
                <w:sz w:val="21"/>
                <w:szCs w:val="21"/>
                <w:lang w:eastAsia="zh-CN"/>
              </w:rPr>
              <w:t>分</w:t>
            </w:r>
          </w:p>
        </w:tc>
        <w:tc>
          <w:tcPr>
            <w:tcW w:w="8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95</w:t>
            </w:r>
          </w:p>
        </w:tc>
        <w:tc>
          <w:tcPr>
            <w:tcW w:w="13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bl>
    <w:p>
      <w:pPr>
        <w:pStyle w:val="2"/>
        <w:rPr>
          <w:rFonts w:hint="eastAsia" w:ascii="仿宋_GB2312" w:hAnsi="仿宋_GB2312" w:eastAsia="仿宋_GB2312" w:cs="仿宋_GB2312"/>
          <w:b w:val="0"/>
          <w:bCs w:val="0"/>
          <w:sz w:val="32"/>
          <w:szCs w:val="32"/>
        </w:rPr>
      </w:pPr>
      <w:r>
        <w:rPr>
          <w:rFonts w:ascii="Times New Roman" w:hAnsi="Times New Roman" w:eastAsia="仿宋_GB2312" w:cs="Times New Roman"/>
          <w:kern w:val="0"/>
          <w:sz w:val="21"/>
          <w:szCs w:val="21"/>
        </w:rPr>
        <w:t>填表人：</w:t>
      </w:r>
      <w:r>
        <w:rPr>
          <w:rFonts w:hint="eastAsia" w:ascii="Times New Roman" w:hAnsi="Times New Roman" w:eastAsia="仿宋_GB2312" w:cs="Times New Roman"/>
          <w:kern w:val="0"/>
          <w:sz w:val="21"/>
          <w:szCs w:val="21"/>
          <w:lang w:eastAsia="zh-CN"/>
        </w:rPr>
        <w:t>贾艳红</w:t>
      </w:r>
      <w:r>
        <w:rPr>
          <w:rFonts w:ascii="Times New Roman" w:hAnsi="Times New Roman" w:eastAsia="仿宋_GB2312" w:cs="Times New Roman"/>
          <w:kern w:val="0"/>
          <w:sz w:val="21"/>
          <w:szCs w:val="21"/>
        </w:rPr>
        <w:t xml:space="preserve"> 填报日期：</w:t>
      </w:r>
      <w:r>
        <w:rPr>
          <w:rFonts w:hint="eastAsia" w:ascii="Times New Roman" w:hAnsi="Times New Roman" w:eastAsia="仿宋_GB2312" w:cs="Times New Roman"/>
          <w:kern w:val="0"/>
          <w:sz w:val="21"/>
          <w:szCs w:val="21"/>
          <w:lang w:val="en-US" w:eastAsia="zh-CN"/>
        </w:rPr>
        <w:t>2023年9月22日</w:t>
      </w:r>
      <w:r>
        <w:rPr>
          <w:rFonts w:ascii="Times New Roman" w:hAnsi="Times New Roman" w:eastAsia="仿宋_GB2312" w:cs="Times New Roman"/>
          <w:kern w:val="0"/>
          <w:sz w:val="21"/>
          <w:szCs w:val="21"/>
        </w:rPr>
        <w:t xml:space="preserve">   联系电话：</w:t>
      </w:r>
      <w:r>
        <w:rPr>
          <w:rFonts w:hint="eastAsia" w:ascii="Times New Roman" w:hAnsi="Times New Roman" w:eastAsia="仿宋_GB2312" w:cs="Times New Roman"/>
          <w:kern w:val="0"/>
          <w:sz w:val="21"/>
          <w:szCs w:val="21"/>
          <w:lang w:val="en-US" w:eastAsia="zh-CN"/>
        </w:rPr>
        <w:t>18173710308</w:t>
      </w:r>
      <w:r>
        <w:rPr>
          <w:rFonts w:ascii="Times New Roman" w:hAnsi="Times New Roman" w:eastAsia="仿宋_GB2312" w:cs="Times New Roman"/>
          <w:kern w:val="0"/>
          <w:sz w:val="21"/>
          <w:szCs w:val="21"/>
        </w:rPr>
        <w:t xml:space="preserve">  单位负责人签字：</w:t>
      </w:r>
    </w:p>
    <w:sectPr>
      <w:footerReference r:id="rId3" w:type="default"/>
      <w:pgSz w:w="11906" w:h="16838"/>
      <w:pgMar w:top="1701" w:right="1587"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ZGY0NTE3NTE1MDU5MTUwNGEwMmEzNjEyOWEwODIifQ=="/>
  </w:docVars>
  <w:rsids>
    <w:rsidRoot w:val="0058593D"/>
    <w:rsid w:val="00024CE5"/>
    <w:rsid w:val="000262D5"/>
    <w:rsid w:val="000541FB"/>
    <w:rsid w:val="00073B47"/>
    <w:rsid w:val="000902CC"/>
    <w:rsid w:val="000D4009"/>
    <w:rsid w:val="000F304C"/>
    <w:rsid w:val="00137452"/>
    <w:rsid w:val="00141EAE"/>
    <w:rsid w:val="00164EEA"/>
    <w:rsid w:val="001D50AB"/>
    <w:rsid w:val="002146AA"/>
    <w:rsid w:val="00224011"/>
    <w:rsid w:val="00262142"/>
    <w:rsid w:val="00277007"/>
    <w:rsid w:val="002D3B8A"/>
    <w:rsid w:val="002F178C"/>
    <w:rsid w:val="002F3485"/>
    <w:rsid w:val="003048AA"/>
    <w:rsid w:val="00335561"/>
    <w:rsid w:val="00352F30"/>
    <w:rsid w:val="00383EC6"/>
    <w:rsid w:val="0039272E"/>
    <w:rsid w:val="00395371"/>
    <w:rsid w:val="003B3646"/>
    <w:rsid w:val="003C46F5"/>
    <w:rsid w:val="003D5E9B"/>
    <w:rsid w:val="004039C8"/>
    <w:rsid w:val="0041502A"/>
    <w:rsid w:val="00441E8E"/>
    <w:rsid w:val="004621A7"/>
    <w:rsid w:val="004704F2"/>
    <w:rsid w:val="0049052C"/>
    <w:rsid w:val="00493301"/>
    <w:rsid w:val="004A146B"/>
    <w:rsid w:val="0050658B"/>
    <w:rsid w:val="00512D13"/>
    <w:rsid w:val="0058593D"/>
    <w:rsid w:val="00586D12"/>
    <w:rsid w:val="005F7141"/>
    <w:rsid w:val="0063300D"/>
    <w:rsid w:val="0065272C"/>
    <w:rsid w:val="00682898"/>
    <w:rsid w:val="00684ECE"/>
    <w:rsid w:val="006B4C9A"/>
    <w:rsid w:val="006E308E"/>
    <w:rsid w:val="006F04CB"/>
    <w:rsid w:val="007051FD"/>
    <w:rsid w:val="0071599B"/>
    <w:rsid w:val="00722E95"/>
    <w:rsid w:val="0074316D"/>
    <w:rsid w:val="00771C31"/>
    <w:rsid w:val="00772549"/>
    <w:rsid w:val="007846B8"/>
    <w:rsid w:val="0078797E"/>
    <w:rsid w:val="007919DC"/>
    <w:rsid w:val="007A153C"/>
    <w:rsid w:val="007C1C23"/>
    <w:rsid w:val="007D0C12"/>
    <w:rsid w:val="007D770E"/>
    <w:rsid w:val="007F4473"/>
    <w:rsid w:val="008168A1"/>
    <w:rsid w:val="008216FE"/>
    <w:rsid w:val="008346B2"/>
    <w:rsid w:val="00841CD1"/>
    <w:rsid w:val="00846D2A"/>
    <w:rsid w:val="00863925"/>
    <w:rsid w:val="008C7489"/>
    <w:rsid w:val="008D0353"/>
    <w:rsid w:val="009243D9"/>
    <w:rsid w:val="00931E9B"/>
    <w:rsid w:val="009918E4"/>
    <w:rsid w:val="009A5243"/>
    <w:rsid w:val="00A20089"/>
    <w:rsid w:val="00A3113B"/>
    <w:rsid w:val="00A5654D"/>
    <w:rsid w:val="00A74BB7"/>
    <w:rsid w:val="00A74BC3"/>
    <w:rsid w:val="00A8583C"/>
    <w:rsid w:val="00AA3E4E"/>
    <w:rsid w:val="00AB28FF"/>
    <w:rsid w:val="00B00D1A"/>
    <w:rsid w:val="00B43F42"/>
    <w:rsid w:val="00B701FA"/>
    <w:rsid w:val="00B83339"/>
    <w:rsid w:val="00BC7567"/>
    <w:rsid w:val="00BF04F8"/>
    <w:rsid w:val="00C2071C"/>
    <w:rsid w:val="00C5211A"/>
    <w:rsid w:val="00CD034D"/>
    <w:rsid w:val="00CF05D9"/>
    <w:rsid w:val="00D1048C"/>
    <w:rsid w:val="00D15D99"/>
    <w:rsid w:val="00D17CF6"/>
    <w:rsid w:val="00D216B7"/>
    <w:rsid w:val="00D26D1F"/>
    <w:rsid w:val="00D61492"/>
    <w:rsid w:val="00DC7FDA"/>
    <w:rsid w:val="00E21F8F"/>
    <w:rsid w:val="00EC1377"/>
    <w:rsid w:val="00EC1474"/>
    <w:rsid w:val="00EC3C67"/>
    <w:rsid w:val="00EF26A8"/>
    <w:rsid w:val="00F15DD4"/>
    <w:rsid w:val="00F17D18"/>
    <w:rsid w:val="00F47B60"/>
    <w:rsid w:val="00F47DF7"/>
    <w:rsid w:val="00F56CFD"/>
    <w:rsid w:val="00F7375D"/>
    <w:rsid w:val="01D17901"/>
    <w:rsid w:val="0A270325"/>
    <w:rsid w:val="0B9E249C"/>
    <w:rsid w:val="0CAC477F"/>
    <w:rsid w:val="0FD03570"/>
    <w:rsid w:val="125C4979"/>
    <w:rsid w:val="169C47B3"/>
    <w:rsid w:val="1A9A59ED"/>
    <w:rsid w:val="1BC87347"/>
    <w:rsid w:val="1C023255"/>
    <w:rsid w:val="24167231"/>
    <w:rsid w:val="24D50402"/>
    <w:rsid w:val="27714DDC"/>
    <w:rsid w:val="29997167"/>
    <w:rsid w:val="29F529DC"/>
    <w:rsid w:val="2B821F15"/>
    <w:rsid w:val="37C91F97"/>
    <w:rsid w:val="3D8B4F4D"/>
    <w:rsid w:val="3EBC63CE"/>
    <w:rsid w:val="3EC42EF5"/>
    <w:rsid w:val="3F175836"/>
    <w:rsid w:val="408C1B6D"/>
    <w:rsid w:val="40E953FC"/>
    <w:rsid w:val="492D06A9"/>
    <w:rsid w:val="493A26D3"/>
    <w:rsid w:val="49B03929"/>
    <w:rsid w:val="4B201A81"/>
    <w:rsid w:val="4B77309F"/>
    <w:rsid w:val="4DA05F01"/>
    <w:rsid w:val="525E5FEC"/>
    <w:rsid w:val="56F95A5B"/>
    <w:rsid w:val="572A7333"/>
    <w:rsid w:val="58C22427"/>
    <w:rsid w:val="5A5E7D06"/>
    <w:rsid w:val="5B9E1D64"/>
    <w:rsid w:val="5BD0139F"/>
    <w:rsid w:val="5BF03802"/>
    <w:rsid w:val="63676B48"/>
    <w:rsid w:val="6BD74A8A"/>
    <w:rsid w:val="6D9A41A6"/>
    <w:rsid w:val="749C1E74"/>
    <w:rsid w:val="762D4A47"/>
    <w:rsid w:val="77312ADA"/>
    <w:rsid w:val="79D05145"/>
    <w:rsid w:val="7E9A435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qFormat/>
    <w:uiPriority w:val="0"/>
    <w:pPr>
      <w:ind w:firstLine="632" w:firstLineChars="200"/>
    </w:pPr>
  </w:style>
  <w:style w:type="paragraph" w:styleId="4">
    <w:name w:val="Balloon Text"/>
    <w:basedOn w:val="1"/>
    <w:link w:val="12"/>
    <w:semiHidden/>
    <w:qFormat/>
    <w:uiPriority w:val="99"/>
    <w:rPr>
      <w:sz w:val="18"/>
      <w:szCs w:val="18"/>
    </w:rPr>
  </w:style>
  <w:style w:type="paragraph" w:styleId="5">
    <w:name w:val="footer"/>
    <w:basedOn w:val="1"/>
    <w:link w:val="14"/>
    <w:semiHidden/>
    <w:qFormat/>
    <w:uiPriority w:val="99"/>
    <w:pPr>
      <w:tabs>
        <w:tab w:val="center" w:pos="4153"/>
        <w:tab w:val="right" w:pos="8306"/>
      </w:tabs>
      <w:snapToGrid w:val="0"/>
      <w:jc w:val="left"/>
    </w:pPr>
    <w:rPr>
      <w:sz w:val="18"/>
      <w:szCs w:val="18"/>
    </w:rPr>
  </w:style>
  <w:style w:type="paragraph" w:styleId="6">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Body Text First Indent 2"/>
    <w:basedOn w:val="3"/>
    <w:qFormat/>
    <w:uiPriority w:val="0"/>
    <w:pPr>
      <w:spacing w:before="100" w:beforeAutospacing="1" w:after="0"/>
      <w:ind w:left="0" w:firstLine="420" w:firstLineChars="200"/>
    </w:pPr>
  </w:style>
  <w:style w:type="paragraph" w:styleId="11">
    <w:name w:val="List Paragraph"/>
    <w:basedOn w:val="1"/>
    <w:qFormat/>
    <w:uiPriority w:val="99"/>
    <w:pPr>
      <w:ind w:firstLine="420" w:firstLineChars="200"/>
    </w:pPr>
  </w:style>
  <w:style w:type="character" w:customStyle="1" w:styleId="12">
    <w:name w:val="批注框文本 Char"/>
    <w:basedOn w:val="10"/>
    <w:link w:val="4"/>
    <w:semiHidden/>
    <w:qFormat/>
    <w:locked/>
    <w:uiPriority w:val="99"/>
    <w:rPr>
      <w:rFonts w:cs="Times New Roman"/>
      <w:sz w:val="18"/>
      <w:szCs w:val="18"/>
    </w:rPr>
  </w:style>
  <w:style w:type="character" w:customStyle="1" w:styleId="13">
    <w:name w:val="页眉 Char"/>
    <w:basedOn w:val="10"/>
    <w:link w:val="6"/>
    <w:semiHidden/>
    <w:qFormat/>
    <w:locked/>
    <w:uiPriority w:val="99"/>
    <w:rPr>
      <w:rFonts w:cs="Times New Roman"/>
      <w:sz w:val="18"/>
      <w:szCs w:val="18"/>
    </w:rPr>
  </w:style>
  <w:style w:type="character" w:customStyle="1" w:styleId="14">
    <w:name w:val="页脚 Char"/>
    <w:basedOn w:val="10"/>
    <w:link w:val="5"/>
    <w:semiHidden/>
    <w:qFormat/>
    <w:locked/>
    <w:uiPriority w:val="99"/>
    <w:rPr>
      <w:rFonts w:cs="Times New Roman"/>
      <w:sz w:val="18"/>
      <w:szCs w:val="18"/>
    </w:rPr>
  </w:style>
  <w:style w:type="character" w:customStyle="1" w:styleId="15">
    <w:name w:val="font61"/>
    <w:basedOn w:val="10"/>
    <w:qFormat/>
    <w:uiPriority w:val="0"/>
    <w:rPr>
      <w:rFonts w:hint="eastAsia" w:ascii="Times New Roman" w:eastAsia="楷体_GB2312" w:cs="楷体_GB2312"/>
      <w:sz w:val="32"/>
      <w:szCs w:val="24"/>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Pages>
  <Words>1896</Words>
  <Characters>2116</Characters>
  <Lines>35</Lines>
  <Paragraphs>10</Paragraphs>
  <TotalTime>31</TotalTime>
  <ScaleCrop>false</ScaleCrop>
  <LinksUpToDate>false</LinksUpToDate>
  <CharactersWithSpaces>2181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2018-09-26T00:59:00Z</dcterms:created>
  <dc:creator>China</dc:creator>
  <cp:lastModifiedBy>我是谁</cp:lastModifiedBy>
  <cp:lastPrinted>2023-09-22T06:46:00Z</cp:lastPrinted>
  <dcterms:modified xsi:type="dcterms:W3CDTF">2023-09-22T07:06:59Z</dcterms:modified>
  <dc:title>资阳区水利局部门整体支出绩效</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2892956BD03546E0823B205305322FD8_13</vt:lpwstr>
  </property>
</Properties>
</file>