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w:t>
      </w:r>
      <w:r>
        <w:rPr>
          <w:rFonts w:hint="eastAsia"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val="en-US" w:eastAsia="zh-CN"/>
        </w:rPr>
        <w:t>益阳市资阳区城区公共房屋管理所</w:t>
      </w:r>
      <w:r>
        <w:rPr>
          <w:rFonts w:hint="eastAsia" w:ascii="Times New Roman" w:hAnsi="Times New Roman" w:eastAsia="方正小标宋_GBK" w:cs="Times New Roman"/>
          <w:sz w:val="36"/>
          <w:szCs w:val="36"/>
        </w:rPr>
        <w:t>整体支出绩效自评报告</w:t>
      </w:r>
    </w:p>
    <w:p>
      <w:pPr>
        <w:spacing w:line="560" w:lineRule="exact"/>
        <w:jc w:val="center"/>
        <w:rPr>
          <w:rFonts w:ascii="Times New Roman" w:hAnsi="Times New Roman" w:eastAsia="楷体_GB2312" w:cs="Times New Roman"/>
          <w:sz w:val="32"/>
          <w:szCs w:val="32"/>
        </w:rPr>
      </w:pPr>
    </w:p>
    <w:p>
      <w:pPr>
        <w:spacing w:line="560" w:lineRule="exact"/>
        <w:jc w:val="both"/>
        <w:rPr>
          <w:rFonts w:hint="eastAsia" w:ascii="Times New Roman" w:hAnsi="Times New Roman" w:eastAsia="方正小标宋_GBK" w:cs="Times New Roman"/>
          <w:sz w:val="36"/>
          <w:szCs w:val="36"/>
        </w:rPr>
      </w:pPr>
    </w:p>
    <w:p>
      <w:pPr>
        <w:numPr>
          <w:ilvl w:val="0"/>
          <w:numId w:val="1"/>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rPr>
        <w:t>单位基本情况</w:t>
      </w:r>
    </w:p>
    <w:p>
      <w:pPr>
        <w:pStyle w:val="2"/>
        <w:numPr>
          <w:ilvl w:val="0"/>
          <w:numId w:val="2"/>
        </w:numPr>
        <w:ind w:leftChars="200"/>
        <w:rPr>
          <w:rFonts w:hint="eastAsia" w:ascii="黑体" w:hAnsi="黑体" w:eastAsia="黑体" w:cs="黑体"/>
          <w:lang w:val="en-US" w:eastAsia="zh-CN"/>
        </w:rPr>
      </w:pPr>
      <w:r>
        <w:rPr>
          <w:rFonts w:hint="eastAsia" w:ascii="黑体" w:hAnsi="黑体" w:eastAsia="黑体" w:cs="黑体"/>
          <w:lang w:val="en-US" w:eastAsia="zh-CN"/>
        </w:rPr>
        <w:t>主要职能是负责全区城区范围内直管公房及保障性住房的经营、管理、维修和征拆补偿工作。</w:t>
      </w:r>
    </w:p>
    <w:p>
      <w:pPr>
        <w:pStyle w:val="2"/>
        <w:numPr>
          <w:ilvl w:val="0"/>
          <w:numId w:val="2"/>
        </w:numPr>
        <w:ind w:leftChars="200"/>
        <w:rPr>
          <w:rFonts w:hint="default" w:ascii="黑体" w:hAnsi="黑体" w:eastAsia="黑体" w:cs="黑体"/>
          <w:lang w:val="en-US" w:eastAsia="zh-CN"/>
        </w:rPr>
      </w:pPr>
      <w:r>
        <w:rPr>
          <w:rFonts w:hint="eastAsia" w:ascii="黑体" w:hAnsi="黑体" w:eastAsia="黑体" w:cs="黑体"/>
          <w:lang w:val="en-US" w:eastAsia="zh-CN"/>
        </w:rPr>
        <w:t>机构情况</w:t>
      </w:r>
    </w:p>
    <w:p>
      <w:pPr>
        <w:pStyle w:val="2"/>
        <w:numPr>
          <w:ilvl w:val="0"/>
          <w:numId w:val="0"/>
        </w:numPr>
        <w:ind w:left="640" w:leftChars="200" w:firstLine="640" w:firstLineChars="200"/>
        <w:rPr>
          <w:rFonts w:hint="default" w:ascii="黑体" w:hAnsi="黑体" w:eastAsia="黑体" w:cs="黑体"/>
          <w:lang w:val="en-US" w:eastAsia="zh-CN"/>
        </w:rPr>
      </w:pPr>
      <w:r>
        <w:rPr>
          <w:rFonts w:hint="eastAsia" w:ascii="黑体" w:hAnsi="黑体" w:eastAsia="黑体" w:cs="黑体"/>
          <w:lang w:val="en-US" w:eastAsia="zh-CN"/>
        </w:rPr>
        <w:t>我单位为区住建局公益二类事业单位，设所长一名，副所长4名，下设五个股室。</w:t>
      </w:r>
    </w:p>
    <w:p>
      <w:pPr>
        <w:widowControl/>
        <w:spacing w:line="600" w:lineRule="exact"/>
        <w:ind w:firstLine="640" w:firstLineChars="200"/>
        <w:jc w:val="both"/>
        <w:rPr>
          <w:rFonts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w:t>
      </w:r>
      <w:r>
        <w:rPr>
          <w:rFonts w:ascii="Times New Roman" w:hAnsi="Times New Roman" w:eastAsia="黑体" w:cs="Times New Roman"/>
          <w:kern w:val="2"/>
          <w:sz w:val="32"/>
          <w:szCs w:val="32"/>
          <w:lang w:val="en-US" w:eastAsia="zh-CN" w:bidi="ar-SA"/>
        </w:rPr>
        <w:t>一般公共预算支出情况</w:t>
      </w:r>
    </w:p>
    <w:p>
      <w:pPr>
        <w:widowControl/>
        <w:spacing w:line="600" w:lineRule="exact"/>
        <w:ind w:firstLine="643"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（一）基本支出情况</w:t>
      </w:r>
    </w:p>
    <w:p>
      <w:pPr>
        <w:pStyle w:val="2"/>
        <w:rPr>
          <w:rFonts w:hint="default"/>
          <w:lang w:val="en-US" w:eastAsia="zh-CN"/>
        </w:rPr>
      </w:pPr>
      <w:r>
        <w:rPr>
          <w:rFonts w:hint="eastAsia" w:ascii="楷体_GB2312" w:hAnsi="Times New Roman" w:eastAsia="楷体_GB2312" w:cs="Times New Roman"/>
          <w:b/>
          <w:kern w:val="2"/>
          <w:sz w:val="32"/>
          <w:szCs w:val="32"/>
          <w:lang w:val="en-US" w:eastAsia="zh-CN" w:bidi="ar-SA"/>
        </w:rPr>
        <w:t>2022年，基本支出1879.59万元</w:t>
      </w:r>
    </w:p>
    <w:p>
      <w:pPr>
        <w:widowControl/>
        <w:numPr>
          <w:ilvl w:val="0"/>
          <w:numId w:val="3"/>
        </w:numPr>
        <w:spacing w:line="600" w:lineRule="exact"/>
        <w:ind w:firstLine="643" w:firstLineChars="200"/>
        <w:jc w:val="both"/>
        <w:rPr>
          <w:rFonts w:ascii="楷体_GB2312" w:hAnsi="Times New Roman" w:eastAsia="楷体_GB2312" w:cs="Times New Roman"/>
          <w:b/>
          <w:kern w:val="2"/>
          <w:sz w:val="32"/>
          <w:szCs w:val="32"/>
          <w:lang w:val="en-US" w:eastAsia="zh-CN" w:bidi="ar-SA"/>
        </w:rPr>
      </w:pPr>
      <w:r>
        <w:rPr>
          <w:rFonts w:ascii="楷体_GB2312" w:hAnsi="Times New Roman" w:eastAsia="楷体_GB2312" w:cs="Times New Roman"/>
          <w:b/>
          <w:kern w:val="2"/>
          <w:sz w:val="32"/>
          <w:szCs w:val="32"/>
          <w:lang w:val="en-US" w:eastAsia="zh-CN" w:bidi="ar-SA"/>
        </w:rPr>
        <w:t>项目支出情况</w:t>
      </w:r>
    </w:p>
    <w:p>
      <w:pPr>
        <w:pStyle w:val="2"/>
        <w:numPr>
          <w:ilvl w:val="0"/>
          <w:numId w:val="0"/>
        </w:numPr>
        <w:ind w:leftChars="200"/>
        <w:rPr>
          <w:rFonts w:hint="eastAsia" w:ascii="黑体" w:hAnsi="黑体" w:eastAsia="黑体" w:cs="黑体"/>
          <w:lang w:val="en-US" w:eastAsia="zh-CN"/>
        </w:rPr>
      </w:pPr>
      <w:r>
        <w:rPr>
          <w:rFonts w:hint="eastAsia" w:ascii="黑体" w:hAnsi="黑体" w:eastAsia="黑体" w:cs="黑体"/>
          <w:lang w:val="en-US" w:eastAsia="zh-CN"/>
        </w:rPr>
        <w:t>2022年我单位无项目支出</w:t>
      </w:r>
      <w:r>
        <w:rPr>
          <w:rFonts w:hint="eastAsia"/>
          <w:lang w:val="en-US" w:eastAsia="zh-CN"/>
        </w:rPr>
        <w:t>。</w:t>
      </w:r>
    </w:p>
    <w:p>
      <w:pPr>
        <w:widowControl/>
        <w:numPr>
          <w:ilvl w:val="0"/>
          <w:numId w:val="1"/>
        </w:numPr>
        <w:spacing w:line="600" w:lineRule="exact"/>
        <w:ind w:left="0" w:leftChars="0" w:firstLine="640" w:firstLineChars="200"/>
        <w:jc w:val="left"/>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政府性基金预算支出情况</w:t>
      </w:r>
    </w:p>
    <w:p>
      <w:pPr>
        <w:pStyle w:val="2"/>
        <w:numPr>
          <w:ilvl w:val="0"/>
          <w:numId w:val="0"/>
        </w:numPr>
        <w:ind w:leftChars="200"/>
        <w:rPr>
          <w:lang w:val="en-US" w:eastAsia="zh-CN"/>
        </w:rPr>
      </w:pPr>
      <w:r>
        <w:rPr>
          <w:rFonts w:hint="eastAsia" w:ascii="黑体" w:hAnsi="黑体" w:eastAsia="黑体" w:cs="黑体"/>
          <w:lang w:val="en-US" w:eastAsia="zh-CN"/>
        </w:rPr>
        <w:t>2022年我单位无政府预算支出</w:t>
      </w:r>
      <w:r>
        <w:rPr>
          <w:rFonts w:hint="eastAsia"/>
          <w:lang w:val="en-US" w:eastAsia="zh-CN"/>
        </w:rPr>
        <w:t>。</w:t>
      </w:r>
    </w:p>
    <w:p>
      <w:pPr>
        <w:widowControl/>
        <w:numPr>
          <w:ilvl w:val="0"/>
          <w:numId w:val="1"/>
        </w:numPr>
        <w:spacing w:line="600" w:lineRule="exact"/>
        <w:ind w:left="0" w:leftChars="0" w:firstLine="640" w:firstLineChars="200"/>
        <w:jc w:val="left"/>
        <w:rPr>
          <w:rFonts w:hint="eastAsia"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国有资本经营预算支出情</w:t>
      </w:r>
      <w:r>
        <w:rPr>
          <w:rFonts w:hint="eastAsia" w:ascii="Times New Roman" w:hAnsi="Times New Roman" w:eastAsia="黑体" w:cs="Times New Roman"/>
          <w:kern w:val="2"/>
          <w:sz w:val="32"/>
          <w:szCs w:val="32"/>
          <w:lang w:val="en-US" w:eastAsia="zh-CN" w:bidi="ar-SA"/>
        </w:rPr>
        <w:t>况</w:t>
      </w:r>
    </w:p>
    <w:p>
      <w:pPr>
        <w:pStyle w:val="2"/>
        <w:numPr>
          <w:ilvl w:val="0"/>
          <w:numId w:val="0"/>
        </w:numPr>
        <w:ind w:leftChars="200"/>
        <w:rPr>
          <w:rFonts w:hint="eastAsia" w:ascii="黑体" w:hAnsi="黑体" w:eastAsia="黑体" w:cs="黑体"/>
          <w:lang w:val="en-US" w:eastAsia="zh-CN"/>
        </w:rPr>
      </w:pPr>
      <w:r>
        <w:rPr>
          <w:rFonts w:hint="eastAsia" w:ascii="黑体" w:hAnsi="黑体" w:eastAsia="黑体" w:cs="黑体"/>
          <w:lang w:val="en-US" w:eastAsia="zh-CN"/>
        </w:rPr>
        <w:t>2022年我单位无国有资本经营预算支出</w:t>
      </w:r>
      <w:r>
        <w:rPr>
          <w:rFonts w:hint="eastAsia"/>
          <w:lang w:val="en-US" w:eastAsia="zh-CN"/>
        </w:rPr>
        <w:t>。</w:t>
      </w:r>
    </w:p>
    <w:p>
      <w:pPr>
        <w:pStyle w:val="2"/>
        <w:numPr>
          <w:ilvl w:val="0"/>
          <w:numId w:val="0"/>
        </w:numPr>
        <w:ind w:leftChars="200"/>
        <w:rPr>
          <w:rFonts w:hint="default"/>
          <w:lang w:val="en-US" w:eastAsia="zh-CN"/>
        </w:rPr>
      </w:pPr>
    </w:p>
    <w:p>
      <w:pPr>
        <w:widowControl/>
        <w:numPr>
          <w:ilvl w:val="0"/>
          <w:numId w:val="1"/>
        </w:numPr>
        <w:spacing w:line="600" w:lineRule="exact"/>
        <w:ind w:left="0" w:leftChars="0" w:firstLine="640" w:firstLineChars="200"/>
        <w:jc w:val="left"/>
        <w:rPr>
          <w:rFonts w:ascii="Times New Roman" w:hAnsi="Times New Roman" w:eastAsia="黑体" w:cs="Times New Roman"/>
          <w:kern w:val="2"/>
          <w:sz w:val="32"/>
          <w:szCs w:val="32"/>
          <w:lang w:val="en-US" w:eastAsia="zh-CN" w:bidi="ar-SA"/>
        </w:rPr>
      </w:pPr>
      <w:r>
        <w:rPr>
          <w:rFonts w:ascii="Times New Roman" w:hAnsi="Times New Roman" w:eastAsia="黑体" w:cs="Times New Roman"/>
          <w:kern w:val="2"/>
          <w:sz w:val="32"/>
          <w:szCs w:val="32"/>
          <w:lang w:val="en-US" w:eastAsia="zh-CN" w:bidi="ar-SA"/>
        </w:rPr>
        <w:t>社会保险基金预算支出情况</w:t>
      </w:r>
    </w:p>
    <w:p>
      <w:pPr>
        <w:pStyle w:val="2"/>
        <w:numPr>
          <w:ilvl w:val="0"/>
          <w:numId w:val="0"/>
        </w:numPr>
        <w:ind w:leftChars="200"/>
        <w:rPr>
          <w:lang w:val="en-US" w:eastAsia="zh-CN"/>
        </w:rPr>
      </w:pPr>
      <w:r>
        <w:rPr>
          <w:rFonts w:hint="eastAsia" w:ascii="黑体" w:hAnsi="黑体" w:eastAsia="黑体" w:cs="黑体"/>
          <w:lang w:val="en-US" w:eastAsia="zh-CN"/>
        </w:rPr>
        <w:t>2022年我单位社会保险基金预算支出</w:t>
      </w:r>
      <w:r>
        <w:rPr>
          <w:rFonts w:hint="eastAsia"/>
          <w:lang w:val="en-US" w:eastAsia="zh-CN"/>
        </w:rPr>
        <w:t>。</w:t>
      </w:r>
    </w:p>
    <w:p>
      <w:pPr>
        <w:widowControl/>
        <w:spacing w:line="600" w:lineRule="exact"/>
        <w:ind w:firstLine="645"/>
        <w:jc w:val="left"/>
        <w:rPr>
          <w:rFonts w:ascii="Times New Roman" w:hAnsi="Times New Roman" w:eastAsia="黑体" w:cs="Times New Roman"/>
          <w:sz w:val="32"/>
          <w:szCs w:val="32"/>
        </w:rPr>
      </w:pPr>
      <w:r>
        <w:rPr>
          <w:rFonts w:ascii="Times New Roman" w:hAnsi="Times New Roman" w:eastAsia="黑体" w:cs="Times New Roman"/>
          <w:sz w:val="32"/>
          <w:szCs w:val="32"/>
        </w:rPr>
        <w:t>六、部门整体支出绩效情况</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资产管理：我单位进一步加强资产的管理，制定了《资阳区城区公共房屋管理所资产管理制度》，明确了具体责任人，完善了固定资产档案，严格报批、销审等手续，做好资产登统计工作，单位无资产流失现象。</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三公经费”控制情况：贯彻落实上级有关精神，严格控制“三公经费”支出，取得了良好效果。制定了《资阳区城区公共房屋管理所财务管理制度》，规范单位公务接待的流程和要求。进一步加强内部管理。具体情况如下：</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2022年三公经费情况：2022年“三公”经费决算为0万元，控制较好；其中：公务用车费0万元，其中公务用车购置费0万元（共购买公务用车0台），公务用车运行维护费0万元；2022年无因公出国(境)费。</w:t>
      </w:r>
    </w:p>
    <w:p>
      <w:pPr>
        <w:pStyle w:val="4"/>
        <w:widowControl/>
        <w:spacing w:beforeAutospacing="0" w:afterAutospacing="0" w:line="26" w:lineRule="atLeast"/>
        <w:ind w:firstLine="420"/>
        <w:jc w:val="both"/>
        <w:rPr>
          <w:rFonts w:hint="eastAsia"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内部管理制度建设情况：近年来，我单位制定了《资阳区城区公共房屋管理所财务管理制度》、《资阳区城区公共房屋管理所内控制度》等一系列内部管理制度。</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（二）项目绩效总目标完成情况： 2022年加强对</w:t>
      </w:r>
      <w:r>
        <w:rPr>
          <w:rFonts w:hint="eastAsia" w:ascii="黑体" w:hAnsi="黑体" w:eastAsia="黑体" w:cs="黑体"/>
          <w:bCs/>
          <w:sz w:val="32"/>
          <w:szCs w:val="32"/>
        </w:rPr>
        <w:t>全区公共房屋管理、维修以及加强征拆工作的管理，促进全区保障性住房住房的发展工作</w:t>
      </w:r>
      <w:r>
        <w:rPr>
          <w:rFonts w:hint="eastAsia" w:ascii="黑体" w:hAnsi="黑体" w:eastAsia="黑体" w:cs="黑体"/>
          <w:bCs/>
          <w:sz w:val="32"/>
          <w:szCs w:val="32"/>
          <w:shd w:val="clear" w:color="auto" w:fill="FFFFFF"/>
        </w:rPr>
        <w:t>完成较好。</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资阳区城区公共房屋管理所充分履行职能，严格按财经法规及制度使用、管理资金，成效明显，资金使用社会效益好,保障</w:t>
      </w:r>
    </w:p>
    <w:p>
      <w:pPr>
        <w:widowControl/>
        <w:spacing w:line="600" w:lineRule="exact"/>
        <w:ind w:firstLine="640" w:firstLineChars="200"/>
        <w:jc w:val="lef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七、存在的问题及原因分析</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1.固定资产管理需进一步加强。修订完善固定资产管理制度，完善固定资产卡片及台账，进行定期清查，切实做到账、卡、物相符。</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2.因部分工作不可预见性，有些支出无法纳入预算，导致预算执行存在偏差。</w:t>
      </w:r>
    </w:p>
    <w:p>
      <w:pPr>
        <w:widowControl/>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八、下一步改进措施</w:t>
      </w:r>
    </w:p>
    <w:p>
      <w:pPr>
        <w:pStyle w:val="4"/>
        <w:widowControl/>
        <w:spacing w:beforeAutospacing="0" w:afterAutospacing="0" w:line="26" w:lineRule="atLeast"/>
        <w:ind w:firstLine="420"/>
        <w:jc w:val="both"/>
        <w:rPr>
          <w:rFonts w:hint="eastAsia" w:ascii="黑体" w:hAnsi="黑体" w:eastAsia="黑体" w:cs="黑体"/>
          <w:bCs/>
          <w:sz w:val="32"/>
          <w:szCs w:val="32"/>
        </w:rPr>
      </w:pPr>
      <w:r>
        <w:rPr>
          <w:rFonts w:hint="eastAsia" w:ascii="黑体" w:hAnsi="黑体" w:eastAsia="黑体" w:cs="黑体"/>
          <w:bCs/>
          <w:sz w:val="32"/>
          <w:szCs w:val="32"/>
          <w:shd w:val="clear" w:color="auto" w:fill="FFFFFF"/>
        </w:rPr>
        <w:t>1.完善管理制度，加强资产管理。进一步完善财务制度，公务费用支出实行计划管理，规范报批手续，严格实行审批制度和财务公开。严格按照《固定资产管理办法》的规定加强固定资产管理，及时登记、更新台账，年终对各类实物资产进行全面盘点，确保帐帐、帐实相符。</w:t>
      </w:r>
    </w:p>
    <w:p>
      <w:pPr>
        <w:pStyle w:val="4"/>
        <w:widowControl/>
        <w:spacing w:beforeAutospacing="0" w:afterAutospacing="0" w:line="26" w:lineRule="atLeast"/>
        <w:ind w:firstLine="420"/>
        <w:jc w:val="both"/>
        <w:rPr>
          <w:rFonts w:hint="eastAsia" w:ascii="黑体" w:hAnsi="黑体" w:eastAsia="黑体" w:cs="黑体"/>
          <w:sz w:val="32"/>
          <w:szCs w:val="32"/>
        </w:rPr>
      </w:pPr>
      <w:r>
        <w:rPr>
          <w:rFonts w:hint="eastAsia" w:ascii="黑体" w:hAnsi="黑体" w:eastAsia="黑体" w:cs="黑体"/>
          <w:sz w:val="32"/>
          <w:szCs w:val="32"/>
          <w:shd w:val="clear" w:color="auto" w:fill="FFFFFF"/>
        </w:rPr>
        <w:t>2.科学编制预算，严格执行预算。加强预算编制的前瞻性，按政策规定及本部门的发展规划，结合上一年度预算执行情况和本年度预算收支变化因素，科学、合理地编制本年预算草案，避免项目支出与基本支出划分不准或预算支出与实际执行出现偏差的情况，执行中确需调剂预算的，按规定程序报经批准。</w:t>
      </w:r>
    </w:p>
    <w:p>
      <w:pPr>
        <w:pStyle w:val="4"/>
        <w:widowControl/>
        <w:spacing w:beforeAutospacing="0" w:afterAutospacing="0" w:line="26" w:lineRule="atLeast"/>
        <w:ind w:firstLine="420"/>
        <w:jc w:val="both"/>
        <w:rPr>
          <w:rFonts w:hint="eastAsia" w:ascii="黑体" w:hAnsi="黑体" w:eastAsia="黑体" w:cs="黑体"/>
          <w:sz w:val="32"/>
          <w:szCs w:val="32"/>
        </w:rPr>
      </w:pPr>
      <w:r>
        <w:rPr>
          <w:rFonts w:hint="eastAsia" w:ascii="黑体" w:hAnsi="黑体" w:eastAsia="黑体" w:cs="黑体"/>
          <w:sz w:val="32"/>
          <w:szCs w:val="32"/>
          <w:shd w:val="clear" w:color="auto" w:fill="FFFFFF"/>
        </w:rPr>
        <w:t>3.增强节约意识。在全</w:t>
      </w:r>
      <w:r>
        <w:rPr>
          <w:rFonts w:hint="eastAsia" w:ascii="黑体" w:hAnsi="黑体" w:eastAsia="黑体" w:cs="黑体"/>
          <w:sz w:val="32"/>
          <w:szCs w:val="32"/>
          <w:shd w:val="clear" w:color="auto" w:fill="FFFFFF"/>
          <w:lang w:val="en-US" w:eastAsia="zh-CN"/>
        </w:rPr>
        <w:t>所</w:t>
      </w:r>
      <w:r>
        <w:rPr>
          <w:rFonts w:hint="eastAsia" w:ascii="黑体" w:hAnsi="黑体" w:eastAsia="黑体" w:cs="黑体"/>
          <w:sz w:val="32"/>
          <w:szCs w:val="32"/>
          <w:shd w:val="clear" w:color="auto" w:fill="FFFFFF"/>
        </w:rPr>
        <w:t>上下积极营造勤俭节约的良好氛围，努力建设节约型机关单位，确保每一分钱都用在事业的创新发展上。</w:t>
      </w:r>
    </w:p>
    <w:p>
      <w:pPr>
        <w:widowControl/>
        <w:numPr>
          <w:ilvl w:val="0"/>
          <w:numId w:val="4"/>
        </w:numPr>
        <w:spacing w:line="600" w:lineRule="exact"/>
        <w:ind w:firstLine="645"/>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部门整体支出绩效自评结果拟应用和公开情况</w:t>
      </w:r>
    </w:p>
    <w:p>
      <w:pPr>
        <w:widowControl/>
        <w:spacing w:line="600" w:lineRule="exact"/>
        <w:ind w:firstLine="645"/>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无</w:t>
      </w:r>
    </w:p>
    <w:p>
      <w:pPr>
        <w:widowControl/>
        <w:spacing w:line="600" w:lineRule="exact"/>
        <w:ind w:firstLine="645"/>
        <w:jc w:val="left"/>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其他需要说明的情况</w:t>
      </w:r>
    </w:p>
    <w:p>
      <w:pPr>
        <w:pStyle w:val="4"/>
        <w:widowControl/>
        <w:spacing w:beforeAutospacing="0" w:afterAutospacing="0" w:line="26" w:lineRule="atLeast"/>
        <w:ind w:firstLine="420"/>
        <w:jc w:val="both"/>
        <w:rPr>
          <w:rFonts w:hint="eastAsia" w:ascii="黑体" w:hAnsi="黑体" w:eastAsia="黑体" w:cs="黑体"/>
          <w:sz w:val="32"/>
          <w:szCs w:val="32"/>
        </w:rPr>
      </w:pPr>
      <w:r>
        <w:rPr>
          <w:rFonts w:hint="eastAsia" w:ascii="黑体" w:hAnsi="黑体" w:eastAsia="黑体" w:cs="黑体"/>
          <w:sz w:val="32"/>
          <w:szCs w:val="32"/>
          <w:shd w:val="clear" w:color="auto" w:fill="FFFFFF"/>
        </w:rPr>
        <w:t>其他需要说明的情况无。</w:t>
      </w:r>
    </w:p>
    <w:p>
      <w:pPr>
        <w:rPr>
          <w:rFonts w:hint="eastAsia" w:ascii="黑体" w:hAnsi="黑体" w:eastAsia="黑体" w:cs="黑体"/>
          <w:sz w:val="32"/>
          <w:szCs w:val="32"/>
        </w:rPr>
      </w:pPr>
    </w:p>
    <w:p>
      <w:pPr>
        <w:pStyle w:val="2"/>
        <w:rPr>
          <w:rFonts w:hint="eastAsia" w:ascii="黑体" w:hAnsi="黑体" w:eastAsia="黑体" w:cs="黑体"/>
          <w:sz w:val="32"/>
          <w:szCs w:val="32"/>
        </w:rPr>
      </w:pPr>
    </w:p>
    <w:p>
      <w:pPr>
        <w:widowControl/>
        <w:spacing w:line="600" w:lineRule="exact"/>
        <w:ind w:firstLine="645"/>
        <w:jc w:val="left"/>
        <w:rPr>
          <w:rFonts w:hint="eastAsia" w:ascii="黑体" w:hAnsi="黑体" w:eastAsia="黑体" w:cs="黑体"/>
          <w:sz w:val="32"/>
          <w:szCs w:val="32"/>
        </w:rPr>
      </w:pPr>
      <w:r>
        <w:rPr>
          <w:rFonts w:hint="eastAsia" w:ascii="黑体" w:hAnsi="黑体" w:eastAsia="黑体" w:cs="黑体"/>
          <w:sz w:val="32"/>
          <w:szCs w:val="32"/>
        </w:rPr>
        <w:t>报告需要以下附件：</w:t>
      </w:r>
    </w:p>
    <w:p>
      <w:pPr>
        <w:widowControl/>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1、部门整体支出绩效评价基础数据表</w:t>
      </w:r>
    </w:p>
    <w:p>
      <w:pPr>
        <w:widowControl/>
        <w:spacing w:line="60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2、部门整体支出绩效自评表</w:t>
      </w:r>
    </w:p>
    <w:p>
      <w:pPr>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rPr>
          <w:rFonts w:hint="eastAsia" w:ascii="黑体" w:hAnsi="黑体" w:eastAsia="黑体" w:cs="黑体"/>
          <w:sz w:val="32"/>
          <w:szCs w:val="32"/>
        </w:rPr>
      </w:pPr>
    </w:p>
    <w:p>
      <w:pPr>
        <w:pStyle w:val="2"/>
      </w:pPr>
    </w:p>
    <w:p>
      <w:pPr>
        <w:pStyle w:val="2"/>
      </w:pPr>
    </w:p>
    <w:p>
      <w:pPr>
        <w:pStyle w:val="2"/>
      </w:pPr>
    </w:p>
    <w:p>
      <w:pPr>
        <w:pStyle w:val="2"/>
      </w:pPr>
    </w:p>
    <w:p>
      <w:pPr>
        <w:pStyle w:val="2"/>
      </w:pPr>
    </w:p>
    <w:p>
      <w:pPr>
        <w:pStyle w:val="2"/>
        <w:ind w:left="0" w:leftChars="0" w:firstLine="0" w:firstLineChars="0"/>
      </w:pPr>
    </w:p>
    <w:p>
      <w:pPr>
        <w:keepNext w:val="0"/>
        <w:keepLines w:val="0"/>
        <w:pageBreakBefore/>
        <w:widowControl/>
        <w:kinsoku/>
        <w:wordWrap/>
        <w:overflowPunct/>
        <w:topLinePunct w:val="0"/>
        <w:autoSpaceDE/>
        <w:autoSpaceDN/>
        <w:bidi w:val="0"/>
        <w:adjustRightInd/>
        <w:snapToGrid/>
        <w:spacing w:line="400" w:lineRule="exact"/>
        <w:jc w:val="lef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_GBK"/>
          <w:kern w:val="0"/>
          <w:sz w:val="36"/>
          <w:szCs w:val="36"/>
        </w:rPr>
      </w:pPr>
      <w:r>
        <w:rPr>
          <w:rFonts w:eastAsia="方正小标宋_GBK"/>
          <w:kern w:val="0"/>
          <w:sz w:val="36"/>
          <w:szCs w:val="36"/>
        </w:rPr>
        <w:t>202</w:t>
      </w:r>
      <w:r>
        <w:rPr>
          <w:rFonts w:hint="eastAsia" w:eastAsia="方正小标宋_GBK"/>
          <w:kern w:val="0"/>
          <w:sz w:val="36"/>
          <w:szCs w:val="36"/>
          <w:lang w:val="en-US" w:eastAsia="zh-CN"/>
        </w:rPr>
        <w:t>2</w:t>
      </w:r>
      <w:r>
        <w:rPr>
          <w:rFonts w:eastAsia="方正小标宋_GBK"/>
          <w:kern w:val="0"/>
          <w:sz w:val="36"/>
          <w:szCs w:val="36"/>
        </w:rPr>
        <w:t>年度部门整体支出绩效评价基础数据表</w:t>
      </w:r>
    </w:p>
    <w:tbl>
      <w:tblPr>
        <w:tblStyle w:val="5"/>
        <w:tblW w:w="9695" w:type="dxa"/>
        <w:jc w:val="center"/>
        <w:tblLayout w:type="fixed"/>
        <w:tblCellMar>
          <w:top w:w="0" w:type="dxa"/>
          <w:left w:w="108" w:type="dxa"/>
          <w:bottom w:w="0" w:type="dxa"/>
          <w:right w:w="108" w:type="dxa"/>
        </w:tblCellMar>
      </w:tblPr>
      <w:tblGrid>
        <w:gridCol w:w="3214"/>
        <w:gridCol w:w="1200"/>
        <w:gridCol w:w="1125"/>
        <w:gridCol w:w="1080"/>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财政供养人员情况（人）</w:t>
            </w: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编制数</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232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经费控制情况（万元）</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w:t>
            </w:r>
            <w:r>
              <w:rPr>
                <w:rFonts w:hint="eastAsia" w:ascii="Times New Roman" w:hAnsi="Times New Roman" w:cs="Times New Roman"/>
                <w:b/>
                <w:bCs/>
                <w:kern w:val="0"/>
                <w:sz w:val="21"/>
                <w:szCs w:val="21"/>
                <w:lang w:val="en-US" w:eastAsia="zh-CN"/>
              </w:rPr>
              <w:t>21</w:t>
            </w:r>
            <w:r>
              <w:rPr>
                <w:rFonts w:ascii="Times New Roman" w:hAnsi="Times New Roman" w:eastAsia="仿宋_GB2312" w:cs="Times New Roman"/>
                <w:b/>
                <w:bCs/>
                <w:kern w:val="0"/>
                <w:sz w:val="21"/>
                <w:szCs w:val="21"/>
              </w:rPr>
              <w:t>年决算数</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r>
              <w:rPr>
                <w:rFonts w:ascii="Times New Roman" w:hAnsi="Times New Roman" w:eastAsia="仿宋_GB2312" w:cs="Times New Roman"/>
                <w:b/>
                <w:bCs/>
                <w:kern w:val="0"/>
                <w:sz w:val="21"/>
                <w:szCs w:val="21"/>
              </w:rPr>
              <w:t>202</w:t>
            </w:r>
            <w:r>
              <w:rPr>
                <w:rFonts w:hint="eastAsia" w:ascii="Times New Roman" w:hAnsi="Times New Roman" w:cs="Times New Roman"/>
                <w:b/>
                <w:bCs/>
                <w:kern w:val="0"/>
                <w:sz w:val="21"/>
                <w:szCs w:val="21"/>
                <w:lang w:val="en-US" w:eastAsia="zh-CN"/>
              </w:rPr>
              <w:t>2</w:t>
            </w:r>
            <w:r>
              <w:rPr>
                <w:rFonts w:ascii="Times New Roman" w:hAnsi="Times New Roman" w:eastAsia="仿宋_GB2312" w:cs="Times New Roman"/>
                <w:b/>
                <w:bCs/>
                <w:kern w:val="0"/>
                <w:sz w:val="21"/>
                <w:szCs w:val="21"/>
              </w:rPr>
              <w:t>年决算数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eastAsia="zh-CN"/>
              </w:rPr>
            </w:pPr>
            <w:r>
              <w:rPr>
                <w:rFonts w:hint="eastAsia" w:ascii="Times New Roman" w:hAnsi="Times New Roman" w:cs="Times New Roman"/>
                <w:b/>
                <w:bCs/>
                <w:kern w:val="0"/>
                <w:sz w:val="21"/>
                <w:szCs w:val="21"/>
                <w:lang w:eastAsia="zh-CN"/>
              </w:rPr>
              <w:t>支出总额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b/>
                <w:bCs/>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Times New Roman" w:hAnsi="Times New Roman" w:eastAsia="仿宋_GB2312" w:cs="Times New Roman"/>
                <w:kern w:val="0"/>
                <w:sz w:val="21"/>
                <w:szCs w:val="21"/>
                <w:lang w:val="en-US" w:eastAsia="zh-CN" w:bidi="ar-SA"/>
              </w:rPr>
            </w:pPr>
            <w:r>
              <w:rPr>
                <w:rFonts w:hint="eastAsia" w:ascii="Times New Roman" w:hAnsi="Times New Roman" w:cs="Times New Roman"/>
                <w:b/>
                <w:bCs/>
                <w:kern w:val="0"/>
                <w:sz w:val="21"/>
                <w:szCs w:val="21"/>
                <w:lang w:eastAsia="zh-CN"/>
              </w:rPr>
              <w:t>基本支出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w:t>
            </w:r>
            <w:r>
              <w:rPr>
                <w:rFonts w:hint="eastAsia" w:ascii="Times New Roman" w:hAnsi="Times New Roman" w:cs="Times New Roman"/>
                <w:kern w:val="0"/>
                <w:sz w:val="21"/>
                <w:szCs w:val="21"/>
                <w:lang w:eastAsia="zh-CN"/>
              </w:rPr>
              <w:t>公用</w:t>
            </w:r>
            <w:r>
              <w:rPr>
                <w:rFonts w:ascii="Times New Roman" w:hAnsi="Times New Roman" w:eastAsia="仿宋_GB2312" w:cs="Times New Roman"/>
                <w:kern w:val="0"/>
                <w:sz w:val="21"/>
                <w:szCs w:val="21"/>
              </w:rPr>
              <w:t>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项目支出</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default" w:ascii="Times New Roman" w:hAnsi="Times New Roman" w:eastAsia="仿宋_GB2312" w:cs="Times New Roman"/>
                <w:b/>
                <w:bCs/>
                <w:kern w:val="0"/>
                <w:sz w:val="21"/>
                <w:szCs w:val="21"/>
                <w:lang w:val="en-US" w:eastAsia="zh-CN"/>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hint="eastAsia" w:ascii="Times New Roman" w:hAnsi="Times New Roman" w:cs="Times New Roman"/>
                <w:kern w:val="0"/>
                <w:sz w:val="21"/>
                <w:szCs w:val="21"/>
                <w:lang w:eastAsia="zh-CN"/>
              </w:rPr>
              <w:t>其中：</w:t>
            </w:r>
            <w:r>
              <w:rPr>
                <w:rFonts w:hint="eastAsia" w:ascii="Times New Roman" w:hAnsi="Times New Roman" w:cs="Times New Roman"/>
                <w:kern w:val="0"/>
                <w:sz w:val="21"/>
                <w:szCs w:val="21"/>
                <w:lang w:val="en-US" w:eastAsia="zh-CN"/>
              </w:rPr>
              <w:t>1、运行维护经费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580"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2、</w:t>
            </w:r>
            <w:r>
              <w:rPr>
                <w:rFonts w:ascii="Times New Roman" w:hAnsi="Times New Roman" w:eastAsia="仿宋_GB2312" w:cs="Times New Roman"/>
                <w:kern w:val="0"/>
                <w:sz w:val="21"/>
                <w:szCs w:val="21"/>
              </w:rPr>
              <w:t>专项资金</w:t>
            </w:r>
          </w:p>
          <w:p>
            <w:pPr>
              <w:keepNext w:val="0"/>
              <w:keepLines w:val="0"/>
              <w:pageBreakBefore w:val="0"/>
              <w:widowControl/>
              <w:kinsoku/>
              <w:wordWrap/>
              <w:overflowPunct/>
              <w:topLinePunct w:val="0"/>
              <w:autoSpaceDE/>
              <w:autoSpaceDN/>
              <w:bidi w:val="0"/>
              <w:adjustRightInd/>
              <w:snapToGrid/>
              <w:spacing w:line="220" w:lineRule="exact"/>
              <w:ind w:firstLine="840" w:firstLineChars="400"/>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（一个项</w:t>
            </w:r>
            <w:r>
              <w:rPr>
                <w:rFonts w:hint="eastAsia" w:ascii="Times New Roman" w:hAnsi="Times New Roman" w:cs="Times New Roman"/>
                <w:kern w:val="0"/>
                <w:sz w:val="21"/>
                <w:szCs w:val="21"/>
                <w:lang w:eastAsia="zh-CN"/>
              </w:rPr>
              <w:t>目</w:t>
            </w:r>
            <w:r>
              <w:rPr>
                <w:rFonts w:ascii="Times New Roman" w:hAnsi="Times New Roman" w:eastAsia="仿宋_GB2312" w:cs="Times New Roman"/>
                <w:kern w:val="0"/>
                <w:sz w:val="21"/>
                <w:szCs w:val="21"/>
              </w:rPr>
              <w:t xml:space="preserve">一行） </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w:t>
            </w:r>
            <w:r>
              <w:rPr>
                <w:rFonts w:hint="eastAsia" w:ascii="Times New Roman" w:hAnsi="Times New Roman" w:cs="Times New Roman"/>
                <w:kern w:val="0"/>
                <w:sz w:val="21"/>
                <w:szCs w:val="21"/>
                <w:lang w:val="en-US" w:eastAsia="zh-CN"/>
              </w:rPr>
              <w:t xml:space="preserve">      </w:t>
            </w: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1050" w:firstLineChars="500"/>
              <w:jc w:val="both"/>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b/>
                <w:bCs/>
                <w:kern w:val="0"/>
                <w:sz w:val="21"/>
                <w:szCs w:val="21"/>
              </w:rPr>
              <w:t>三公经费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1、公务用车购置和维护经费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其中：公车购置</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公车运行维护</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2、出国经费</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 w:val="21"/>
                <w:szCs w:val="21"/>
              </w:rPr>
              <w:t xml:space="preserve">   3、公务接待</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color w:val="FF0000"/>
                <w:kern w:val="0"/>
                <w:sz w:val="21"/>
                <w:szCs w:val="21"/>
              </w:rPr>
            </w:pPr>
            <w:r>
              <w:rPr>
                <w:rFonts w:ascii="Times New Roman" w:hAnsi="Times New Roman" w:eastAsia="仿宋_GB2312" w:cs="Times New Roman"/>
                <w:color w:val="FF0000"/>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b/>
                <w:bCs/>
                <w:kern w:val="0"/>
                <w:sz w:val="21"/>
                <w:szCs w:val="21"/>
              </w:rPr>
              <w:t>政府采购金额</w:t>
            </w:r>
          </w:p>
        </w:tc>
        <w:tc>
          <w:tcPr>
            <w:tcW w:w="2325"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c>
          <w:tcPr>
            <w:tcW w:w="2220"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楼堂馆所控制情况</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（202</w:t>
            </w:r>
            <w:r>
              <w:rPr>
                <w:rFonts w:hint="eastAsia" w:ascii="Times New Roman" w:hAnsi="Times New Roman" w:cs="Times New Roman"/>
                <w:kern w:val="0"/>
                <w:sz w:val="21"/>
                <w:szCs w:val="21"/>
                <w:lang w:val="en-US" w:eastAsia="zh-CN"/>
              </w:rPr>
              <w:t>1</w:t>
            </w:r>
            <w:r>
              <w:rPr>
                <w:rFonts w:ascii="Times New Roman" w:hAnsi="Times New Roman" w:eastAsia="仿宋_GB2312" w:cs="Times New Roman"/>
                <w:kern w:val="0"/>
                <w:sz w:val="21"/>
                <w:szCs w:val="21"/>
              </w:rPr>
              <w:t>年完工项目）</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批复规模</w:t>
            </w:r>
            <w:r>
              <w:rPr>
                <w:rFonts w:ascii="Times New Roman" w:hAnsi="Times New Roman" w:eastAsia="仿宋_GB2312" w:cs="Times New Roman"/>
                <w:kern w:val="0"/>
                <w:sz w:val="21"/>
                <w:szCs w:val="21"/>
              </w:rPr>
              <w:br w:type="textWrapping"/>
            </w:r>
            <w:r>
              <w:rPr>
                <w:rFonts w:ascii="Times New Roman" w:hAnsi="Times New Roman" w:eastAsia="仿宋_GB2312" w:cs="Times New Roman"/>
                <w:kern w:val="0"/>
                <w:sz w:val="21"/>
                <w:szCs w:val="21"/>
              </w:rPr>
              <w:t>（㎡）</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实际规模（㎡）</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p>
        </w:tc>
        <w:tc>
          <w:tcPr>
            <w:tcW w:w="12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114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6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c>
          <w:tcPr>
            <w:tcW w:w="9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r>
        <w:tblPrEx>
          <w:tblCellMar>
            <w:top w:w="0" w:type="dxa"/>
            <w:left w:w="108" w:type="dxa"/>
            <w:bottom w:w="0" w:type="dxa"/>
            <w:right w:w="108" w:type="dxa"/>
          </w:tblCellMar>
        </w:tblPrEx>
        <w:trPr>
          <w:trHeight w:val="691" w:hRule="atLeast"/>
          <w:jc w:val="center"/>
        </w:trPr>
        <w:tc>
          <w:tcPr>
            <w:tcW w:w="321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厉行节约保障措施</w:t>
            </w:r>
          </w:p>
        </w:tc>
        <w:tc>
          <w:tcPr>
            <w:tcW w:w="6481" w:type="dxa"/>
            <w:gridSpan w:val="6"/>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　</w:t>
            </w:r>
          </w:p>
        </w:tc>
      </w:tr>
    </w:tbl>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eastAsia="仿宋_GB2312"/>
          <w:kern w:val="0"/>
          <w:sz w:val="22"/>
          <w:szCs w:val="24"/>
          <w:lang w:eastAsia="zh-CN"/>
        </w:rPr>
      </w:pPr>
      <w:r>
        <w:rPr>
          <w:rFonts w:eastAsia="仿宋_GB2312"/>
          <w:kern w:val="0"/>
          <w:sz w:val="22"/>
          <w:szCs w:val="24"/>
        </w:rPr>
        <w:t>说明：“公用经费”填报基本支出中的一般商品和服务支出。“项目支出”需要填报基本支出以外的所有项目支出情况，</w:t>
      </w:r>
      <w:r>
        <w:rPr>
          <w:rFonts w:hint="eastAsia"/>
          <w:kern w:val="0"/>
          <w:sz w:val="22"/>
          <w:szCs w:val="24"/>
          <w:lang w:eastAsia="zh-CN"/>
        </w:rPr>
        <w:t>“运行维护经费”填报项目支出中用于人员类和公用运转类的支出。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imes New Roman" w:hAnsi="Times New Roman" w:eastAsia="黑体" w:cs="Times New Roman"/>
          <w:sz w:val="32"/>
          <w:szCs w:val="32"/>
          <w:lang w:val="en-US" w:eastAsia="zh-CN"/>
        </w:rPr>
      </w:pPr>
      <w:r>
        <w:rPr>
          <w:rFonts w:eastAsia="仿宋_GB2312"/>
          <w:kern w:val="0"/>
          <w:sz w:val="22"/>
          <w:szCs w:val="24"/>
        </w:rPr>
        <w:t>填表人：        填报日期：          联系电话：            单位负责人签字：</w:t>
      </w:r>
      <w:r>
        <w:rPr>
          <w:rFonts w:eastAsia="仿宋_GB2312"/>
          <w:kern w:val="0"/>
          <w:sz w:val="22"/>
          <w:szCs w:val="24"/>
        </w:rPr>
        <w:br w:type="page"/>
      </w: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w:t>
      </w:r>
      <w:r>
        <w:rPr>
          <w:rFonts w:hint="eastAsia" w:ascii="Times New Roman" w:hAnsi="Times New Roman" w:eastAsia="方正小标宋_GBK" w:cs="Times New Roman"/>
          <w:color w:val="000000"/>
          <w:kern w:val="0"/>
          <w:sz w:val="36"/>
          <w:szCs w:val="36"/>
          <w:lang w:val="en-US" w:eastAsia="zh-CN"/>
        </w:rPr>
        <w:t>2</w:t>
      </w:r>
      <w:r>
        <w:rPr>
          <w:rFonts w:ascii="Times New Roman" w:hAnsi="Times New Roman" w:eastAsia="方正小标宋_GBK" w:cs="Times New Roman"/>
          <w:color w:val="000000"/>
          <w:kern w:val="0"/>
          <w:sz w:val="36"/>
          <w:szCs w:val="36"/>
        </w:rPr>
        <w:t>年度部门整体支出绩效自评表</w:t>
      </w:r>
    </w:p>
    <w:tbl>
      <w:tblPr>
        <w:tblStyle w:val="5"/>
        <w:tblW w:w="9993" w:type="dxa"/>
        <w:jc w:val="center"/>
        <w:tblLayout w:type="autofit"/>
        <w:tblCellMar>
          <w:top w:w="0" w:type="dxa"/>
          <w:left w:w="108" w:type="dxa"/>
          <w:bottom w:w="0" w:type="dxa"/>
          <w:right w:w="108" w:type="dxa"/>
        </w:tblCellMar>
      </w:tblPr>
      <w:tblGrid>
        <w:gridCol w:w="1080"/>
        <w:gridCol w:w="1080"/>
        <w:gridCol w:w="953"/>
        <w:gridCol w:w="1256"/>
        <w:gridCol w:w="95"/>
        <w:gridCol w:w="1200"/>
        <w:gridCol w:w="1276"/>
        <w:gridCol w:w="812"/>
        <w:gridCol w:w="889"/>
        <w:gridCol w:w="1352"/>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预算部门</w:t>
            </w:r>
          </w:p>
        </w:tc>
        <w:tc>
          <w:tcPr>
            <w:tcW w:w="8913"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年度预</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算申请</w:t>
            </w:r>
            <w:r>
              <w:rPr>
                <w:rFonts w:ascii="Times New Roman" w:hAnsi="Times New Roman" w:eastAsia="仿宋_GB2312" w:cs="Times New Roman"/>
                <w:color w:val="000000"/>
                <w:kern w:val="0"/>
                <w:sz w:val="21"/>
                <w:szCs w:val="21"/>
              </w:rPr>
              <w:br w:type="textWrapping"/>
            </w:r>
            <w:r>
              <w:rPr>
                <w:rFonts w:ascii="Times New Roman" w:hAnsi="Times New Roman" w:eastAsia="仿宋_GB2312" w:cs="Times New Roman"/>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年初</w:t>
            </w:r>
          </w:p>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全年预算数</w:t>
            </w: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全年执行数</w:t>
            </w: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分值</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执行率</w:t>
            </w: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r>
              <w:rPr>
                <w:rFonts w:ascii="Times New Roman" w:hAnsi="Times New Roman" w:eastAsia="仿宋_GB2312" w:cs="Times New Roman"/>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95" w:type="dxa"/>
            <w:gridSpan w:val="2"/>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276"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812" w:type="dxa"/>
            <w:tcBorders>
              <w:top w:val="nil"/>
              <w:left w:val="nil"/>
              <w:bottom w:val="single" w:color="auto" w:sz="4" w:space="0"/>
              <w:right w:val="single" w:color="auto" w:sz="4" w:space="0"/>
            </w:tcBorders>
            <w:noWrap w:val="0"/>
            <w:vAlign w:val="center"/>
          </w:tcPr>
          <w:p>
            <w:pPr>
              <w:spacing w:line="240" w:lineRule="exact"/>
              <w:jc w:val="center"/>
              <w:rPr>
                <w:rFonts w:hint="eastAsia" w:ascii="Times New Roman" w:hAnsi="Times New Roman" w:eastAsia="仿宋_GB2312" w:cs="Times New Roman"/>
                <w:sz w:val="21"/>
                <w:szCs w:val="21"/>
                <w:lang w:eastAsia="zh-CN"/>
              </w:rPr>
            </w:pPr>
            <w:r>
              <w:rPr>
                <w:rFonts w:ascii="Times New Roman" w:hAnsi="Times New Roman" w:eastAsia="仿宋_GB2312" w:cs="Times New Roman"/>
                <w:sz w:val="21"/>
                <w:szCs w:val="21"/>
              </w:rPr>
              <w:t>10</w:t>
            </w:r>
            <w:r>
              <w:rPr>
                <w:rFonts w:hint="eastAsia" w:ascii="Times New Roman" w:hAnsi="Times New Roman" w:cs="Times New Roman"/>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c>
          <w:tcPr>
            <w:tcW w:w="1352" w:type="dxa"/>
            <w:tcBorders>
              <w:top w:val="nil"/>
              <w:left w:val="nil"/>
              <w:bottom w:val="single" w:color="auto" w:sz="4" w:space="0"/>
              <w:right w:val="single" w:color="auto" w:sz="4" w:space="0"/>
            </w:tcBorders>
            <w:noWrap w:val="0"/>
            <w:vAlign w:val="center"/>
          </w:tcPr>
          <w:p>
            <w:pPr>
              <w:spacing w:line="240" w:lineRule="exact"/>
              <w:jc w:val="center"/>
              <w:rPr>
                <w:rFonts w:ascii="Times New Roman" w:hAnsi="Times New Roman" w:eastAsia="仿宋_GB2312" w:cs="Times New Roman"/>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按收入性质分：</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按支出性质分：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xml:space="preserve">  其中：  一般公共预算：</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其中：基本支出：</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840" w:firstLineChars="4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政府性基金拨款：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ind w:firstLine="630" w:firstLineChars="3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项目支出：</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纳入专户管理的非税收入拨款：</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40" w:lineRule="exact"/>
              <w:ind w:firstLine="1470" w:firstLineChars="700"/>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其他资金：</w:t>
            </w:r>
          </w:p>
        </w:tc>
        <w:tc>
          <w:tcPr>
            <w:tcW w:w="4329" w:type="dxa"/>
            <w:gridSpan w:val="4"/>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年度总体目标</w:t>
            </w: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预期目标</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4584" w:type="dxa"/>
            <w:gridSpan w:val="5"/>
            <w:tcBorders>
              <w:top w:val="single" w:color="auto" w:sz="4" w:space="0"/>
              <w:left w:val="nil"/>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4329"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绩</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标</w:t>
            </w:r>
          </w:p>
          <w:p>
            <w:pPr>
              <w:widowControl/>
              <w:spacing w:line="240" w:lineRule="exact"/>
              <w:jc w:val="center"/>
              <w:rPr>
                <w:rFonts w:ascii="Times New Roman" w:hAnsi="Times New Roman" w:eastAsia="仿宋_GB2312" w:cs="Times New Roman"/>
                <w:color w:val="000000"/>
                <w:kern w:val="0"/>
                <w:sz w:val="21"/>
                <w:szCs w:val="21"/>
              </w:rPr>
            </w:pP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一级指标</w:t>
            </w:r>
          </w:p>
        </w:tc>
        <w:tc>
          <w:tcPr>
            <w:tcW w:w="953"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二级指标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三级指标</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年度</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指标值</w:t>
            </w:r>
          </w:p>
        </w:tc>
        <w:tc>
          <w:tcPr>
            <w:tcW w:w="1276" w:type="dxa"/>
            <w:tcBorders>
              <w:top w:val="nil"/>
              <w:left w:val="nil"/>
              <w:bottom w:val="single" w:color="auto" w:sz="4" w:space="0"/>
              <w:right w:val="single" w:color="auto" w:sz="4" w:space="0"/>
            </w:tcBorders>
            <w:noWrap w:val="0"/>
            <w:vAlign w:val="center"/>
          </w:tcPr>
          <w:p>
            <w:pPr>
              <w:widowControl/>
              <w:spacing w:line="240" w:lineRule="exac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实际完成值</w:t>
            </w:r>
          </w:p>
        </w:tc>
        <w:tc>
          <w:tcPr>
            <w:tcW w:w="81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分值</w:t>
            </w:r>
          </w:p>
        </w:tc>
        <w:tc>
          <w:tcPr>
            <w:tcW w:w="889"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得分</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偏差原因</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分析及</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产出指标</w:t>
            </w:r>
          </w:p>
          <w:p>
            <w:pPr>
              <w:widowControl/>
              <w:spacing w:line="240" w:lineRule="exact"/>
              <w:jc w:val="center"/>
              <w:rPr>
                <w:rFonts w:ascii="Times New Roman" w:hAnsi="Times New Roman" w:eastAsia="仿宋_GB2312" w:cs="Times New Roman"/>
                <w:color w:val="000000"/>
                <w:kern w:val="0"/>
                <w:sz w:val="21"/>
                <w:szCs w:val="21"/>
              </w:rPr>
            </w:pPr>
          </w:p>
          <w:p>
            <w:pPr>
              <w:widowControl/>
              <w:spacing w:line="240" w:lineRule="exact"/>
              <w:jc w:val="center"/>
              <w:rPr>
                <w:rFonts w:ascii="Times New Roman" w:hAnsi="Times New Roman" w:eastAsia="仿宋_GB2312" w:cs="Times New Roman"/>
                <w:color w:val="000000"/>
                <w:kern w:val="0"/>
                <w:sz w:val="21"/>
                <w:szCs w:val="21"/>
              </w:rPr>
            </w:pPr>
            <w:r>
              <w:rPr>
                <w:rFonts w:hint="eastAsia" w:ascii="Times New Roman" w:hAnsi="Times New Roman" w:cs="Times New Roman"/>
                <w:color w:val="000000"/>
                <w:kern w:val="0"/>
                <w:sz w:val="21"/>
                <w:szCs w:val="21"/>
                <w:lang w:eastAsia="zh-CN"/>
              </w:rPr>
              <w:t>（</w:t>
            </w:r>
            <w:r>
              <w:rPr>
                <w:rFonts w:ascii="Times New Roman" w:hAnsi="Times New Roman" w:eastAsia="仿宋_GB2312" w:cs="Times New Roman"/>
                <w:color w:val="000000"/>
                <w:kern w:val="0"/>
                <w:sz w:val="21"/>
                <w:szCs w:val="21"/>
              </w:rPr>
              <w:t>50分</w:t>
            </w:r>
            <w:r>
              <w:rPr>
                <w:rFonts w:hint="eastAsia" w:ascii="Times New Roman" w:hAnsi="Times New Roman" w:cs="Times New Roman"/>
                <w:color w:val="000000"/>
                <w:kern w:val="0"/>
                <w:sz w:val="21"/>
                <w:szCs w:val="21"/>
                <w:lang w:eastAsia="zh-CN"/>
              </w:rPr>
              <w:t>）</w:t>
            </w: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数量指标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质量指标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时效指标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成本指标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restart"/>
            <w:tcBorders>
              <w:top w:val="nil"/>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效益指标</w:t>
            </w:r>
          </w:p>
          <w:p>
            <w:pPr>
              <w:widowControl/>
              <w:spacing w:line="240" w:lineRule="exact"/>
              <w:jc w:val="left"/>
              <w:rPr>
                <w:rFonts w:ascii="Times New Roman" w:hAnsi="Times New Roman" w:eastAsia="仿宋_GB2312" w:cs="Times New Roman"/>
                <w:color w:val="000000"/>
                <w:kern w:val="0"/>
                <w:sz w:val="21"/>
                <w:szCs w:val="21"/>
              </w:rPr>
            </w:pP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cs="Times New Roman"/>
                <w:color w:val="000000"/>
                <w:kern w:val="0"/>
                <w:sz w:val="21"/>
                <w:szCs w:val="21"/>
                <w:lang w:val="en-US" w:eastAsia="zh-CN"/>
              </w:rPr>
              <w:t>4</w:t>
            </w:r>
            <w:r>
              <w:rPr>
                <w:rFonts w:ascii="Times New Roman" w:hAnsi="Times New Roman" w:eastAsia="仿宋_GB2312" w:cs="Times New Roman"/>
                <w:color w:val="000000"/>
                <w:kern w:val="0"/>
                <w:sz w:val="21"/>
                <w:szCs w:val="21"/>
              </w:rPr>
              <w:t>0分）</w:t>
            </w:r>
          </w:p>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经济效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社会效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生态效</w:t>
            </w:r>
          </w:p>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益指标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48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p>
        </w:tc>
        <w:tc>
          <w:tcPr>
            <w:tcW w:w="953" w:type="dxa"/>
            <w:vMerge w:val="restart"/>
            <w:tcBorders>
              <w:top w:val="nil"/>
              <w:left w:val="nil"/>
              <w:right w:val="single" w:color="auto"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服务对象满意度指标</w:t>
            </w: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指标1：</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right w:val="single" w:color="auto" w:sz="4" w:space="0"/>
            </w:tcBorders>
            <w:noWrap w:val="0"/>
            <w:vAlign w:val="center"/>
          </w:tcPr>
          <w:p>
            <w:pPr>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指标2：</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953" w:type="dxa"/>
            <w:vMerge w:val="continue"/>
            <w:tcBorders>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p>
        </w:tc>
        <w:tc>
          <w:tcPr>
            <w:tcW w:w="1200"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1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6940"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24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总分</w:t>
            </w:r>
          </w:p>
        </w:tc>
        <w:tc>
          <w:tcPr>
            <w:tcW w:w="812" w:type="dxa"/>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color w:val="000000"/>
                <w:kern w:val="0"/>
                <w:sz w:val="21"/>
                <w:szCs w:val="21"/>
                <w:lang w:eastAsia="zh-CN"/>
              </w:rPr>
            </w:pPr>
            <w:r>
              <w:rPr>
                <w:rFonts w:ascii="Times New Roman" w:hAnsi="Times New Roman" w:eastAsia="仿宋_GB2312" w:cs="Times New Roman"/>
                <w:color w:val="000000"/>
                <w:kern w:val="0"/>
                <w:sz w:val="21"/>
                <w:szCs w:val="21"/>
              </w:rPr>
              <w:t>100</w:t>
            </w:r>
            <w:r>
              <w:rPr>
                <w:rFonts w:hint="eastAsia" w:ascii="Times New Roman" w:hAnsi="Times New Roman" w:cs="Times New Roman"/>
                <w:color w:val="000000"/>
                <w:kern w:val="0"/>
                <w:sz w:val="21"/>
                <w:szCs w:val="21"/>
                <w:lang w:eastAsia="zh-CN"/>
              </w:rPr>
              <w:t>分</w:t>
            </w:r>
          </w:p>
        </w:tc>
        <w:tc>
          <w:tcPr>
            <w:tcW w:w="889"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c>
          <w:tcPr>
            <w:tcW w:w="1352"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　</w:t>
            </w:r>
          </w:p>
        </w:tc>
      </w:tr>
    </w:tbl>
    <w:p>
      <w:pPr>
        <w:pStyle w:val="2"/>
        <w:ind w:left="0" w:leftChars="0" w:firstLine="0" w:firstLineChars="0"/>
      </w:pPr>
      <w:r>
        <w:rPr>
          <w:rFonts w:ascii="Times New Roman" w:hAnsi="Times New Roman" w:eastAsia="仿宋_GB2312" w:cs="Times New Roman"/>
          <w:kern w:val="0"/>
          <w:sz w:val="21"/>
          <w:szCs w:val="21"/>
        </w:rPr>
        <w:t>填表人：        填报日期：          联系电话：            单位负责人签字：</w:t>
      </w:r>
      <w:r>
        <w:rPr>
          <w:rFonts w:ascii="Times New Roman" w:hAnsi="Times New Roman" w:eastAsia="仿宋_GB2312" w:cs="Times New Roman"/>
          <w:kern w:val="0"/>
          <w:sz w:val="21"/>
          <w:szCs w:val="21"/>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2A485"/>
    <w:multiLevelType w:val="singleLevel"/>
    <w:tmpl w:val="92E2A485"/>
    <w:lvl w:ilvl="0" w:tentative="0">
      <w:start w:val="1"/>
      <w:numFmt w:val="decimal"/>
      <w:suff w:val="nothing"/>
      <w:lvlText w:val="%1、"/>
      <w:lvlJc w:val="left"/>
    </w:lvl>
  </w:abstractNum>
  <w:abstractNum w:abstractNumId="1">
    <w:nsid w:val="C9D1FF9F"/>
    <w:multiLevelType w:val="singleLevel"/>
    <w:tmpl w:val="C9D1FF9F"/>
    <w:lvl w:ilvl="0" w:tentative="0">
      <w:start w:val="9"/>
      <w:numFmt w:val="chineseCounting"/>
      <w:suff w:val="nothing"/>
      <w:lvlText w:val="%1、"/>
      <w:lvlJc w:val="left"/>
      <w:rPr>
        <w:rFonts w:hint="eastAsia"/>
      </w:rPr>
    </w:lvl>
  </w:abstractNum>
  <w:abstractNum w:abstractNumId="2">
    <w:nsid w:val="300ECD64"/>
    <w:multiLevelType w:val="singleLevel"/>
    <w:tmpl w:val="300ECD64"/>
    <w:lvl w:ilvl="0" w:tentative="0">
      <w:start w:val="2"/>
      <w:numFmt w:val="chineseCounting"/>
      <w:suff w:val="nothing"/>
      <w:lvlText w:val="（%1）"/>
      <w:lvlJc w:val="left"/>
      <w:rPr>
        <w:rFonts w:hint="eastAsia"/>
      </w:rPr>
    </w:lvl>
  </w:abstractNum>
  <w:abstractNum w:abstractNumId="3">
    <w:nsid w:val="694C50A9"/>
    <w:multiLevelType w:val="singleLevel"/>
    <w:tmpl w:val="694C50A9"/>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YTU2YWNiZTIyOTk5NjcwOWEyOTQyNTkyNWM2MjcifQ=="/>
  </w:docVars>
  <w:rsids>
    <w:rsidRoot w:val="3CE52A94"/>
    <w:rsid w:val="0893031C"/>
    <w:rsid w:val="3CE52A94"/>
    <w:rsid w:val="45C12FD3"/>
    <w:rsid w:val="52F8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ind w:left="0" w:firstLine="420" w:firstLineChars="200"/>
    </w:pPr>
  </w:style>
  <w:style w:type="paragraph" w:styleId="3">
    <w:name w:val="Body Text Indent"/>
    <w:basedOn w:val="1"/>
    <w:qFormat/>
    <w:uiPriority w:val="0"/>
    <w:pPr>
      <w:ind w:firstLine="632" w:firstLineChars="200"/>
    </w:pPr>
  </w:style>
  <w:style w:type="paragraph" w:styleId="4">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1220</Words>
  <Characters>1282</Characters>
  <Lines>0</Lines>
  <Paragraphs>0</Paragraphs>
  <TotalTime>6</TotalTime>
  <ScaleCrop>false</ScaleCrop>
  <LinksUpToDate>false</LinksUpToDate>
  <CharactersWithSpaces>1583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2023-09-12T09:25:00Z</dcterms:created>
  <dc:creator>Administrator</dc:creator>
  <cp:lastModifiedBy>Administrator</cp:lastModifiedBy>
  <dcterms:modified xsi:type="dcterms:W3CDTF">2023-09-19T01:17:45Z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29D8020ACAD946A2B7BFDCB98759FE13_13</vt:lpwstr>
  </property>
</Properties>
</file>