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_GBK" w:cs="Times New Roman"/>
          <w:sz w:val="36"/>
          <w:szCs w:val="36"/>
        </w:rPr>
      </w:pPr>
      <w:r>
        <w:rPr>
          <w:rFonts w:hint="eastAsia" w:ascii="Times New Roman" w:hAnsi="Times New Roman" w:eastAsia="方正小标宋_GBK" w:cs="Times New Roman"/>
          <w:sz w:val="36"/>
          <w:szCs w:val="36"/>
          <w:lang w:val="en-US" w:eastAsia="zh-CN"/>
        </w:rPr>
        <w:t>2022</w:t>
      </w:r>
      <w:r>
        <w:rPr>
          <w:rFonts w:hint="eastAsia" w:ascii="Times New Roman" w:hAnsi="Times New Roman" w:eastAsia="方正小标宋_GBK" w:cs="Times New Roman"/>
          <w:sz w:val="36"/>
          <w:szCs w:val="36"/>
        </w:rPr>
        <w:t>年度</w:t>
      </w:r>
      <w:r>
        <w:rPr>
          <w:rFonts w:hint="eastAsia" w:ascii="Times New Roman" w:hAnsi="Times New Roman" w:eastAsia="方正小标宋_GBK" w:cs="Times New Roman"/>
          <w:sz w:val="36"/>
          <w:szCs w:val="36"/>
          <w:lang w:val="en-US" w:eastAsia="zh-CN"/>
        </w:rPr>
        <w:t>益阳市资阳区城区公共房屋管理所</w:t>
      </w:r>
      <w:r>
        <w:rPr>
          <w:rFonts w:hint="eastAsia" w:ascii="Times New Roman" w:hAnsi="Times New Roman" w:eastAsia="方正小标宋_GBK" w:cs="Times New Roman"/>
          <w:sz w:val="36"/>
          <w:szCs w:val="36"/>
        </w:rPr>
        <w:t>整体支出绩效自评报告</w:t>
      </w:r>
    </w:p>
    <w:p>
      <w:pPr>
        <w:spacing w:line="560" w:lineRule="exact"/>
        <w:jc w:val="center"/>
        <w:rPr>
          <w:rFonts w:ascii="Times New Roman" w:hAnsi="Times New Roman" w:eastAsia="楷体_GB2312" w:cs="Times New Roman"/>
          <w:sz w:val="32"/>
          <w:szCs w:val="32"/>
        </w:rPr>
      </w:pPr>
    </w:p>
    <w:p>
      <w:pPr>
        <w:spacing w:line="560" w:lineRule="exact"/>
        <w:jc w:val="both"/>
        <w:rPr>
          <w:rFonts w:hint="eastAsia" w:ascii="Times New Roman" w:hAnsi="Times New Roman" w:eastAsia="方正小标宋_GBK" w:cs="Times New Roman"/>
          <w:sz w:val="36"/>
          <w:szCs w:val="36"/>
        </w:rPr>
      </w:pPr>
    </w:p>
    <w:p>
      <w:pPr>
        <w:numPr>
          <w:ilvl w:val="0"/>
          <w:numId w:val="1"/>
        </w:numPr>
        <w:ind w:firstLine="640" w:firstLineChars="200"/>
        <w:rPr>
          <w:rFonts w:hint="eastAsia" w:ascii="黑体" w:hAnsi="Times New Roman" w:eastAsia="黑体" w:cs="Times New Roman"/>
          <w:sz w:val="32"/>
          <w:szCs w:val="32"/>
        </w:rPr>
      </w:pPr>
      <w:r>
        <w:rPr>
          <w:rFonts w:hint="eastAsia" w:ascii="黑体" w:hAnsi="Times New Roman" w:eastAsia="黑体" w:cs="Times New Roman"/>
          <w:sz w:val="32"/>
          <w:szCs w:val="32"/>
        </w:rPr>
        <w:t>单位基本情况</w:t>
      </w:r>
    </w:p>
    <w:p>
      <w:pPr>
        <w:pStyle w:val="2"/>
        <w:numPr>
          <w:ilvl w:val="0"/>
          <w:numId w:val="2"/>
        </w:numPr>
        <w:ind w:leftChars="200"/>
        <w:rPr>
          <w:rFonts w:hint="eastAsia" w:ascii="黑体" w:hAnsi="黑体" w:eastAsia="黑体" w:cs="黑体"/>
          <w:lang w:val="en-US" w:eastAsia="zh-CN"/>
        </w:rPr>
      </w:pPr>
      <w:r>
        <w:rPr>
          <w:rFonts w:hint="eastAsia" w:ascii="黑体" w:hAnsi="黑体" w:eastAsia="黑体" w:cs="黑体"/>
          <w:lang w:val="en-US" w:eastAsia="zh-CN"/>
        </w:rPr>
        <w:t>主要职能是负责全区城区范围内直管公房及保障性住房的经营、管理、维修和征拆补偿工作。</w:t>
      </w:r>
    </w:p>
    <w:p>
      <w:pPr>
        <w:pStyle w:val="2"/>
        <w:numPr>
          <w:ilvl w:val="0"/>
          <w:numId w:val="2"/>
        </w:numPr>
        <w:ind w:leftChars="200"/>
        <w:rPr>
          <w:rFonts w:hint="default" w:ascii="黑体" w:hAnsi="黑体" w:eastAsia="黑体" w:cs="黑体"/>
          <w:lang w:val="en-US" w:eastAsia="zh-CN"/>
        </w:rPr>
      </w:pPr>
      <w:r>
        <w:rPr>
          <w:rFonts w:hint="eastAsia" w:ascii="黑体" w:hAnsi="黑体" w:eastAsia="黑体" w:cs="黑体"/>
          <w:lang w:val="en-US" w:eastAsia="zh-CN"/>
        </w:rPr>
        <w:t>机构情况</w:t>
      </w:r>
    </w:p>
    <w:p>
      <w:pPr>
        <w:pStyle w:val="2"/>
        <w:numPr>
          <w:ilvl w:val="0"/>
          <w:numId w:val="0"/>
        </w:numPr>
        <w:ind w:left="640" w:leftChars="200" w:firstLine="640" w:firstLineChars="200"/>
        <w:rPr>
          <w:rFonts w:hint="default" w:ascii="黑体" w:hAnsi="黑体" w:eastAsia="黑体" w:cs="黑体"/>
          <w:lang w:val="en-US" w:eastAsia="zh-CN"/>
        </w:rPr>
      </w:pPr>
      <w:r>
        <w:rPr>
          <w:rFonts w:hint="eastAsia" w:ascii="黑体" w:hAnsi="黑体" w:eastAsia="黑体" w:cs="黑体"/>
          <w:lang w:val="en-US" w:eastAsia="zh-CN"/>
        </w:rPr>
        <w:t>我单位为区住建局公益二类事业单位，设所长一名，副所长4名，下设五个股室。</w:t>
      </w:r>
    </w:p>
    <w:p>
      <w:pPr>
        <w:widowControl/>
        <w:spacing w:line="600" w:lineRule="exact"/>
        <w:ind w:firstLine="640" w:firstLineChars="200"/>
        <w:jc w:val="both"/>
        <w:rPr>
          <w:rFonts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二、</w:t>
      </w:r>
      <w:r>
        <w:rPr>
          <w:rFonts w:ascii="Times New Roman" w:hAnsi="Times New Roman" w:eastAsia="黑体" w:cs="Times New Roman"/>
          <w:kern w:val="2"/>
          <w:sz w:val="32"/>
          <w:szCs w:val="32"/>
          <w:lang w:val="en-US" w:eastAsia="zh-CN" w:bidi="ar-SA"/>
        </w:rPr>
        <w:t>一般公共预算支出情况</w:t>
      </w:r>
    </w:p>
    <w:p>
      <w:pPr>
        <w:widowControl/>
        <w:spacing w:line="600" w:lineRule="exact"/>
        <w:ind w:firstLine="643" w:firstLineChars="200"/>
        <w:jc w:val="both"/>
        <w:rPr>
          <w:rFonts w:hint="eastAsia" w:ascii="楷体_GB2312" w:hAnsi="Times New Roman" w:eastAsia="楷体_GB2312" w:cs="Times New Roman"/>
          <w:b/>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（一）基本支出情况</w:t>
      </w:r>
    </w:p>
    <w:p>
      <w:pPr>
        <w:pStyle w:val="2"/>
        <w:rPr>
          <w:rFonts w:hint="default"/>
          <w:lang w:val="en-US" w:eastAsia="zh-CN"/>
        </w:rPr>
      </w:pPr>
      <w:r>
        <w:rPr>
          <w:rFonts w:hint="eastAsia" w:ascii="楷体_GB2312" w:hAnsi="Times New Roman" w:eastAsia="楷体_GB2312" w:cs="Times New Roman"/>
          <w:b/>
          <w:kern w:val="2"/>
          <w:sz w:val="32"/>
          <w:szCs w:val="32"/>
          <w:lang w:val="en-US" w:eastAsia="zh-CN" w:bidi="ar-SA"/>
        </w:rPr>
        <w:t>2022年，基本支出1879.59万元</w:t>
      </w:r>
    </w:p>
    <w:p>
      <w:pPr>
        <w:widowControl/>
        <w:numPr>
          <w:ilvl w:val="0"/>
          <w:numId w:val="3"/>
        </w:numPr>
        <w:spacing w:line="600" w:lineRule="exact"/>
        <w:ind w:firstLine="643" w:firstLineChars="200"/>
        <w:jc w:val="both"/>
        <w:rPr>
          <w:rFonts w:ascii="楷体_GB2312" w:hAnsi="Times New Roman" w:eastAsia="楷体_GB2312" w:cs="Times New Roman"/>
          <w:b/>
          <w:kern w:val="2"/>
          <w:sz w:val="32"/>
          <w:szCs w:val="32"/>
          <w:lang w:val="en-US" w:eastAsia="zh-CN" w:bidi="ar-SA"/>
        </w:rPr>
      </w:pPr>
      <w:r>
        <w:rPr>
          <w:rFonts w:ascii="楷体_GB2312" w:hAnsi="Times New Roman" w:eastAsia="楷体_GB2312" w:cs="Times New Roman"/>
          <w:b/>
          <w:kern w:val="2"/>
          <w:sz w:val="32"/>
          <w:szCs w:val="32"/>
          <w:lang w:val="en-US" w:eastAsia="zh-CN" w:bidi="ar-SA"/>
        </w:rPr>
        <w:t>项目支出情况</w:t>
      </w:r>
    </w:p>
    <w:p>
      <w:pPr>
        <w:pStyle w:val="2"/>
        <w:numPr>
          <w:ilvl w:val="0"/>
          <w:numId w:val="0"/>
        </w:numPr>
        <w:ind w:leftChars="200"/>
        <w:rPr>
          <w:rFonts w:hint="eastAsia" w:ascii="黑体" w:hAnsi="黑体" w:eastAsia="黑体" w:cs="黑体"/>
          <w:lang w:val="en-US" w:eastAsia="zh-CN"/>
        </w:rPr>
      </w:pPr>
      <w:r>
        <w:rPr>
          <w:rFonts w:hint="eastAsia" w:ascii="黑体" w:hAnsi="黑体" w:eastAsia="黑体" w:cs="黑体"/>
          <w:lang w:val="en-US" w:eastAsia="zh-CN"/>
        </w:rPr>
        <w:t>2022年我单位无项目支出</w:t>
      </w:r>
      <w:r>
        <w:rPr>
          <w:rFonts w:hint="eastAsia"/>
          <w:lang w:val="en-US" w:eastAsia="zh-CN"/>
        </w:rPr>
        <w:t>。</w:t>
      </w:r>
    </w:p>
    <w:p>
      <w:pPr>
        <w:widowControl/>
        <w:numPr>
          <w:ilvl w:val="0"/>
          <w:numId w:val="1"/>
        </w:numPr>
        <w:spacing w:line="600" w:lineRule="exact"/>
        <w:ind w:left="0" w:leftChars="0" w:firstLine="640" w:firstLineChars="200"/>
        <w:jc w:val="left"/>
        <w:rPr>
          <w:rFonts w:ascii="Times New Roman" w:hAnsi="Times New Roman" w:eastAsia="黑体"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政府性基金预算支出情况</w:t>
      </w:r>
    </w:p>
    <w:p>
      <w:pPr>
        <w:pStyle w:val="2"/>
        <w:numPr>
          <w:ilvl w:val="0"/>
          <w:numId w:val="0"/>
        </w:numPr>
        <w:ind w:leftChars="200"/>
        <w:rPr>
          <w:lang w:val="en-US" w:eastAsia="zh-CN"/>
        </w:rPr>
      </w:pPr>
      <w:r>
        <w:rPr>
          <w:rFonts w:hint="eastAsia" w:ascii="黑体" w:hAnsi="黑体" w:eastAsia="黑体" w:cs="黑体"/>
          <w:lang w:val="en-US" w:eastAsia="zh-CN"/>
        </w:rPr>
        <w:t>2022年我单位无政府预算支出</w:t>
      </w:r>
      <w:r>
        <w:rPr>
          <w:rFonts w:hint="eastAsia"/>
          <w:lang w:val="en-US" w:eastAsia="zh-CN"/>
        </w:rPr>
        <w:t>。</w:t>
      </w:r>
    </w:p>
    <w:p>
      <w:pPr>
        <w:widowControl/>
        <w:numPr>
          <w:ilvl w:val="0"/>
          <w:numId w:val="1"/>
        </w:numPr>
        <w:spacing w:line="600" w:lineRule="exact"/>
        <w:ind w:left="0" w:leftChars="0" w:firstLine="640" w:firstLineChars="200"/>
        <w:jc w:val="left"/>
        <w:rPr>
          <w:rFonts w:hint="eastAsia" w:ascii="Times New Roman" w:hAnsi="Times New Roman" w:eastAsia="黑体"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国有资本经营预算支出情</w:t>
      </w:r>
      <w:r>
        <w:rPr>
          <w:rFonts w:hint="eastAsia" w:ascii="Times New Roman" w:hAnsi="Times New Roman" w:eastAsia="黑体" w:cs="Times New Roman"/>
          <w:kern w:val="2"/>
          <w:sz w:val="32"/>
          <w:szCs w:val="32"/>
          <w:lang w:val="en-US" w:eastAsia="zh-CN" w:bidi="ar-SA"/>
        </w:rPr>
        <w:t>况</w:t>
      </w:r>
    </w:p>
    <w:p>
      <w:pPr>
        <w:pStyle w:val="2"/>
        <w:numPr>
          <w:ilvl w:val="0"/>
          <w:numId w:val="0"/>
        </w:numPr>
        <w:ind w:leftChars="200"/>
        <w:rPr>
          <w:rFonts w:hint="eastAsia" w:ascii="黑体" w:hAnsi="黑体" w:eastAsia="黑体" w:cs="黑体"/>
          <w:lang w:val="en-US" w:eastAsia="zh-CN"/>
        </w:rPr>
      </w:pPr>
      <w:r>
        <w:rPr>
          <w:rFonts w:hint="eastAsia" w:ascii="黑体" w:hAnsi="黑体" w:eastAsia="黑体" w:cs="黑体"/>
          <w:lang w:val="en-US" w:eastAsia="zh-CN"/>
        </w:rPr>
        <w:t>2022年我单位无国有资本经营预算支出</w:t>
      </w:r>
      <w:r>
        <w:rPr>
          <w:rFonts w:hint="eastAsia"/>
          <w:lang w:val="en-US" w:eastAsia="zh-CN"/>
        </w:rPr>
        <w:t>。</w:t>
      </w:r>
    </w:p>
    <w:p>
      <w:pPr>
        <w:pStyle w:val="2"/>
        <w:numPr>
          <w:ilvl w:val="0"/>
          <w:numId w:val="0"/>
        </w:numPr>
        <w:ind w:leftChars="200"/>
        <w:rPr>
          <w:rFonts w:hint="default"/>
          <w:lang w:val="en-US" w:eastAsia="zh-CN"/>
        </w:rPr>
      </w:pPr>
    </w:p>
    <w:p>
      <w:pPr>
        <w:widowControl/>
        <w:numPr>
          <w:ilvl w:val="0"/>
          <w:numId w:val="1"/>
        </w:numPr>
        <w:spacing w:line="600" w:lineRule="exact"/>
        <w:ind w:left="0" w:leftChars="0" w:firstLine="640" w:firstLineChars="200"/>
        <w:jc w:val="left"/>
        <w:rPr>
          <w:rFonts w:ascii="Times New Roman" w:hAnsi="Times New Roman" w:eastAsia="黑体"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社会保险基金预算支出情况</w:t>
      </w:r>
    </w:p>
    <w:p>
      <w:pPr>
        <w:pStyle w:val="2"/>
        <w:numPr>
          <w:ilvl w:val="0"/>
          <w:numId w:val="0"/>
        </w:numPr>
        <w:ind w:leftChars="200"/>
        <w:rPr>
          <w:lang w:val="en-US" w:eastAsia="zh-CN"/>
        </w:rPr>
      </w:pPr>
      <w:r>
        <w:rPr>
          <w:rFonts w:hint="eastAsia" w:ascii="黑体" w:hAnsi="黑体" w:eastAsia="黑体" w:cs="黑体"/>
          <w:lang w:val="en-US" w:eastAsia="zh-CN"/>
        </w:rPr>
        <w:t>2022年我单位社会保险基金预算支出</w:t>
      </w:r>
      <w:r>
        <w:rPr>
          <w:rFonts w:hint="eastAsia"/>
          <w:lang w:val="en-US" w:eastAsia="zh-CN"/>
        </w:rPr>
        <w:t>。</w:t>
      </w:r>
    </w:p>
    <w:p>
      <w:pPr>
        <w:widowControl/>
        <w:spacing w:line="600" w:lineRule="exact"/>
        <w:ind w:firstLine="645"/>
        <w:jc w:val="left"/>
        <w:rPr>
          <w:rFonts w:ascii="Times New Roman" w:hAnsi="Times New Roman" w:eastAsia="黑体" w:cs="Times New Roman"/>
          <w:sz w:val="32"/>
          <w:szCs w:val="32"/>
        </w:rPr>
      </w:pPr>
      <w:r>
        <w:rPr>
          <w:rFonts w:ascii="Times New Roman" w:hAnsi="Times New Roman" w:eastAsia="黑体" w:cs="Times New Roman"/>
          <w:sz w:val="32"/>
          <w:szCs w:val="32"/>
        </w:rPr>
        <w:t>六、部门整体支出绩效情况</w:t>
      </w:r>
    </w:p>
    <w:p>
      <w:pPr>
        <w:pStyle w:val="4"/>
        <w:widowControl/>
        <w:spacing w:beforeAutospacing="0" w:afterAutospacing="0" w:line="26" w:lineRule="atLeast"/>
        <w:ind w:firstLine="420"/>
        <w:jc w:val="both"/>
        <w:rPr>
          <w:rFonts w:hint="eastAsia" w:ascii="黑体" w:hAnsi="黑体" w:eastAsia="黑体" w:cs="黑体"/>
          <w:bCs/>
          <w:sz w:val="32"/>
          <w:szCs w:val="32"/>
        </w:rPr>
      </w:pPr>
      <w:r>
        <w:rPr>
          <w:rFonts w:hint="eastAsia" w:ascii="黑体" w:hAnsi="黑体" w:eastAsia="黑体" w:cs="黑体"/>
          <w:bCs/>
          <w:sz w:val="32"/>
          <w:szCs w:val="32"/>
          <w:shd w:val="clear" w:color="auto" w:fill="FFFFFF"/>
        </w:rPr>
        <w:t>资产管理：我单位进一步加强资产的管理，制定了《资阳区城区公共房屋管理所资产管理制度》，明确了具体责任人，完善了固定资产档案，严格报批、销审等手续，做好资产登统计工作，单位无资产流失现象。</w:t>
      </w:r>
    </w:p>
    <w:p>
      <w:pPr>
        <w:pStyle w:val="4"/>
        <w:widowControl/>
        <w:spacing w:beforeAutospacing="0" w:afterAutospacing="0" w:line="26" w:lineRule="atLeast"/>
        <w:ind w:firstLine="420"/>
        <w:jc w:val="both"/>
        <w:rPr>
          <w:rFonts w:hint="eastAsia" w:ascii="黑体" w:hAnsi="黑体" w:eastAsia="黑体" w:cs="黑体"/>
          <w:bCs/>
          <w:sz w:val="32"/>
          <w:szCs w:val="32"/>
        </w:rPr>
      </w:pPr>
      <w:r>
        <w:rPr>
          <w:rFonts w:hint="eastAsia" w:ascii="黑体" w:hAnsi="黑体" w:eastAsia="黑体" w:cs="黑体"/>
          <w:bCs/>
          <w:sz w:val="32"/>
          <w:szCs w:val="32"/>
          <w:shd w:val="clear" w:color="auto" w:fill="FFFFFF"/>
        </w:rPr>
        <w:t>“三公经费”控制情况：贯彻落实上级有关精神，严格控制“三公经费”支出，取得了良好效果。制定了《资阳区城区公共房屋管理所财务管理制度》，规范单位公务接待的流程和要求。进一步加强内部管理。具体情况如下：</w:t>
      </w:r>
    </w:p>
    <w:p>
      <w:pPr>
        <w:pStyle w:val="4"/>
        <w:widowControl/>
        <w:spacing w:beforeAutospacing="0" w:afterAutospacing="0" w:line="26" w:lineRule="atLeast"/>
        <w:ind w:firstLine="420"/>
        <w:jc w:val="both"/>
        <w:rPr>
          <w:rFonts w:hint="eastAsia" w:ascii="黑体" w:hAnsi="黑体" w:eastAsia="黑体" w:cs="黑体"/>
          <w:bCs/>
          <w:sz w:val="32"/>
          <w:szCs w:val="32"/>
        </w:rPr>
      </w:pPr>
      <w:r>
        <w:rPr>
          <w:rFonts w:hint="eastAsia" w:ascii="黑体" w:hAnsi="黑体" w:eastAsia="黑体" w:cs="黑体"/>
          <w:bCs/>
          <w:sz w:val="32"/>
          <w:szCs w:val="32"/>
          <w:shd w:val="clear" w:color="auto" w:fill="FFFFFF"/>
        </w:rPr>
        <w:t>2022年三公经费情况：2022年“三公”经费决算为0万元，控制较好；其中：公务用车费0万元，其中公务用车购置费0万元（共购买公务用车0台），公务用车运行维护费0万元；2022年无因公出国(境)费。</w:t>
      </w:r>
    </w:p>
    <w:p>
      <w:pPr>
        <w:pStyle w:val="4"/>
        <w:widowControl/>
        <w:spacing w:beforeAutospacing="0" w:afterAutospacing="0" w:line="26" w:lineRule="atLeast"/>
        <w:ind w:firstLine="420"/>
        <w:jc w:val="both"/>
        <w:rPr>
          <w:rFonts w:hint="eastAsia"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内部管理制度建设情况：近年来，我单位制定了《资阳区城区公共房屋管理所财务管理制度》、《资阳区城区公共房屋管理所内控制度》等一系列内部管理制度。</w:t>
      </w:r>
    </w:p>
    <w:p>
      <w:pPr>
        <w:pStyle w:val="4"/>
        <w:widowControl/>
        <w:spacing w:beforeAutospacing="0" w:afterAutospacing="0" w:line="26" w:lineRule="atLeast"/>
        <w:ind w:firstLine="420"/>
        <w:jc w:val="both"/>
        <w:rPr>
          <w:rFonts w:hint="eastAsia" w:ascii="黑体" w:hAnsi="黑体" w:eastAsia="黑体" w:cs="黑体"/>
          <w:bCs/>
          <w:sz w:val="32"/>
          <w:szCs w:val="32"/>
        </w:rPr>
      </w:pPr>
      <w:r>
        <w:rPr>
          <w:rFonts w:hint="eastAsia" w:ascii="黑体" w:hAnsi="黑体" w:eastAsia="黑体" w:cs="黑体"/>
          <w:bCs/>
          <w:sz w:val="32"/>
          <w:szCs w:val="32"/>
          <w:shd w:val="clear" w:color="auto" w:fill="FFFFFF"/>
        </w:rPr>
        <w:t>（二）项目绩效总目标完成情况： 2022年加强对</w:t>
      </w:r>
      <w:r>
        <w:rPr>
          <w:rFonts w:hint="eastAsia" w:ascii="黑体" w:hAnsi="黑体" w:eastAsia="黑体" w:cs="黑体"/>
          <w:bCs/>
          <w:sz w:val="32"/>
          <w:szCs w:val="32"/>
        </w:rPr>
        <w:t>全区公共房屋管理、维修以及加强征拆工作的管理，促进全区保障性住房住房的发展工作</w:t>
      </w:r>
      <w:r>
        <w:rPr>
          <w:rFonts w:hint="eastAsia" w:ascii="黑体" w:hAnsi="黑体" w:eastAsia="黑体" w:cs="黑体"/>
          <w:bCs/>
          <w:sz w:val="32"/>
          <w:szCs w:val="32"/>
          <w:shd w:val="clear" w:color="auto" w:fill="FFFFFF"/>
        </w:rPr>
        <w:t>完成较好。</w:t>
      </w:r>
    </w:p>
    <w:p>
      <w:pPr>
        <w:pStyle w:val="4"/>
        <w:widowControl/>
        <w:spacing w:beforeAutospacing="0" w:afterAutospacing="0" w:line="26" w:lineRule="atLeast"/>
        <w:ind w:firstLine="420"/>
        <w:jc w:val="both"/>
        <w:rPr>
          <w:rFonts w:hint="eastAsia" w:ascii="黑体" w:hAnsi="黑体" w:eastAsia="黑体" w:cs="黑体"/>
          <w:bCs/>
          <w:sz w:val="32"/>
          <w:szCs w:val="32"/>
        </w:rPr>
      </w:pPr>
      <w:r>
        <w:rPr>
          <w:rFonts w:hint="eastAsia" w:ascii="黑体" w:hAnsi="黑体" w:eastAsia="黑体" w:cs="黑体"/>
          <w:bCs/>
          <w:sz w:val="32"/>
          <w:szCs w:val="32"/>
          <w:shd w:val="clear" w:color="auto" w:fill="FFFFFF"/>
        </w:rPr>
        <w:t>资阳区城区公共房屋管理所充分履行职能，严格按财经法规及制度使用、管理资金，成效明显，资金使用社会效益好,保障</w:t>
      </w:r>
    </w:p>
    <w:p>
      <w:pPr>
        <w:widowControl/>
        <w:spacing w:line="600" w:lineRule="exact"/>
        <w:ind w:firstLine="640" w:firstLineChars="20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七、存在的问题及原因分析</w:t>
      </w:r>
    </w:p>
    <w:p>
      <w:pPr>
        <w:pStyle w:val="4"/>
        <w:widowControl/>
        <w:spacing w:beforeAutospacing="0" w:afterAutospacing="0" w:line="26" w:lineRule="atLeast"/>
        <w:ind w:firstLine="420"/>
        <w:jc w:val="both"/>
        <w:rPr>
          <w:rFonts w:hint="eastAsia" w:ascii="黑体" w:hAnsi="黑体" w:eastAsia="黑体" w:cs="黑体"/>
          <w:bCs/>
          <w:sz w:val="32"/>
          <w:szCs w:val="32"/>
        </w:rPr>
      </w:pPr>
      <w:r>
        <w:rPr>
          <w:rFonts w:hint="eastAsia" w:ascii="黑体" w:hAnsi="黑体" w:eastAsia="黑体" w:cs="黑体"/>
          <w:bCs/>
          <w:sz w:val="32"/>
          <w:szCs w:val="32"/>
          <w:shd w:val="clear" w:color="auto" w:fill="FFFFFF"/>
        </w:rPr>
        <w:t>1.固定资产管理需进一步加强。修订完善固定资产管理制度，完善固定资产卡片及台账，进行定期清查，切实做到账、卡、物相符。</w:t>
      </w:r>
    </w:p>
    <w:p>
      <w:pPr>
        <w:pStyle w:val="4"/>
        <w:widowControl/>
        <w:spacing w:beforeAutospacing="0" w:afterAutospacing="0" w:line="26" w:lineRule="atLeast"/>
        <w:ind w:firstLine="420"/>
        <w:jc w:val="both"/>
        <w:rPr>
          <w:rFonts w:hint="eastAsia" w:ascii="黑体" w:hAnsi="黑体" w:eastAsia="黑体" w:cs="黑体"/>
          <w:bCs/>
          <w:sz w:val="32"/>
          <w:szCs w:val="32"/>
        </w:rPr>
      </w:pPr>
      <w:r>
        <w:rPr>
          <w:rFonts w:hint="eastAsia" w:ascii="黑体" w:hAnsi="黑体" w:eastAsia="黑体" w:cs="黑体"/>
          <w:bCs/>
          <w:sz w:val="32"/>
          <w:szCs w:val="32"/>
          <w:shd w:val="clear" w:color="auto" w:fill="FFFFFF"/>
        </w:rPr>
        <w:t>2.因部分工作不可预见性，有些支出无法纳入预算，导致预算执行存在偏差。</w:t>
      </w:r>
    </w:p>
    <w:p>
      <w:pPr>
        <w:widowControl/>
        <w:spacing w:line="60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八、下一步改进措施</w:t>
      </w:r>
    </w:p>
    <w:p>
      <w:pPr>
        <w:pStyle w:val="4"/>
        <w:widowControl/>
        <w:spacing w:beforeAutospacing="0" w:afterAutospacing="0" w:line="26" w:lineRule="atLeast"/>
        <w:ind w:firstLine="420"/>
        <w:jc w:val="both"/>
        <w:rPr>
          <w:rFonts w:hint="eastAsia" w:ascii="黑体" w:hAnsi="黑体" w:eastAsia="黑体" w:cs="黑体"/>
          <w:bCs/>
          <w:sz w:val="32"/>
          <w:szCs w:val="32"/>
        </w:rPr>
      </w:pPr>
      <w:r>
        <w:rPr>
          <w:rFonts w:hint="eastAsia" w:ascii="黑体" w:hAnsi="黑体" w:eastAsia="黑体" w:cs="黑体"/>
          <w:bCs/>
          <w:sz w:val="32"/>
          <w:szCs w:val="32"/>
          <w:shd w:val="clear" w:color="auto" w:fill="FFFFFF"/>
        </w:rPr>
        <w:t>1.完善管理制度，加强资产管理。进一步完善财务制度，公务费用支出实行计划管理，规范报批手续，严格实行审批制度和财务公开。严格按照《固定资产管理办法》的规定加强固定资产管理，及时登记、更新台账，年终对各类实物资产进行全面盘点，确保帐帐、帐实相符。</w:t>
      </w:r>
    </w:p>
    <w:p>
      <w:pPr>
        <w:pStyle w:val="4"/>
        <w:widowControl/>
        <w:spacing w:beforeAutospacing="0" w:afterAutospacing="0" w:line="26" w:lineRule="atLeast"/>
        <w:ind w:firstLine="420"/>
        <w:jc w:val="both"/>
        <w:rPr>
          <w:rFonts w:hint="eastAsia" w:ascii="黑体" w:hAnsi="黑体" w:eastAsia="黑体" w:cs="黑体"/>
          <w:sz w:val="32"/>
          <w:szCs w:val="32"/>
        </w:rPr>
      </w:pPr>
      <w:r>
        <w:rPr>
          <w:rFonts w:hint="eastAsia" w:ascii="黑体" w:hAnsi="黑体" w:eastAsia="黑体" w:cs="黑体"/>
          <w:sz w:val="32"/>
          <w:szCs w:val="32"/>
          <w:shd w:val="clear" w:color="auto" w:fill="FFFFFF"/>
        </w:rPr>
        <w:t>2.科学编制预算，严格执行预算。加强预算编制的前瞻性，按政策规定及本部门的发展规划，结合上一年度预算执行情况和本年度预算收支变化因素，科学、合理地编制本年预算草案，避免项目支出与基本支出划分不准或预算支出与实际执行出现偏差的情况，执行中确需调剂预算的，按规定程序报经批准。</w:t>
      </w:r>
    </w:p>
    <w:p>
      <w:pPr>
        <w:pStyle w:val="4"/>
        <w:widowControl/>
        <w:spacing w:beforeAutospacing="0" w:afterAutospacing="0" w:line="26" w:lineRule="atLeast"/>
        <w:ind w:firstLine="420"/>
        <w:jc w:val="both"/>
        <w:rPr>
          <w:rFonts w:hint="eastAsia" w:ascii="黑体" w:hAnsi="黑体" w:eastAsia="黑体" w:cs="黑体"/>
          <w:sz w:val="32"/>
          <w:szCs w:val="32"/>
        </w:rPr>
      </w:pPr>
      <w:r>
        <w:rPr>
          <w:rFonts w:hint="eastAsia" w:ascii="黑体" w:hAnsi="黑体" w:eastAsia="黑体" w:cs="黑体"/>
          <w:sz w:val="32"/>
          <w:szCs w:val="32"/>
          <w:shd w:val="clear" w:color="auto" w:fill="FFFFFF"/>
        </w:rPr>
        <w:t>3.增强节约意识。在全</w:t>
      </w:r>
      <w:r>
        <w:rPr>
          <w:rFonts w:hint="eastAsia" w:ascii="黑体" w:hAnsi="黑体" w:eastAsia="黑体" w:cs="黑体"/>
          <w:sz w:val="32"/>
          <w:szCs w:val="32"/>
          <w:shd w:val="clear" w:color="auto" w:fill="FFFFFF"/>
          <w:lang w:val="en-US" w:eastAsia="zh-CN"/>
        </w:rPr>
        <w:t>所</w:t>
      </w:r>
      <w:r>
        <w:rPr>
          <w:rFonts w:hint="eastAsia" w:ascii="黑体" w:hAnsi="黑体" w:eastAsia="黑体" w:cs="黑体"/>
          <w:sz w:val="32"/>
          <w:szCs w:val="32"/>
          <w:shd w:val="clear" w:color="auto" w:fill="FFFFFF"/>
        </w:rPr>
        <w:t>上下积极营造勤俭节约的良好氛围，努力建设节约型机关单位，确保每一分钱都用在事业的创新发展上。</w:t>
      </w:r>
    </w:p>
    <w:p>
      <w:pPr>
        <w:widowControl/>
        <w:numPr>
          <w:ilvl w:val="0"/>
          <w:numId w:val="4"/>
        </w:numPr>
        <w:spacing w:line="600" w:lineRule="exact"/>
        <w:ind w:firstLine="645"/>
        <w:jc w:val="lef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部门整体支出绩效自评结果拟应用和公开情况</w:t>
      </w:r>
    </w:p>
    <w:p>
      <w:pPr>
        <w:widowControl/>
        <w:spacing w:line="600" w:lineRule="exact"/>
        <w:ind w:firstLine="645"/>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无</w:t>
      </w:r>
    </w:p>
    <w:p>
      <w:pPr>
        <w:widowControl/>
        <w:spacing w:line="600" w:lineRule="exact"/>
        <w:ind w:firstLine="645"/>
        <w:jc w:val="left"/>
        <w:rPr>
          <w:rFonts w:hint="eastAsia" w:ascii="黑体" w:hAnsi="黑体" w:eastAsia="黑体" w:cs="黑体"/>
          <w:sz w:val="32"/>
          <w:szCs w:val="32"/>
        </w:rPr>
      </w:pPr>
      <w:r>
        <w:rPr>
          <w:rFonts w:hint="eastAsia" w:ascii="黑体" w:hAnsi="黑体" w:eastAsia="黑体" w:cs="黑体"/>
          <w:sz w:val="32"/>
          <w:szCs w:val="32"/>
          <w:lang w:eastAsia="zh-CN"/>
        </w:rPr>
        <w:t>十、</w:t>
      </w:r>
      <w:r>
        <w:rPr>
          <w:rFonts w:hint="eastAsia" w:ascii="黑体" w:hAnsi="黑体" w:eastAsia="黑体" w:cs="黑体"/>
          <w:sz w:val="32"/>
          <w:szCs w:val="32"/>
        </w:rPr>
        <w:t>其他需要说明的情况</w:t>
      </w:r>
    </w:p>
    <w:p>
      <w:pPr>
        <w:pStyle w:val="4"/>
        <w:widowControl/>
        <w:spacing w:beforeAutospacing="0" w:afterAutospacing="0" w:line="26" w:lineRule="atLeast"/>
        <w:ind w:firstLine="420"/>
        <w:jc w:val="both"/>
        <w:rPr>
          <w:rFonts w:hint="eastAsia" w:ascii="黑体" w:hAnsi="黑体" w:eastAsia="黑体" w:cs="黑体"/>
          <w:sz w:val="32"/>
          <w:szCs w:val="32"/>
        </w:rPr>
      </w:pPr>
      <w:r>
        <w:rPr>
          <w:rFonts w:hint="eastAsia" w:ascii="黑体" w:hAnsi="黑体" w:eastAsia="黑体" w:cs="黑体"/>
          <w:sz w:val="32"/>
          <w:szCs w:val="32"/>
          <w:shd w:val="clear" w:color="auto" w:fill="FFFFFF"/>
        </w:rPr>
        <w:t>其他需要说明的情况无。</w:t>
      </w:r>
    </w:p>
    <w:p>
      <w:pPr>
        <w:rPr>
          <w:rFonts w:hint="eastAsia" w:ascii="黑体" w:hAnsi="黑体" w:eastAsia="黑体" w:cs="黑体"/>
          <w:sz w:val="32"/>
          <w:szCs w:val="32"/>
        </w:rPr>
      </w:pPr>
    </w:p>
    <w:p>
      <w:pPr>
        <w:pStyle w:val="2"/>
        <w:rPr>
          <w:rFonts w:hint="eastAsia" w:ascii="黑体" w:hAnsi="黑体" w:eastAsia="黑体" w:cs="黑体"/>
          <w:sz w:val="32"/>
          <w:szCs w:val="32"/>
        </w:rPr>
      </w:pPr>
    </w:p>
    <w:p>
      <w:pPr>
        <w:widowControl/>
        <w:spacing w:line="600" w:lineRule="exact"/>
        <w:ind w:firstLine="645"/>
        <w:jc w:val="left"/>
        <w:rPr>
          <w:rFonts w:hint="eastAsia" w:ascii="黑体" w:hAnsi="黑体" w:eastAsia="黑体" w:cs="黑体"/>
          <w:sz w:val="32"/>
          <w:szCs w:val="32"/>
        </w:rPr>
      </w:pPr>
      <w:r>
        <w:rPr>
          <w:rFonts w:hint="eastAsia" w:ascii="黑体" w:hAnsi="黑体" w:eastAsia="黑体" w:cs="黑体"/>
          <w:sz w:val="32"/>
          <w:szCs w:val="32"/>
        </w:rPr>
        <w:t>报告需要以下附件：</w:t>
      </w:r>
    </w:p>
    <w:p>
      <w:pPr>
        <w:widowControl/>
        <w:spacing w:line="60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1、部门整体支出绩效评价基础数据表</w:t>
      </w:r>
    </w:p>
    <w:p>
      <w:pPr>
        <w:widowControl/>
        <w:spacing w:line="60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2、部门整体支出绩效自评表</w:t>
      </w:r>
    </w:p>
    <w:p>
      <w:pPr>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pPr>
    </w:p>
    <w:p>
      <w:pPr>
        <w:pStyle w:val="2"/>
      </w:pPr>
    </w:p>
    <w:p>
      <w:pPr>
        <w:pStyle w:val="2"/>
      </w:pPr>
    </w:p>
    <w:p>
      <w:pPr>
        <w:pStyle w:val="2"/>
      </w:pPr>
    </w:p>
    <w:p>
      <w:pPr>
        <w:pStyle w:val="2"/>
      </w:pPr>
    </w:p>
    <w:p>
      <w:pPr>
        <w:pStyle w:val="2"/>
        <w:ind w:left="0" w:leftChars="0" w:firstLine="0" w:firstLineChars="0"/>
      </w:pPr>
    </w:p>
    <w:p>
      <w:pPr>
        <w:keepNext w:val="0"/>
        <w:keepLines w:val="0"/>
        <w:pageBreakBefore/>
        <w:widowControl/>
        <w:kinsoku/>
        <w:wordWrap/>
        <w:overflowPunct/>
        <w:topLinePunct w:val="0"/>
        <w:autoSpaceDE/>
        <w:autoSpaceDN/>
        <w:bidi w:val="0"/>
        <w:adjustRightInd/>
        <w:snapToGrid/>
        <w:spacing w:line="400" w:lineRule="exact"/>
        <w:jc w:val="left"/>
        <w:textAlignment w:val="auto"/>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kern w:val="0"/>
          <w:sz w:val="36"/>
          <w:szCs w:val="36"/>
        </w:rPr>
      </w:pPr>
      <w:r>
        <w:rPr>
          <w:rFonts w:eastAsia="方正小标宋_GBK"/>
          <w:kern w:val="0"/>
          <w:sz w:val="36"/>
          <w:szCs w:val="36"/>
        </w:rPr>
        <w:t>202</w:t>
      </w:r>
      <w:r>
        <w:rPr>
          <w:rFonts w:hint="eastAsia" w:eastAsia="方正小标宋_GBK"/>
          <w:kern w:val="0"/>
          <w:sz w:val="36"/>
          <w:szCs w:val="36"/>
          <w:lang w:val="en-US" w:eastAsia="zh-CN"/>
        </w:rPr>
        <w:t>2</w:t>
      </w:r>
      <w:r>
        <w:rPr>
          <w:rFonts w:eastAsia="方正小标宋_GBK"/>
          <w:kern w:val="0"/>
          <w:sz w:val="36"/>
          <w:szCs w:val="36"/>
        </w:rPr>
        <w:t>年度部门整体支出绩效评价基础数据表</w:t>
      </w:r>
    </w:p>
    <w:tbl>
      <w:tblPr>
        <w:tblStyle w:val="5"/>
        <w:tblW w:w="9695" w:type="dxa"/>
        <w:jc w:val="center"/>
        <w:tblLayout w:type="fixed"/>
        <w:tblCellMar>
          <w:top w:w="0" w:type="dxa"/>
          <w:left w:w="108" w:type="dxa"/>
          <w:bottom w:w="0" w:type="dxa"/>
          <w:right w:w="108" w:type="dxa"/>
        </w:tblCellMar>
      </w:tblPr>
      <w:tblGrid>
        <w:gridCol w:w="3214"/>
        <w:gridCol w:w="1200"/>
        <w:gridCol w:w="1125"/>
        <w:gridCol w:w="1080"/>
        <w:gridCol w:w="1140"/>
        <w:gridCol w:w="960"/>
        <w:gridCol w:w="976"/>
      </w:tblGrid>
      <w:tr>
        <w:tblPrEx>
          <w:tblCellMar>
            <w:top w:w="0" w:type="dxa"/>
            <w:left w:w="108" w:type="dxa"/>
            <w:bottom w:w="0" w:type="dxa"/>
            <w:right w:w="108" w:type="dxa"/>
          </w:tblCellMar>
        </w:tblPrEx>
        <w:trPr>
          <w:trHeight w:val="397" w:hRule="atLeast"/>
          <w:jc w:val="center"/>
        </w:trPr>
        <w:tc>
          <w:tcPr>
            <w:tcW w:w="32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财政供养人员情况（人）</w:t>
            </w: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编制数</w:t>
            </w:r>
          </w:p>
        </w:tc>
        <w:tc>
          <w:tcPr>
            <w:tcW w:w="22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年实际在职人数</w:t>
            </w:r>
          </w:p>
        </w:tc>
        <w:tc>
          <w:tcPr>
            <w:tcW w:w="19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控制率</w:t>
            </w:r>
          </w:p>
        </w:tc>
      </w:tr>
      <w:tr>
        <w:tblPrEx>
          <w:tblCellMar>
            <w:top w:w="0" w:type="dxa"/>
            <w:left w:w="108" w:type="dxa"/>
            <w:bottom w:w="0" w:type="dxa"/>
            <w:right w:w="108" w:type="dxa"/>
          </w:tblCellMar>
        </w:tblPrEx>
        <w:trPr>
          <w:trHeight w:val="397" w:hRule="atLeast"/>
          <w:jc w:val="center"/>
        </w:trPr>
        <w:tc>
          <w:tcPr>
            <w:tcW w:w="32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经费控制情况（万元）</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w:t>
            </w:r>
            <w:r>
              <w:rPr>
                <w:rFonts w:hint="eastAsia" w:ascii="Times New Roman" w:hAnsi="Times New Roman" w:cs="Times New Roman"/>
                <w:b/>
                <w:bCs/>
                <w:kern w:val="0"/>
                <w:sz w:val="21"/>
                <w:szCs w:val="21"/>
                <w:lang w:val="en-US" w:eastAsia="zh-CN"/>
              </w:rPr>
              <w:t>21</w:t>
            </w:r>
            <w:r>
              <w:rPr>
                <w:rFonts w:ascii="Times New Roman" w:hAnsi="Times New Roman" w:eastAsia="仿宋_GB2312" w:cs="Times New Roman"/>
                <w:b/>
                <w:bCs/>
                <w:kern w:val="0"/>
                <w:sz w:val="21"/>
                <w:szCs w:val="21"/>
              </w:rPr>
              <w:t>年决算数</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年预算数</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年决算数</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eastAsia="zh-CN"/>
              </w:rPr>
            </w:pPr>
            <w:r>
              <w:rPr>
                <w:rFonts w:hint="eastAsia" w:ascii="Times New Roman" w:hAnsi="Times New Roman" w:cs="Times New Roman"/>
                <w:b/>
                <w:bCs/>
                <w:kern w:val="0"/>
                <w:sz w:val="21"/>
                <w:szCs w:val="21"/>
                <w:lang w:eastAsia="zh-CN"/>
              </w:rPr>
              <w:t>支出总额</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b/>
                <w:bCs/>
                <w:kern w:val="0"/>
                <w:sz w:val="21"/>
                <w:szCs w:val="21"/>
                <w:lang w:eastAsia="zh-CN"/>
              </w:rPr>
              <w:t>基本支出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其中：</w:t>
            </w:r>
            <w:r>
              <w:rPr>
                <w:rFonts w:hint="eastAsia" w:ascii="Times New Roman" w:hAnsi="Times New Roman" w:cs="Times New Roman"/>
                <w:kern w:val="0"/>
                <w:sz w:val="21"/>
                <w:szCs w:val="21"/>
                <w:lang w:eastAsia="zh-CN"/>
              </w:rPr>
              <w:t>公用</w:t>
            </w:r>
            <w:r>
              <w:rPr>
                <w:rFonts w:ascii="Times New Roman" w:hAnsi="Times New Roman" w:eastAsia="仿宋_GB2312" w:cs="Times New Roman"/>
                <w:kern w:val="0"/>
                <w:sz w:val="21"/>
                <w:szCs w:val="21"/>
              </w:rPr>
              <w:t>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b/>
                <w:bCs/>
                <w:kern w:val="0"/>
                <w:sz w:val="21"/>
                <w:szCs w:val="21"/>
              </w:rPr>
              <w:t>项目支出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b/>
                <w:bCs/>
                <w:kern w:val="0"/>
                <w:sz w:val="21"/>
                <w:szCs w:val="21"/>
                <w:lang w:val="en-US" w:eastAsia="zh-CN"/>
              </w:rPr>
            </w:pPr>
            <w:r>
              <w:rPr>
                <w:rFonts w:ascii="Times New Roman" w:hAnsi="Times New Roman" w:eastAsia="仿宋_GB2312" w:cs="Times New Roman"/>
                <w:kern w:val="0"/>
                <w:sz w:val="21"/>
                <w:szCs w:val="21"/>
              </w:rPr>
              <w:t xml:space="preserve"> </w:t>
            </w:r>
            <w:r>
              <w:rPr>
                <w:rFonts w:hint="eastAsia" w:ascii="Times New Roman" w:hAnsi="Times New Roman" w:cs="Times New Roman"/>
                <w:kern w:val="0"/>
                <w:sz w:val="21"/>
                <w:szCs w:val="21"/>
                <w:lang w:val="en-US" w:eastAsia="zh-CN"/>
              </w:rPr>
              <w:t xml:space="preserve">   </w:t>
            </w:r>
            <w:r>
              <w:rPr>
                <w:rFonts w:hint="eastAsia" w:ascii="Times New Roman" w:hAnsi="Times New Roman" w:cs="Times New Roman"/>
                <w:kern w:val="0"/>
                <w:sz w:val="21"/>
                <w:szCs w:val="21"/>
                <w:lang w:eastAsia="zh-CN"/>
              </w:rPr>
              <w:t>其中：</w:t>
            </w:r>
            <w:r>
              <w:rPr>
                <w:rFonts w:hint="eastAsia" w:ascii="Times New Roman" w:hAnsi="Times New Roman" w:cs="Times New Roman"/>
                <w:kern w:val="0"/>
                <w:sz w:val="21"/>
                <w:szCs w:val="21"/>
                <w:lang w:val="en-US" w:eastAsia="zh-CN"/>
              </w:rPr>
              <w:t>1、运行维护经费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580"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xml:space="preserve">  </w:t>
            </w:r>
            <w:r>
              <w:rPr>
                <w:rFonts w:hint="eastAsia" w:ascii="Times New Roman" w:hAnsi="Times New Roman" w:cs="Times New Roman"/>
                <w:kern w:val="0"/>
                <w:sz w:val="21"/>
                <w:szCs w:val="21"/>
                <w:lang w:val="en-US" w:eastAsia="zh-CN"/>
              </w:rPr>
              <w:t xml:space="preserve">        2、</w:t>
            </w:r>
            <w:r>
              <w:rPr>
                <w:rFonts w:ascii="Times New Roman" w:hAnsi="Times New Roman" w:eastAsia="仿宋_GB2312" w:cs="Times New Roman"/>
                <w:kern w:val="0"/>
                <w:sz w:val="21"/>
                <w:szCs w:val="21"/>
              </w:rPr>
              <w:t>专项资金</w:t>
            </w:r>
          </w:p>
          <w:p>
            <w:pPr>
              <w:keepNext w:val="0"/>
              <w:keepLines w:val="0"/>
              <w:pageBreakBefore w:val="0"/>
              <w:widowControl/>
              <w:kinsoku/>
              <w:wordWrap/>
              <w:overflowPunct/>
              <w:topLinePunct w:val="0"/>
              <w:autoSpaceDE/>
              <w:autoSpaceDN/>
              <w:bidi w:val="0"/>
              <w:adjustRightInd/>
              <w:snapToGrid/>
              <w:spacing w:line="220" w:lineRule="exact"/>
              <w:ind w:firstLine="840" w:firstLineChars="400"/>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（一个项</w:t>
            </w:r>
            <w:r>
              <w:rPr>
                <w:rFonts w:hint="eastAsia" w:ascii="Times New Roman" w:hAnsi="Times New Roman" w:cs="Times New Roman"/>
                <w:kern w:val="0"/>
                <w:sz w:val="21"/>
                <w:szCs w:val="21"/>
                <w:lang w:eastAsia="zh-CN"/>
              </w:rPr>
              <w:t>目</w:t>
            </w:r>
            <w:r>
              <w:rPr>
                <w:rFonts w:ascii="Times New Roman" w:hAnsi="Times New Roman" w:eastAsia="仿宋_GB2312" w:cs="Times New Roman"/>
                <w:kern w:val="0"/>
                <w:sz w:val="21"/>
                <w:szCs w:val="21"/>
              </w:rPr>
              <w:t xml:space="preserve">一行） </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w:t>
            </w:r>
            <w:r>
              <w:rPr>
                <w:rFonts w:hint="eastAsia" w:ascii="Times New Roman" w:hAnsi="Times New Roman" w:cs="Times New Roman"/>
                <w:kern w:val="0"/>
                <w:sz w:val="21"/>
                <w:szCs w:val="21"/>
                <w:lang w:val="en-US" w:eastAsia="zh-CN"/>
              </w:rPr>
              <w:t xml:space="preserve">      </w:t>
            </w:r>
            <w:r>
              <w:rPr>
                <w:rFonts w:ascii="Times New Roman" w:hAnsi="Times New Roman" w:eastAsia="仿宋_GB2312" w:cs="Times New Roman"/>
                <w:kern w:val="0"/>
                <w:sz w:val="21"/>
                <w:szCs w:val="21"/>
              </w:rPr>
              <w:t>……</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1050" w:firstLineChars="500"/>
              <w:jc w:val="both"/>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b/>
                <w:bCs/>
                <w:kern w:val="0"/>
                <w:sz w:val="21"/>
                <w:szCs w:val="21"/>
              </w:rPr>
              <w:t>三公经费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1、公务用车购置和维护经费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其中：公车购置</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公车运行维护</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2、出国经费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3、公务接待</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FF0000"/>
                <w:kern w:val="0"/>
                <w:sz w:val="21"/>
                <w:szCs w:val="21"/>
              </w:rPr>
            </w:pPr>
            <w:r>
              <w:rPr>
                <w:rFonts w:ascii="Times New Roman" w:hAnsi="Times New Roman" w:eastAsia="仿宋_GB2312" w:cs="Times New Roman"/>
                <w:color w:val="FF0000"/>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FF0000"/>
                <w:kern w:val="0"/>
                <w:sz w:val="21"/>
                <w:szCs w:val="21"/>
              </w:rPr>
            </w:pPr>
            <w:r>
              <w:rPr>
                <w:rFonts w:ascii="Times New Roman" w:hAnsi="Times New Roman" w:eastAsia="仿宋_GB2312" w:cs="Times New Roman"/>
                <w:color w:val="FF0000"/>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FF0000"/>
                <w:kern w:val="0"/>
                <w:sz w:val="21"/>
                <w:szCs w:val="21"/>
              </w:rPr>
            </w:pPr>
            <w:r>
              <w:rPr>
                <w:rFonts w:ascii="Times New Roman" w:hAnsi="Times New Roman" w:eastAsia="仿宋_GB2312" w:cs="Times New Roman"/>
                <w:color w:val="FF0000"/>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b/>
                <w:bCs/>
                <w:kern w:val="0"/>
                <w:sz w:val="21"/>
                <w:szCs w:val="21"/>
              </w:rPr>
              <w:t>政府采购金额</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630" w:hRule="atLeast"/>
          <w:jc w:val="center"/>
        </w:trPr>
        <w:tc>
          <w:tcPr>
            <w:tcW w:w="321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楼堂馆所控制情况</w:t>
            </w:r>
            <w:r>
              <w:rPr>
                <w:rFonts w:ascii="Times New Roman" w:hAnsi="Times New Roman" w:eastAsia="仿宋_GB2312" w:cs="Times New Roman"/>
                <w:kern w:val="0"/>
                <w:sz w:val="21"/>
                <w:szCs w:val="21"/>
              </w:rPr>
              <w:br w:type="textWrapping"/>
            </w:r>
            <w:r>
              <w:rPr>
                <w:rFonts w:ascii="Times New Roman" w:hAnsi="Times New Roman" w:eastAsia="仿宋_GB2312" w:cs="Times New Roman"/>
                <w:kern w:val="0"/>
                <w:sz w:val="21"/>
                <w:szCs w:val="21"/>
              </w:rPr>
              <w:t>（202</w:t>
            </w:r>
            <w:r>
              <w:rPr>
                <w:rFonts w:hint="eastAsia" w:ascii="Times New Roman" w:hAnsi="Times New Roman" w:cs="Times New Roman"/>
                <w:kern w:val="0"/>
                <w:sz w:val="21"/>
                <w:szCs w:val="21"/>
                <w:lang w:val="en-US" w:eastAsia="zh-CN"/>
              </w:rPr>
              <w:t>1</w:t>
            </w:r>
            <w:r>
              <w:rPr>
                <w:rFonts w:ascii="Times New Roman" w:hAnsi="Times New Roman" w:eastAsia="仿宋_GB2312" w:cs="Times New Roman"/>
                <w:kern w:val="0"/>
                <w:sz w:val="21"/>
                <w:szCs w:val="21"/>
              </w:rPr>
              <w:t>年完工项目）</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批复规模</w:t>
            </w:r>
            <w:r>
              <w:rPr>
                <w:rFonts w:ascii="Times New Roman" w:hAnsi="Times New Roman" w:eastAsia="仿宋_GB2312" w:cs="Times New Roman"/>
                <w:kern w:val="0"/>
                <w:sz w:val="21"/>
                <w:szCs w:val="21"/>
              </w:rPr>
              <w:br w:type="textWrapping"/>
            </w:r>
            <w:r>
              <w:rPr>
                <w:rFonts w:ascii="Times New Roman" w:hAnsi="Times New Roman" w:eastAsia="仿宋_GB2312" w:cs="Times New Roman"/>
                <w:kern w:val="0"/>
                <w:sz w:val="21"/>
                <w:szCs w:val="21"/>
              </w:rPr>
              <w:t>（㎡）</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实际规模（㎡）</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规模控制率</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预算投资（万元）</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实际投资（万元）</w:t>
            </w:r>
          </w:p>
        </w:tc>
        <w:tc>
          <w:tcPr>
            <w:tcW w:w="9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投资概算控制率</w:t>
            </w:r>
          </w:p>
        </w:tc>
      </w:tr>
      <w:tr>
        <w:tblPrEx>
          <w:tblCellMar>
            <w:top w:w="0" w:type="dxa"/>
            <w:left w:w="108" w:type="dxa"/>
            <w:bottom w:w="0" w:type="dxa"/>
            <w:right w:w="108" w:type="dxa"/>
          </w:tblCellMar>
        </w:tblPrEx>
        <w:trPr>
          <w:trHeight w:val="454" w:hRule="atLeast"/>
          <w:jc w:val="center"/>
        </w:trPr>
        <w:tc>
          <w:tcPr>
            <w:tcW w:w="32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9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691"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厉行节约保障措施</w:t>
            </w:r>
          </w:p>
        </w:tc>
        <w:tc>
          <w:tcPr>
            <w:tcW w:w="6481"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bl>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eastAsia="仿宋_GB2312"/>
          <w:kern w:val="0"/>
          <w:sz w:val="22"/>
          <w:szCs w:val="24"/>
          <w:lang w:eastAsia="zh-CN"/>
        </w:rPr>
      </w:pPr>
      <w:r>
        <w:rPr>
          <w:rFonts w:eastAsia="仿宋_GB2312"/>
          <w:kern w:val="0"/>
          <w:sz w:val="22"/>
          <w:szCs w:val="24"/>
        </w:rPr>
        <w:t>说明：“公用经费”填报基本支出中的一般商品和服务支出。“项目支出”需要填报基本支出以外的所有项目支出情况，</w:t>
      </w:r>
      <w:r>
        <w:rPr>
          <w:rFonts w:hint="eastAsia"/>
          <w:kern w:val="0"/>
          <w:sz w:val="22"/>
          <w:szCs w:val="24"/>
          <w:lang w:eastAsia="zh-CN"/>
        </w:rPr>
        <w:t>“运行维护经费”填报项目支出中用于人员类和公用运转类的支出。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黑体" w:cs="Times New Roman"/>
          <w:sz w:val="32"/>
          <w:szCs w:val="32"/>
          <w:lang w:val="en-US" w:eastAsia="zh-CN"/>
        </w:rPr>
      </w:pPr>
      <w:r>
        <w:rPr>
          <w:rFonts w:eastAsia="仿宋_GB2312"/>
          <w:kern w:val="0"/>
          <w:sz w:val="22"/>
          <w:szCs w:val="24"/>
        </w:rPr>
        <w:t>填表人：        填报日期：          联系电话：            单位负责人签字：</w:t>
      </w:r>
      <w:r>
        <w:rPr>
          <w:rFonts w:eastAsia="仿宋_GB2312"/>
          <w:kern w:val="0"/>
          <w:sz w:val="22"/>
          <w:szCs w:val="24"/>
        </w:rPr>
        <w:br w:type="page"/>
      </w: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2</w:t>
      </w:r>
      <w:r>
        <w:rPr>
          <w:rFonts w:ascii="Times New Roman" w:hAnsi="Times New Roman" w:eastAsia="方正小标宋_GBK" w:cs="Times New Roman"/>
          <w:color w:val="000000"/>
          <w:kern w:val="0"/>
          <w:sz w:val="36"/>
          <w:szCs w:val="36"/>
        </w:rPr>
        <w:t>年度部门整体支出绩效自评表</w:t>
      </w:r>
    </w:p>
    <w:tbl>
      <w:tblPr>
        <w:tblStyle w:val="5"/>
        <w:tblW w:w="9993" w:type="dxa"/>
        <w:jc w:val="center"/>
        <w:tblLayout w:type="autofit"/>
        <w:tblCellMar>
          <w:top w:w="0" w:type="dxa"/>
          <w:left w:w="108" w:type="dxa"/>
          <w:bottom w:w="0" w:type="dxa"/>
          <w:right w:w="108" w:type="dxa"/>
        </w:tblCellMar>
      </w:tblPr>
      <w:tblGrid>
        <w:gridCol w:w="1080"/>
        <w:gridCol w:w="1080"/>
        <w:gridCol w:w="953"/>
        <w:gridCol w:w="1256"/>
        <w:gridCol w:w="95"/>
        <w:gridCol w:w="1200"/>
        <w:gridCol w:w="1276"/>
        <w:gridCol w:w="812"/>
        <w:gridCol w:w="889"/>
        <w:gridCol w:w="1352"/>
      </w:tblGrid>
      <w:tr>
        <w:tblPrEx>
          <w:tblCellMar>
            <w:top w:w="0" w:type="dxa"/>
            <w:left w:w="108" w:type="dxa"/>
            <w:bottom w:w="0" w:type="dxa"/>
            <w:right w:w="108" w:type="dxa"/>
          </w:tblCellMar>
        </w:tblPrEx>
        <w:trPr>
          <w:trHeight w:val="32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预算部门</w:t>
            </w:r>
          </w:p>
        </w:tc>
        <w:tc>
          <w:tcPr>
            <w:tcW w:w="8913"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年度预</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算申请</w:t>
            </w:r>
            <w:r>
              <w:rPr>
                <w:rFonts w:ascii="Times New Roman" w:hAnsi="Times New Roman" w:eastAsia="仿宋_GB2312" w:cs="Times New Roman"/>
                <w:color w:val="000000"/>
                <w:kern w:val="0"/>
                <w:sz w:val="21"/>
                <w:szCs w:val="21"/>
              </w:rPr>
              <w:br w:type="textWrapping"/>
            </w:r>
            <w:r>
              <w:rPr>
                <w:rFonts w:ascii="Times New Roman" w:hAnsi="Times New Roman" w:eastAsia="仿宋_GB2312" w:cs="Times New Roman"/>
                <w:color w:val="000000"/>
                <w:kern w:val="0"/>
                <w:sz w:val="21"/>
                <w:szCs w:val="21"/>
              </w:rPr>
              <w:t>（万元）</w:t>
            </w:r>
          </w:p>
        </w:tc>
        <w:tc>
          <w:tcPr>
            <w:tcW w:w="2033"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p>
        </w:tc>
        <w:tc>
          <w:tcPr>
            <w:tcW w:w="1256"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年初</w:t>
            </w:r>
          </w:p>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预算数</w:t>
            </w:r>
          </w:p>
        </w:tc>
        <w:tc>
          <w:tcPr>
            <w:tcW w:w="1295"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全年预算数</w:t>
            </w:r>
          </w:p>
        </w:tc>
        <w:tc>
          <w:tcPr>
            <w:tcW w:w="1276"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全年执行数</w:t>
            </w:r>
          </w:p>
        </w:tc>
        <w:tc>
          <w:tcPr>
            <w:tcW w:w="812"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889"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352"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2033"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color w:val="000000"/>
                <w:kern w:val="0"/>
                <w:sz w:val="21"/>
                <w:szCs w:val="21"/>
              </w:rPr>
              <w:t>年度资金总额</w:t>
            </w:r>
          </w:p>
        </w:tc>
        <w:tc>
          <w:tcPr>
            <w:tcW w:w="1256"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p>
        </w:tc>
        <w:tc>
          <w:tcPr>
            <w:tcW w:w="1295"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p>
        </w:tc>
        <w:tc>
          <w:tcPr>
            <w:tcW w:w="1276"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p>
        </w:tc>
        <w:tc>
          <w:tcPr>
            <w:tcW w:w="812"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sz w:val="21"/>
                <w:szCs w:val="21"/>
                <w:lang w:eastAsia="zh-CN"/>
              </w:rPr>
            </w:pPr>
            <w:r>
              <w:rPr>
                <w:rFonts w:ascii="Times New Roman" w:hAnsi="Times New Roman" w:eastAsia="仿宋_GB2312" w:cs="Times New Roman"/>
                <w:sz w:val="21"/>
                <w:szCs w:val="21"/>
              </w:rPr>
              <w:t>10</w:t>
            </w:r>
            <w:r>
              <w:rPr>
                <w:rFonts w:hint="eastAsia" w:ascii="Times New Roman" w:hAnsi="Times New Roman" w:cs="Times New Roman"/>
                <w:sz w:val="21"/>
                <w:szCs w:val="21"/>
                <w:lang w:eastAsia="zh-CN"/>
              </w:rPr>
              <w:t>分</w:t>
            </w:r>
          </w:p>
        </w:tc>
        <w:tc>
          <w:tcPr>
            <w:tcW w:w="889"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p>
        </w:tc>
        <w:tc>
          <w:tcPr>
            <w:tcW w:w="1352"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按收入性质分：</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xml:space="preserve">  其中：  一般公共预算：</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其中：基本支出：</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ind w:firstLine="840" w:firstLineChars="4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政府性基金拨款：</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项目支出：</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纳入专户管理的非税收入拨款：</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ind w:firstLine="1470" w:firstLineChars="7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其他资金：</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584" w:type="dxa"/>
            <w:gridSpan w:val="5"/>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432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584" w:type="dxa"/>
            <w:gridSpan w:val="5"/>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432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widowControl/>
              <w:spacing w:line="240" w:lineRule="exact"/>
              <w:jc w:val="center"/>
              <w:rPr>
                <w:rFonts w:ascii="Times New Roman" w:hAnsi="Times New Roman" w:eastAsia="仿宋_GB2312" w:cs="Times New Roman"/>
                <w:color w:val="000000"/>
                <w:kern w:val="0"/>
                <w:sz w:val="21"/>
                <w:szCs w:val="21"/>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95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1276"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实际完成值</w:t>
            </w:r>
          </w:p>
        </w:tc>
        <w:tc>
          <w:tcPr>
            <w:tcW w:w="81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88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w:t>
            </w:r>
            <w:r>
              <w:rPr>
                <w:rFonts w:ascii="Times New Roman" w:hAnsi="Times New Roman" w:eastAsia="仿宋_GB2312" w:cs="Times New Roman"/>
                <w:color w:val="000000"/>
                <w:kern w:val="0"/>
                <w:sz w:val="21"/>
                <w:szCs w:val="21"/>
              </w:rPr>
              <w:t>50分</w:t>
            </w:r>
            <w:r>
              <w:rPr>
                <w:rFonts w:hint="eastAsia" w:ascii="Times New Roman" w:hAnsi="Times New Roman" w:cs="Times New Roman"/>
                <w:color w:val="000000"/>
                <w:kern w:val="0"/>
                <w:sz w:val="21"/>
                <w:szCs w:val="21"/>
                <w:lang w:eastAsia="zh-CN"/>
              </w:rPr>
              <w:t>）</w:t>
            </w:r>
          </w:p>
        </w:tc>
        <w:tc>
          <w:tcPr>
            <w:tcW w:w="953"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数量指标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质量指标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时效指标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成本指标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widowControl/>
              <w:spacing w:line="240" w:lineRule="exact"/>
              <w:jc w:val="left"/>
              <w:rPr>
                <w:rFonts w:ascii="Times New Roman" w:hAnsi="Times New Roman" w:eastAsia="仿宋_GB2312" w:cs="Times New Roman"/>
                <w:color w:val="000000"/>
                <w:kern w:val="0"/>
                <w:sz w:val="21"/>
                <w:szCs w:val="21"/>
              </w:rPr>
            </w:pPr>
          </w:p>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center"/>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953"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953"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服务对象满意度指标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1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70" w:hRule="atLeast"/>
          <w:jc w:val="center"/>
        </w:trPr>
        <w:tc>
          <w:tcPr>
            <w:tcW w:w="6940" w:type="dxa"/>
            <w:gridSpan w:val="7"/>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812"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100</w:t>
            </w:r>
            <w:r>
              <w:rPr>
                <w:rFonts w:hint="eastAsia" w:ascii="Times New Roman" w:hAnsi="Times New Roman" w:cs="Times New Roman"/>
                <w:color w:val="000000"/>
                <w:kern w:val="0"/>
                <w:sz w:val="21"/>
                <w:szCs w:val="21"/>
                <w:lang w:eastAsia="zh-CN"/>
              </w:rPr>
              <w:t>分</w:t>
            </w:r>
          </w:p>
        </w:tc>
        <w:tc>
          <w:tcPr>
            <w:tcW w:w="88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bl>
    <w:p>
      <w:pPr>
        <w:pStyle w:val="2"/>
        <w:ind w:left="0" w:leftChars="0" w:firstLine="0" w:firstLineChars="0"/>
      </w:pPr>
      <w:r>
        <w:rPr>
          <w:rFonts w:ascii="Times New Roman" w:hAnsi="Times New Roman" w:eastAsia="仿宋_GB2312" w:cs="Times New Roman"/>
          <w:kern w:val="0"/>
          <w:sz w:val="21"/>
          <w:szCs w:val="21"/>
        </w:rPr>
        <w:t>填表人：        填报日期：          联系电话：            单位负责人签字：</w:t>
      </w:r>
      <w:r>
        <w:rPr>
          <w:rFonts w:ascii="Times New Roman" w:hAnsi="Times New Roman" w:eastAsia="仿宋_GB2312" w:cs="Times New Roman"/>
          <w:kern w:val="0"/>
          <w:sz w:val="21"/>
          <w:szCs w:val="21"/>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2A485"/>
    <w:multiLevelType w:val="singleLevel"/>
    <w:tmpl w:val="92E2A485"/>
    <w:lvl w:ilvl="0" w:tentative="0">
      <w:start w:val="1"/>
      <w:numFmt w:val="decimal"/>
      <w:suff w:val="nothing"/>
      <w:lvlText w:val="%1、"/>
      <w:lvlJc w:val="left"/>
    </w:lvl>
  </w:abstractNum>
  <w:abstractNum w:abstractNumId="1">
    <w:nsid w:val="C9D1FF9F"/>
    <w:multiLevelType w:val="singleLevel"/>
    <w:tmpl w:val="C9D1FF9F"/>
    <w:lvl w:ilvl="0" w:tentative="0">
      <w:start w:val="9"/>
      <w:numFmt w:val="chineseCounting"/>
      <w:suff w:val="nothing"/>
      <w:lvlText w:val="%1、"/>
      <w:lvlJc w:val="left"/>
      <w:rPr>
        <w:rFonts w:hint="eastAsia"/>
      </w:rPr>
    </w:lvl>
  </w:abstractNum>
  <w:abstractNum w:abstractNumId="2">
    <w:nsid w:val="300ECD64"/>
    <w:multiLevelType w:val="singleLevel"/>
    <w:tmpl w:val="300ECD64"/>
    <w:lvl w:ilvl="0" w:tentative="0">
      <w:start w:val="2"/>
      <w:numFmt w:val="chineseCounting"/>
      <w:suff w:val="nothing"/>
      <w:lvlText w:val="（%1）"/>
      <w:lvlJc w:val="left"/>
      <w:rPr>
        <w:rFonts w:hint="eastAsia"/>
      </w:rPr>
    </w:lvl>
  </w:abstractNum>
  <w:abstractNum w:abstractNumId="3">
    <w:nsid w:val="694C50A9"/>
    <w:multiLevelType w:val="singleLevel"/>
    <w:tmpl w:val="694C50A9"/>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YTU2YWNiZTIyOTk5NjcwOWEyOTQyNTkyNWM2MjcifQ=="/>
  </w:docVars>
  <w:rsids>
    <w:rsidRoot w:val="3CE52A94"/>
    <w:rsid w:val="0893031C"/>
    <w:rsid w:val="3CE52A94"/>
    <w:rsid w:val="45C12FD3"/>
    <w:rsid w:val="52F82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ind w:left="0" w:firstLine="420" w:firstLineChars="200"/>
    </w:pPr>
  </w:style>
  <w:style w:type="paragraph" w:styleId="3">
    <w:name w:val="Body Text Indent"/>
    <w:basedOn w:val="1"/>
    <w:qFormat/>
    <w:uiPriority w:val="0"/>
    <w:pPr>
      <w:ind w:firstLine="632" w:firstLineChars="200"/>
    </w:pPr>
  </w:style>
  <w:style w:type="paragraph" w:styleId="4">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1220</Words>
  <Characters>1282</Characters>
  <Lines>0</Lines>
  <Paragraphs>0</Paragraphs>
  <TotalTime>6</TotalTime>
  <ScaleCrop>false</ScaleCrop>
  <LinksUpToDate>false</LinksUpToDate>
  <CharactersWithSpaces>1583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2023-09-12T09:25:00Z</dcterms:created>
  <dc:creator>Administrator</dc:creator>
  <cp:lastModifiedBy>Administrator</cp:lastModifiedBy>
  <dcterms:modified xsi:type="dcterms:W3CDTF">2023-09-19T01:17:45Z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29D8020ACAD946A2B7BFDCB98759FE13_13</vt:lpwstr>
  </property>
</Properties>
</file>