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sz w:val="32"/>
          <w:szCs w:val="32"/>
          <w:lang w:eastAsia="zh-CN"/>
        </w:rPr>
      </w:pPr>
      <w:bookmarkStart w:id="0" w:name="_GoBack"/>
      <w:bookmarkEnd w:id="0"/>
    </w:p>
    <w:p>
      <w:pPr>
        <w:spacing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lang w:val="en-US" w:eastAsia="zh-CN"/>
        </w:rPr>
        <w:t>2022年度</w:t>
      </w:r>
      <w:r>
        <w:rPr>
          <w:rFonts w:hint="eastAsia" w:ascii="Times New Roman" w:hAnsi="Times New Roman" w:eastAsia="方正小标宋_GBK" w:cs="Times New Roman"/>
          <w:sz w:val="36"/>
          <w:szCs w:val="36"/>
        </w:rPr>
        <w:t>市级土地综合整治（灾毁）项目及耕地保护监管工作资金</w:t>
      </w:r>
      <w:r>
        <w:rPr>
          <w:rFonts w:ascii="Times New Roman" w:hAnsi="Times New Roman" w:eastAsia="方正小标宋_GBK" w:cs="Times New Roman"/>
          <w:sz w:val="36"/>
          <w:szCs w:val="36"/>
        </w:rPr>
        <w:t>绩效</w:t>
      </w:r>
      <w:r>
        <w:rPr>
          <w:rFonts w:hint="eastAsia" w:ascii="Times New Roman" w:hAnsi="Times New Roman" w:eastAsia="方正小标宋_GBK" w:cs="Times New Roman"/>
          <w:sz w:val="36"/>
          <w:szCs w:val="36"/>
          <w:lang w:eastAsia="zh-CN"/>
        </w:rPr>
        <w:t>自评</w:t>
      </w:r>
      <w:r>
        <w:rPr>
          <w:rFonts w:ascii="Times New Roman" w:hAnsi="Times New Roman" w:eastAsia="方正小标宋_GBK" w:cs="Times New Roman"/>
          <w:sz w:val="36"/>
          <w:szCs w:val="36"/>
        </w:rPr>
        <w:t>报告</w:t>
      </w:r>
    </w:p>
    <w:p>
      <w:pPr>
        <w:adjustRightInd w:val="0"/>
        <w:spacing w:line="600" w:lineRule="exact"/>
        <w:ind w:right="641"/>
        <w:rPr>
          <w:rFonts w:ascii="Times New Roman" w:hAnsi="Times New Roman" w:eastAsia="仿宋_GB2312" w:cs="Times New Roman"/>
          <w:sz w:val="32"/>
          <w:szCs w:val="32"/>
        </w:rPr>
      </w:pPr>
    </w:p>
    <w:p>
      <w:pPr>
        <w:adjustRightInd w:val="0"/>
        <w:snapToGrid w:val="0"/>
        <w:spacing w:line="600" w:lineRule="exact"/>
        <w:ind w:firstLine="632"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一、项目概况</w:t>
      </w:r>
    </w:p>
    <w:p>
      <w:pPr>
        <w:adjustRightInd w:val="0"/>
        <w:snapToGrid w:val="0"/>
        <w:spacing w:line="600" w:lineRule="exact"/>
        <w:ind w:firstLine="632" w:firstLineChars="200"/>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根据《益阳市财政局 益阳市自然资源和规划局关于下达2021市级土地综合整治（灾毁）项目及耕地保护监管工作资金的通知》（益财资环指【2021】47号）文件，项目下达资金855万元，用于改善农业生产条件，耕地灾毁复垦。</w:t>
      </w:r>
      <w:r>
        <w:rPr>
          <w:rFonts w:hint="eastAsia" w:ascii="Times New Roman" w:hAnsi="Times New Roman" w:eastAsia="仿宋_GB2312" w:cs="Times New Roman"/>
          <w:sz w:val="32"/>
          <w:szCs w:val="32"/>
        </w:rPr>
        <w:t>划定基本农田保护区严格控制了对耕地的占用，切实保护了耕地，对实现耕地总量动态平衡起到了重要作用；加强土地整治，提高农业综合生产能力；补充耕地实行第三方检测确保工程质量，强化耕地保护</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rPr>
        <w:t>具体工作内容：永久基本农田保护标志牌维护更新，土地整治项目验收复测，征地补偿标准调整，新增耕地上图入库，建设用耕地剥离耕作层表土再利用试点，基本农田保护及动态巡查。</w:t>
      </w:r>
    </w:p>
    <w:p>
      <w:pPr>
        <w:numPr>
          <w:ilvl w:val="0"/>
          <w:numId w:val="1"/>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绩效自评工作开展情况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（一）绩效评价目的、对象和范围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本次绩效评价是针对202</w:t>
      </w:r>
      <w:r>
        <w:rPr>
          <w:rFonts w:hint="eastAsia" w:ascii="Times New Roman" w:hAnsi="Times New Roman"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年耕地保护及土地整治工作进行，通过此次评价工作，客观反映出项目资金利用情况以和项目执行情况等。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（二）绩效评价原则、评价指标体系、评价方法、评价标准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依照项目初期制定的绩效目标申报表中的相关内容，按一定的评价程序，运用科学的评价方法、按照产出、效益、满意度等一级指标及层层分解的二、三级指标和年度指标值等评价的内容和标准对评价对象的项目资金执行率、产出情况、效益情况和满意度情况等进行客观公正地考核和评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（三）绩效评价工作过程。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default" w:ascii="Times New Roman" w:hAnsi="Times New Roman" w:eastAsia="黑体"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依据项目初期设定的考核指标对照项目实际完成情况进行衡量打分，从而获得本项目的实际分数。</w:t>
      </w:r>
    </w:p>
    <w:p>
      <w:p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综合评价结论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_GB2312" w:hAnsi="仿宋"/>
          <w:szCs w:val="32"/>
          <w:lang w:eastAsia="zh-CN"/>
        </w:rPr>
      </w:pPr>
      <w:r>
        <w:rPr>
          <w:rFonts w:hint="eastAsia" w:ascii="仿宋_GB2312" w:hAnsi="仿宋" w:eastAsia="仿宋_GB2312" w:cs="Times New Roman"/>
          <w:kern w:val="2"/>
          <w:sz w:val="32"/>
          <w:szCs w:val="32"/>
          <w:lang w:val="en-US" w:eastAsia="zh-CN" w:bidi="ar-SA"/>
        </w:rPr>
        <w:t>按年初设立的项目申报表的相关内容进行绩效评价，</w:t>
      </w:r>
      <w:r>
        <w:rPr>
          <w:rFonts w:hint="eastAsia" w:ascii="仿宋_GB2312" w:hAnsi="仿宋" w:cs="Times New Roman"/>
          <w:kern w:val="2"/>
          <w:sz w:val="32"/>
          <w:szCs w:val="32"/>
          <w:lang w:val="en-US" w:eastAsia="zh-CN" w:bidi="ar-SA"/>
        </w:rPr>
        <w:t>评价等级为良好，评价分数为89分</w:t>
      </w:r>
      <w:r>
        <w:rPr>
          <w:rFonts w:hint="eastAsia" w:ascii="仿宋_GB2312" w:hAnsi="仿宋" w:eastAsia="仿宋_GB2312" w:cs="Times New Roman"/>
          <w:kern w:val="2"/>
          <w:sz w:val="32"/>
          <w:szCs w:val="32"/>
          <w:lang w:val="en-US" w:eastAsia="zh-CN" w:bidi="ar-SA"/>
        </w:rPr>
        <w:t>。</w:t>
      </w:r>
    </w:p>
    <w:p>
      <w:pPr>
        <w:numPr>
          <w:ilvl w:val="0"/>
          <w:numId w:val="2"/>
        </w:numPr>
        <w:adjustRightInd w:val="0"/>
        <w:snapToGrid w:val="0"/>
        <w:spacing w:line="600" w:lineRule="exact"/>
        <w:ind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绩效目标实现情况分析</w:t>
      </w:r>
    </w:p>
    <w:p>
      <w:pPr>
        <w:widowControl/>
        <w:spacing w:line="600" w:lineRule="exact"/>
        <w:ind w:firstLine="632" w:firstLineChars="200"/>
        <w:jc w:val="both"/>
        <w:rPr>
          <w:rFonts w:hint="eastAsia" w:ascii="楷体_GB2312" w:hAnsi="Times New Roman" w:eastAsia="楷体_GB2312" w:cs="Times New Roman"/>
          <w:b/>
          <w:kern w:val="2"/>
          <w:sz w:val="32"/>
          <w:szCs w:val="32"/>
          <w:lang w:val="en-US" w:eastAsia="zh-CN" w:bidi="ar-SA"/>
        </w:rPr>
      </w:pPr>
      <w:r>
        <w:rPr>
          <w:rFonts w:hint="eastAsia" w:ascii="楷体_GB2312" w:hAnsi="Times New Roman" w:eastAsia="楷体_GB2312" w:cs="Times New Roman"/>
          <w:b/>
          <w:kern w:val="2"/>
          <w:sz w:val="32"/>
          <w:szCs w:val="32"/>
          <w:lang w:val="en-US" w:eastAsia="zh-CN" w:bidi="ar-SA"/>
        </w:rPr>
        <w:t>（一）项目资金使用及管理情况</w:t>
      </w:r>
    </w:p>
    <w:p>
      <w:pPr>
        <w:adjustRightInd w:val="0"/>
        <w:snapToGrid w:val="0"/>
        <w:spacing w:line="600" w:lineRule="exact"/>
        <w:ind w:firstLine="592" w:firstLineChars="200"/>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项目资金安排落实、总投入等情况分析。</w:t>
      </w:r>
    </w:p>
    <w:p>
      <w:pPr>
        <w:adjustRightInd w:val="0"/>
        <w:snapToGrid w:val="0"/>
        <w:spacing w:line="600" w:lineRule="exact"/>
        <w:ind w:firstLine="592" w:firstLineChars="200"/>
        <w:rPr>
          <w:rFonts w:hint="default" w:eastAsia="仿宋_GB2312"/>
          <w:lang w:val="en-US" w:eastAsia="zh-CN"/>
        </w:rPr>
      </w:pPr>
      <w:r>
        <w:rPr>
          <w:rFonts w:hint="eastAsia" w:ascii="仿宋" w:hAnsi="仿宋" w:eastAsia="仿宋" w:cs="仿宋"/>
          <w:sz w:val="30"/>
          <w:szCs w:val="30"/>
          <w:lang w:val="en-US" w:eastAsia="zh-CN"/>
        </w:rPr>
        <w:t>项目完成投资855.00万元，实际支付金额855.00万元，项目结余资金0.00万元。</w:t>
      </w:r>
    </w:p>
    <w:p>
      <w:pPr>
        <w:adjustRightInd w:val="0"/>
        <w:snapToGrid w:val="0"/>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cs="Times New Roman"/>
          <w:sz w:val="32"/>
          <w:szCs w:val="32"/>
          <w:lang w:val="en-US" w:eastAsia="zh-CN"/>
        </w:rPr>
        <w:t>2、</w:t>
      </w:r>
      <w:r>
        <w:rPr>
          <w:rFonts w:ascii="Times New Roman" w:hAnsi="Times New Roman" w:eastAsia="仿宋_GB2312" w:cs="Times New Roman"/>
          <w:sz w:val="32"/>
          <w:szCs w:val="32"/>
        </w:rPr>
        <w:t>项目资金实际使用情况分析。</w:t>
      </w:r>
    </w:p>
    <w:p>
      <w:pPr>
        <w:adjustRightInd w:val="0"/>
        <w:snapToGrid w:val="0"/>
        <w:spacing w:line="600" w:lineRule="exact"/>
        <w:ind w:firstLine="592" w:firstLineChars="200"/>
        <w:rPr>
          <w:rFonts w:hint="eastAsia" w:ascii="Times New Roman" w:hAnsi="Times New Roman" w:eastAsia="仿宋" w:cs="Times New Roman"/>
          <w:sz w:val="32"/>
          <w:szCs w:val="32"/>
          <w:lang w:val="en-US" w:eastAsia="zh-CN"/>
        </w:rPr>
      </w:pPr>
      <w:r>
        <w:rPr>
          <w:rFonts w:hint="eastAsia" w:ascii="仿宋" w:hAnsi="仿宋" w:eastAsia="仿宋" w:cs="仿宋"/>
          <w:sz w:val="30"/>
          <w:szCs w:val="30"/>
          <w:lang w:eastAsia="zh-CN"/>
        </w:rPr>
        <w:t>区自然资源局</w:t>
      </w:r>
      <w:r>
        <w:rPr>
          <w:rFonts w:hint="eastAsia" w:ascii="仿宋" w:hAnsi="仿宋" w:eastAsia="仿宋" w:cs="仿宋"/>
          <w:sz w:val="30"/>
          <w:szCs w:val="30"/>
        </w:rPr>
        <w:t>高度重视</w:t>
      </w:r>
      <w:r>
        <w:rPr>
          <w:rFonts w:hint="eastAsia" w:ascii="仿宋" w:hAnsi="仿宋" w:eastAsia="仿宋" w:cs="仿宋"/>
          <w:color w:val="auto"/>
          <w:sz w:val="30"/>
          <w:szCs w:val="30"/>
          <w:lang w:val="en-US" w:eastAsia="zh-CN"/>
        </w:rPr>
        <w:t>市级土地综合整治（灾毁）项目及耕地保护监管工作资金项目</w:t>
      </w:r>
      <w:r>
        <w:rPr>
          <w:rFonts w:hint="eastAsia" w:ascii="仿宋" w:hAnsi="仿宋" w:eastAsia="仿宋" w:cs="仿宋"/>
          <w:color w:val="auto"/>
          <w:sz w:val="30"/>
          <w:szCs w:val="30"/>
        </w:rPr>
        <w:t>管理</w:t>
      </w:r>
      <w:r>
        <w:rPr>
          <w:rFonts w:hint="eastAsia" w:ascii="仿宋" w:hAnsi="仿宋" w:eastAsia="仿宋" w:cs="仿宋"/>
          <w:sz w:val="30"/>
          <w:szCs w:val="30"/>
        </w:rPr>
        <w:t>工作，严格按照“专账核算、</w:t>
      </w:r>
      <w:r>
        <w:rPr>
          <w:rFonts w:hint="eastAsia" w:ascii="仿宋" w:hAnsi="仿宋" w:eastAsia="仿宋" w:cs="仿宋"/>
          <w:sz w:val="30"/>
          <w:szCs w:val="30"/>
          <w:lang w:val="en-US" w:eastAsia="zh-CN"/>
        </w:rPr>
        <w:t>专款专</w:t>
      </w:r>
      <w:r>
        <w:rPr>
          <w:rFonts w:hint="eastAsia" w:ascii="仿宋" w:hAnsi="仿宋" w:eastAsia="仿宋" w:cs="仿宋"/>
          <w:sz w:val="30"/>
          <w:szCs w:val="30"/>
        </w:rPr>
        <w:t>用”的财务制度进行管理，明确专职会计人员核算项目资金，确保项目资金使用规范。</w:t>
      </w:r>
    </w:p>
    <w:p>
      <w:pPr>
        <w:numPr>
          <w:ilvl w:val="0"/>
          <w:numId w:val="3"/>
        </w:numPr>
        <w:adjustRightInd w:val="0"/>
        <w:snapToGrid w:val="0"/>
        <w:spacing w:line="600" w:lineRule="exact"/>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项目资金管理情况分析，主要包括管理制度、办法的制订及执行情况。</w:t>
      </w:r>
    </w:p>
    <w:p>
      <w:pPr>
        <w:pStyle w:val="3"/>
        <w:keepNext w:val="0"/>
        <w:keepLines w:val="0"/>
        <w:pageBreakBefore w:val="0"/>
        <w:widowControl w:val="0"/>
        <w:kinsoku/>
        <w:wordWrap/>
        <w:topLinePunct w:val="0"/>
        <w:bidi w:val="0"/>
        <w:adjustRightInd/>
        <w:snapToGrid/>
        <w:spacing w:line="540" w:lineRule="exact"/>
        <w:ind w:firstLine="592" w:firstLineChars="200"/>
        <w:textAlignment w:val="auto"/>
        <w:rPr>
          <w:rFonts w:hint="default" w:ascii="Times New Roman" w:hAnsi="Times New Roman" w:eastAsia="仿宋_GB2312" w:cs="Times New Roman"/>
          <w:kern w:val="2"/>
          <w:sz w:val="32"/>
          <w:szCs w:val="32"/>
          <w:lang w:val="en-US" w:eastAsia="zh-CN" w:bidi="ar-SA"/>
        </w:rPr>
      </w:pPr>
      <w:r>
        <w:rPr>
          <w:rFonts w:hint="eastAsia" w:ascii="仿宋" w:hAnsi="仿宋" w:eastAsia="仿宋" w:cs="仿宋"/>
          <w:sz w:val="30"/>
          <w:szCs w:val="30"/>
        </w:rPr>
        <w:t>为加强</w:t>
      </w:r>
      <w:r>
        <w:rPr>
          <w:rFonts w:hint="eastAsia" w:ascii="仿宋" w:hAnsi="仿宋" w:eastAsia="仿宋" w:cs="仿宋"/>
          <w:sz w:val="30"/>
          <w:szCs w:val="30"/>
          <w:lang w:val="en-US" w:eastAsia="zh-CN"/>
        </w:rPr>
        <w:t>项目</w:t>
      </w:r>
      <w:r>
        <w:rPr>
          <w:rFonts w:hint="eastAsia" w:ascii="仿宋" w:hAnsi="仿宋" w:eastAsia="仿宋" w:cs="仿宋"/>
          <w:sz w:val="30"/>
          <w:szCs w:val="30"/>
        </w:rPr>
        <w:t>资金的管理，</w:t>
      </w:r>
      <w:r>
        <w:rPr>
          <w:rFonts w:hint="eastAsia" w:ascii="仿宋" w:hAnsi="仿宋" w:eastAsia="仿宋" w:cs="仿宋"/>
          <w:sz w:val="30"/>
          <w:szCs w:val="30"/>
          <w:lang w:val="en-US" w:eastAsia="zh-CN"/>
        </w:rPr>
        <w:t>明确了资金管理要求，项目资金的支付均由</w:t>
      </w:r>
      <w:r>
        <w:rPr>
          <w:rFonts w:hint="eastAsia" w:ascii="Times New Roman" w:hAnsi="Times New Roman" w:eastAsia="仿宋_GB2312" w:cs="Times New Roman"/>
          <w:kern w:val="2"/>
          <w:sz w:val="32"/>
          <w:szCs w:val="32"/>
          <w:lang w:val="en-US" w:eastAsia="zh-CN" w:bidi="ar-SA"/>
        </w:rPr>
        <w:t>财政直接支付给服务单位，且做到了专帐管理、专款专用。财务上由局财务股负责管理，财务执行情况良好，项目资金管理到位。</w:t>
      </w:r>
    </w:p>
    <w:p>
      <w:pPr>
        <w:keepNext w:val="0"/>
        <w:keepLines w:val="0"/>
        <w:pageBreakBefore w:val="0"/>
        <w:widowControl/>
        <w:numPr>
          <w:ilvl w:val="0"/>
          <w:numId w:val="4"/>
        </w:numPr>
        <w:kinsoku/>
        <w:wordWrap/>
        <w:overflowPunct/>
        <w:topLinePunct w:val="0"/>
        <w:autoSpaceDE/>
        <w:autoSpaceDN/>
        <w:bidi w:val="0"/>
        <w:adjustRightInd/>
        <w:spacing w:line="600" w:lineRule="exact"/>
        <w:ind w:firstLine="632" w:firstLineChars="200"/>
        <w:jc w:val="both"/>
        <w:textAlignment w:val="auto"/>
        <w:rPr>
          <w:rFonts w:hint="eastAsia"/>
          <w:lang w:val="en-US" w:eastAsia="zh-CN"/>
        </w:rPr>
      </w:pPr>
      <w:r>
        <w:rPr>
          <w:rFonts w:hint="eastAsia" w:ascii="Times New Roman" w:hAnsi="Times New Roman" w:eastAsia="仿宋_GB2312" w:cs="Times New Roman"/>
          <w:kern w:val="2"/>
          <w:sz w:val="32"/>
          <w:szCs w:val="32"/>
          <w:lang w:val="en-US" w:eastAsia="zh-CN" w:bidi="ar-SA"/>
        </w:rPr>
        <w:t>总体绩效目标完成情况分析</w:t>
      </w:r>
    </w:p>
    <w:p>
      <w:pPr>
        <w:pStyle w:val="2"/>
        <w:keepNext w:val="0"/>
        <w:keepLines w:val="0"/>
        <w:pageBreakBefore w:val="0"/>
        <w:numPr>
          <w:ilvl w:val="0"/>
          <w:numId w:val="0"/>
        </w:numPr>
        <w:kinsoku/>
        <w:wordWrap/>
        <w:overflowPunct/>
        <w:topLinePunct w:val="0"/>
        <w:autoSpaceDE/>
        <w:autoSpaceDN/>
        <w:bidi w:val="0"/>
        <w:adjustRightInd/>
        <w:spacing w:line="600"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cs="Times New Roman"/>
          <w:kern w:val="2"/>
          <w:sz w:val="32"/>
          <w:szCs w:val="32"/>
          <w:lang w:val="en-US" w:eastAsia="zh-CN" w:bidi="ar-SA"/>
        </w:rPr>
        <w:t>该</w:t>
      </w:r>
      <w:r>
        <w:rPr>
          <w:rFonts w:hint="eastAsia" w:ascii="Times New Roman" w:hAnsi="Times New Roman" w:eastAsia="仿宋_GB2312" w:cs="Times New Roman"/>
          <w:kern w:val="2"/>
          <w:sz w:val="32"/>
          <w:szCs w:val="32"/>
          <w:lang w:val="en-US" w:eastAsia="zh-CN" w:bidi="ar-SA"/>
        </w:rPr>
        <w:t>项目目标清晰，项目决策有理有据，项目资金到位及时、分配合理，相关项目管理制度健全，并严格按照规定内容组织实施，各个项目保质保量的推进，达到项目预期效果。</w:t>
      </w:r>
    </w:p>
    <w:p>
      <w:pPr>
        <w:widowControl/>
        <w:spacing w:line="600" w:lineRule="exact"/>
        <w:ind w:firstLine="632"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（三）绩效指标完成情况分析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en-US" w:eastAsia="zh-CN" w:bidi="zh-CN"/>
        </w:rPr>
        <w:t>1</w:t>
      </w:r>
      <w:r>
        <w:rPr>
          <w:rFonts w:hint="eastAsia" w:ascii="仿宋" w:hAnsi="仿宋" w:eastAsia="仿宋" w:cs="仿宋"/>
          <w:kern w:val="21"/>
          <w:sz w:val="30"/>
          <w:szCs w:val="30"/>
          <w:lang w:val="zh-CN" w:eastAsia="zh-CN" w:bidi="zh-CN"/>
        </w:rPr>
        <w:t>.产出指标完成情况分析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（1）数量指标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年初设定指标：永久耕地保有量33.19，耕地恢复2930亩，耕地净增加面积168.86亩。完成情况：永久耕地保有量33.19，耕地恢复2039.8亩，耕地净增加面积168.86亩。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（2）时效指标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年初设定指标：截止2020年底完成目标任。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完成情况：按规定时间内完成了当年度耕地保护及土地整治各项目标任务。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w:t>
      </w:r>
      <w:r>
        <w:rPr>
          <w:rFonts w:hint="eastAsia" w:ascii="仿宋" w:hAnsi="仿宋" w:eastAsia="仿宋" w:cs="仿宋"/>
          <w:kern w:val="21"/>
          <w:sz w:val="30"/>
          <w:szCs w:val="30"/>
          <w:lang w:val="en-US" w:eastAsia="zh-CN" w:bidi="zh-CN"/>
        </w:rPr>
        <w:t>3</w:t>
      </w:r>
      <w:r>
        <w:rPr>
          <w:rFonts w:hint="eastAsia" w:ascii="仿宋" w:hAnsi="仿宋" w:eastAsia="仿宋" w:cs="仿宋"/>
          <w:kern w:val="21"/>
          <w:sz w:val="30"/>
          <w:szCs w:val="30"/>
          <w:lang w:val="zh-CN" w:eastAsia="zh-CN" w:bidi="zh-CN"/>
        </w:rPr>
        <w:t>）成本指标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年初设定指标：项目支出成本控制在预算审批金额的额度内且支出规范。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完成情况：项目实际支出符合相关项目预算批复用途。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2.效益指标完成情况分析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（1）经济效益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年初设定指标：耕地占补平衡。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完成情况：通过耕地保护及土地整治项目建设，进一步提升了土地利用和整治能力，实现了预期经济目标要求。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（2）社会效益指标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年初设定指标：引导公众参与耕地保护与整治活动。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完成情况：通过宣传和实际整治相结合，耕地保护及土地整治工作取得了满意的社会效益。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（3）生态效益指标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年初设定指标：项目实施后进一步减少对耕地的破坏。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完成情况：本项目的建设，在充分考虑当地生态与环境的前提下,合理开展了土地利用与土地整治活动，协调保护与利用，生态效益效果明显。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（4）可持续影响指标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年初设定指标：建立联动考核机制。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完成情况：通过项目实施，增强了公众从自身做起,从小事做起,进一步提高全社会关心土地意识，减少对土地资源的破坏,促进土地的开发、利用、保护和管理,从而促进土地资源的可持续发展。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3.满意度指标完成情况分析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仿宋" w:hAnsi="仿宋" w:eastAsia="仿宋" w:cs="仿宋"/>
          <w:kern w:val="21"/>
          <w:sz w:val="30"/>
          <w:szCs w:val="30"/>
          <w:lang w:val="zh-CN" w:eastAsia="zh-CN" w:bidi="zh-CN"/>
        </w:rPr>
      </w:pPr>
      <w:r>
        <w:rPr>
          <w:rFonts w:hint="eastAsia" w:ascii="仿宋" w:hAnsi="仿宋" w:eastAsia="仿宋" w:cs="仿宋"/>
          <w:kern w:val="21"/>
          <w:sz w:val="30"/>
          <w:szCs w:val="30"/>
          <w:lang w:val="zh-CN" w:eastAsia="zh-CN" w:bidi="zh-CN"/>
        </w:rPr>
        <w:t>年初设定指标：受益对象对耕地保护及土地整治工作满意。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kern w:val="21"/>
          <w:sz w:val="30"/>
          <w:szCs w:val="30"/>
          <w:lang w:val="zh-CN" w:eastAsia="zh-CN" w:bidi="zh-CN"/>
        </w:rPr>
        <w:t>完成情况：通过随机电话访问等形式，对受益对象满意度调查结果为满意。</w:t>
      </w:r>
    </w:p>
    <w:p>
      <w:pPr>
        <w:numPr>
          <w:ilvl w:val="0"/>
          <w:numId w:val="0"/>
        </w:numPr>
        <w:adjustRightInd w:val="0"/>
        <w:snapToGrid w:val="0"/>
        <w:spacing w:line="600" w:lineRule="exact"/>
        <w:ind w:firstLine="632" w:firstLineChars="200"/>
        <w:rPr>
          <w:rFonts w:ascii="Times New Roman" w:hAnsi="Times New Roman" w:eastAsia="仿宋_GB2312" w:cs="Times New Roman"/>
          <w:sz w:val="32"/>
          <w:szCs w:val="32"/>
        </w:rPr>
      </w:pP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存在的问题和改进措施</w:t>
      </w:r>
    </w:p>
    <w:p>
      <w:pPr>
        <w:adjustRightInd w:val="0"/>
        <w:snapToGrid w:val="0"/>
        <w:spacing w:line="600" w:lineRule="exact"/>
        <w:ind w:firstLine="632" w:firstLineChars="200"/>
        <w:rPr>
          <w:rFonts w:hint="eastAsia" w:ascii="仿宋" w:hAnsi="仿宋" w:eastAsia="仿宋" w:cs="仿宋"/>
          <w:sz w:val="30"/>
          <w:szCs w:val="30"/>
          <w:highlight w:val="none"/>
          <w:lang w:val="en-US" w:eastAsia="zh-CN"/>
        </w:rPr>
      </w:pPr>
      <w:r>
        <w:rPr>
          <w:rFonts w:hint="eastAsia" w:ascii="Times New Roman" w:hAnsi="Times New Roman" w:cs="Times New Roman"/>
          <w:sz w:val="32"/>
          <w:szCs w:val="32"/>
          <w:lang w:val="en-US" w:eastAsia="zh-CN"/>
        </w:rPr>
        <w:t>项目验收日期延长</w:t>
      </w:r>
      <w:r>
        <w:rPr>
          <w:rFonts w:ascii="Times New Roman" w:hAnsi="Times New Roman" w:eastAsia="仿宋_GB2312" w:cs="Times New Roman"/>
          <w:sz w:val="32"/>
          <w:szCs w:val="32"/>
        </w:rPr>
        <w:t>。</w:t>
      </w:r>
      <w:r>
        <w:rPr>
          <w:rFonts w:hint="eastAsia" w:ascii="仿宋" w:hAnsi="仿宋" w:eastAsia="仿宋" w:cs="仿宋"/>
          <w:sz w:val="30"/>
          <w:szCs w:val="30"/>
          <w:lang w:val="en-US" w:eastAsia="zh-CN"/>
        </w:rPr>
        <w:t>全年全省雨水天气较多，影响了项目的实施进度。</w:t>
      </w:r>
      <w:r>
        <w:rPr>
          <w:rFonts w:hint="eastAsia" w:ascii="仿宋" w:hAnsi="仿宋" w:eastAsia="仿宋" w:cs="仿宋"/>
          <w:sz w:val="30"/>
          <w:szCs w:val="30"/>
          <w:highlight w:val="none"/>
          <w:lang w:val="en-US" w:eastAsia="zh-CN"/>
        </w:rPr>
        <w:t>由于受突发起来的疫情等各方面因素的影响，导致实际施工完成时间比预计的要长。</w:t>
      </w:r>
      <w:r>
        <w:rPr>
          <w:rFonts w:hint="eastAsia" w:ascii="仿宋" w:hAnsi="仿宋" w:eastAsia="仿宋" w:cs="仿宋"/>
          <w:sz w:val="30"/>
          <w:szCs w:val="30"/>
          <w:lang w:val="en-US" w:eastAsia="zh-CN"/>
        </w:rPr>
        <w:t>建立健全项目管理长效制度，加强项目建设管理。工程项目实行统一管理，明确具体负责人，加强项目跟踪管理，及时跟进项目进度，确保工程规范运行，按时按质按量完成。</w:t>
      </w:r>
    </w:p>
    <w:p>
      <w:pPr>
        <w:pStyle w:val="2"/>
        <w:rPr>
          <w:rFonts w:hint="default"/>
          <w:lang w:val="en-US"/>
        </w:rPr>
      </w:pPr>
      <w:r>
        <w:rPr>
          <w:rFonts w:hint="eastAsia" w:ascii="仿宋" w:hAnsi="仿宋" w:eastAsia="仿宋" w:cs="仿宋"/>
          <w:sz w:val="30"/>
          <w:szCs w:val="30"/>
          <w:highlight w:val="none"/>
          <w:lang w:val="en-US" w:eastAsia="zh-CN"/>
        </w:rPr>
        <w:t xml:space="preserve">     </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绩效自评结果拟应用和公开情况</w:t>
      </w:r>
    </w:p>
    <w:p>
      <w:pPr>
        <w:numPr>
          <w:ilvl w:val="0"/>
          <w:numId w:val="2"/>
        </w:numPr>
        <w:adjustRightInd w:val="0"/>
        <w:snapToGrid w:val="0"/>
        <w:spacing w:line="600" w:lineRule="exact"/>
        <w:ind w:left="0" w:leftChars="0" w:firstLine="632"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其他需要说明的问题</w:t>
      </w:r>
    </w:p>
    <w:p>
      <w:pPr>
        <w:widowControl/>
        <w:spacing w:line="600" w:lineRule="exact"/>
        <w:ind w:firstLine="645"/>
        <w:jc w:val="left"/>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无</w:t>
      </w:r>
    </w:p>
    <w:p>
      <w:pPr>
        <w:widowControl/>
        <w:spacing w:line="600" w:lineRule="exact"/>
        <w:ind w:firstLine="645"/>
        <w:jc w:val="left"/>
        <w:rPr>
          <w:rFonts w:hint="eastAsia" w:ascii="Times New Roman" w:hAnsi="Times New Roman" w:eastAsia="仿宋_GB2312" w:cs="Times New Roman"/>
          <w:sz w:val="32"/>
          <w:szCs w:val="32"/>
          <w:lang w:eastAsia="zh-CN"/>
        </w:rPr>
      </w:pPr>
      <w:r>
        <w:rPr>
          <w:rFonts w:hint="eastAsia" w:ascii="Times New Roman" w:hAnsi="Times New Roman" w:cs="Times New Roman"/>
          <w:sz w:val="32"/>
          <w:szCs w:val="32"/>
          <w:lang w:eastAsia="zh-CN"/>
        </w:rPr>
        <w:t>附件</w:t>
      </w:r>
      <w:r>
        <w:rPr>
          <w:rFonts w:ascii="Times New Roman" w:hAnsi="Times New Roman" w:eastAsia="仿宋_GB2312" w:cs="Times New Roman"/>
          <w:sz w:val="32"/>
          <w:szCs w:val="32"/>
        </w:rPr>
        <w:t>：项目支出绩效自评表</w:t>
      </w:r>
    </w:p>
    <w:p>
      <w:r>
        <w:br w:type="page"/>
      </w:r>
    </w:p>
    <w:tbl>
      <w:tblPr>
        <w:tblStyle w:val="8"/>
        <w:tblW w:w="0" w:type="auto"/>
        <w:tblInd w:w="0" w:type="dxa"/>
        <w:tblLayout w:type="autofit"/>
        <w:tblCellMar>
          <w:top w:w="0" w:type="dxa"/>
          <w:left w:w="0" w:type="dxa"/>
          <w:bottom w:w="0" w:type="dxa"/>
          <w:right w:w="0" w:type="dxa"/>
        </w:tblCellMar>
      </w:tblPr>
      <w:tblGrid>
        <w:gridCol w:w="934"/>
        <w:gridCol w:w="998"/>
        <w:gridCol w:w="648"/>
        <w:gridCol w:w="608"/>
        <w:gridCol w:w="1236"/>
        <w:gridCol w:w="1236"/>
        <w:gridCol w:w="1236"/>
        <w:gridCol w:w="1236"/>
        <w:gridCol w:w="1537"/>
      </w:tblGrid>
      <w:tr>
        <w:tblPrEx>
          <w:tblCellMar>
            <w:top w:w="0" w:type="dxa"/>
            <w:left w:w="0" w:type="dxa"/>
            <w:bottom w:w="0" w:type="dxa"/>
            <w:right w:w="0" w:type="dxa"/>
          </w:tblCellMar>
        </w:tblPrEx>
        <w:trPr>
          <w:trHeight w:val="465" w:hRule="atLeast"/>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2022</w:t>
            </w:r>
            <w:r>
              <w:rPr>
                <w:rFonts w:hint="eastAsia" w:ascii="Times New Roman" w:hAnsi="Times New Roman" w:eastAsia="方正小标宋_GBK" w:cs="Times New Roman"/>
                <w:color w:val="000000"/>
                <w:kern w:val="0"/>
                <w:sz w:val="36"/>
                <w:szCs w:val="36"/>
              </w:rPr>
              <w:t>年度项目支出绩效自评表</w:t>
            </w:r>
          </w:p>
        </w:tc>
      </w:tr>
      <w:tr>
        <w:tblPrEx>
          <w:tblCellMar>
            <w:top w:w="0" w:type="dxa"/>
            <w:left w:w="0" w:type="dxa"/>
            <w:bottom w:w="0" w:type="dxa"/>
            <w:right w:w="0"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项目名称</w:t>
            </w:r>
          </w:p>
        </w:tc>
        <w:tc>
          <w:tcPr>
            <w:tcW w:w="0" w:type="auto"/>
            <w:gridSpan w:val="8"/>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市级土地综合整治（灾毁）项目及耕地保护监管工作资金</w:t>
            </w:r>
          </w:p>
        </w:tc>
      </w:tr>
      <w:tr>
        <w:tblPrEx>
          <w:tblCellMar>
            <w:top w:w="0" w:type="dxa"/>
            <w:left w:w="0" w:type="dxa"/>
            <w:bottom w:w="0" w:type="dxa"/>
            <w:right w:w="0"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主管部门</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益阳市资阳区自然资源局</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实施单位</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各乡、镇及村级</w:t>
            </w:r>
          </w:p>
        </w:tc>
      </w:tr>
      <w:tr>
        <w:tblPrEx>
          <w:tblCellMar>
            <w:top w:w="0" w:type="dxa"/>
            <w:left w:w="0" w:type="dxa"/>
            <w:bottom w:w="0" w:type="dxa"/>
            <w:right w:w="0"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项目资金（万元）</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年度资金总额　</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年初预算数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全年预算数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全年执行数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执行率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r>
      <w:tr>
        <w:tblPrEx>
          <w:tblCellMar>
            <w:top w:w="0" w:type="dxa"/>
            <w:left w:w="0" w:type="dxa"/>
            <w:bottom w:w="0" w:type="dxa"/>
            <w:right w:w="0" w:type="dxa"/>
          </w:tblCellMar>
        </w:tblPrEx>
        <w:trPr>
          <w:trHeight w:val="27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其中：当年财政拨款　</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上年结转资金　</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auto"/>
            <w:tcMar>
              <w:top w:w="15" w:type="dxa"/>
              <w:left w:w="12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其他资金</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215"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年度总体目标</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预期目标</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实际完成情况　</w:t>
            </w:r>
          </w:p>
        </w:tc>
      </w:tr>
      <w:tr>
        <w:tblPrEx>
          <w:tblCellMar>
            <w:top w:w="0" w:type="dxa"/>
            <w:left w:w="0" w:type="dxa"/>
            <w:bottom w:w="0" w:type="dxa"/>
            <w:right w:w="0" w:type="dxa"/>
          </w:tblCellMar>
        </w:tblPrEx>
        <w:trPr>
          <w:trHeight w:val="7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　永久耕地保有量33.19，耕地恢复2930亩，耕地净增加面积168.86亩</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　永久耕地保有量33.19，耕地恢复2039.8亩，耕地净增加面积168.86亩</w:t>
            </w:r>
          </w:p>
        </w:tc>
      </w:tr>
      <w:tr>
        <w:tblPrEx>
          <w:tblCellMar>
            <w:top w:w="0" w:type="dxa"/>
            <w:left w:w="0" w:type="dxa"/>
            <w:bottom w:w="0" w:type="dxa"/>
            <w:right w:w="0" w:type="dxa"/>
          </w:tblCellMar>
        </w:tblPrEx>
        <w:trPr>
          <w:trHeight w:val="300" w:hRule="atLeast"/>
        </w:trPr>
        <w:tc>
          <w:tcPr>
            <w:tcW w:w="0" w:type="auto"/>
            <w:vMerge w:val="restart"/>
            <w:tcBorders>
              <w:top w:val="single" w:color="auto" w:sz="4" w:space="0"/>
              <w:left w:val="single" w:color="auto" w:sz="4" w:space="0"/>
              <w:bottom w:val="nil"/>
              <w:right w:val="single" w:color="auto" w:sz="4" w:space="0"/>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绩效指标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一级指标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二级指标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三级指标</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年度指标值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实际完成值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分值</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得分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偏差原因分析及改进措施</w:t>
            </w:r>
          </w:p>
        </w:tc>
      </w:tr>
      <w:tr>
        <w:tblPrEx>
          <w:tblCellMar>
            <w:top w:w="0" w:type="dxa"/>
            <w:left w:w="0" w:type="dxa"/>
            <w:bottom w:w="0" w:type="dxa"/>
            <w:right w:w="0" w:type="dxa"/>
          </w:tblCellMar>
        </w:tblPrEx>
        <w:trPr>
          <w:trHeight w:val="27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27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产出指标(60分)</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数量指标</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耕地净增加面积</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168.86亩</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168.86亩</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永久基本农田保有量</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33.19万亩</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33.19万亩</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120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耕地恢复任务</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2930亩</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2039.8亩</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7</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主要属疫情影响，剩余地块在全力推进整改恢复</w:t>
            </w:r>
          </w:p>
        </w:tc>
      </w:tr>
      <w:tr>
        <w:tblPrEx>
          <w:tblCellMar>
            <w:top w:w="0" w:type="dxa"/>
            <w:left w:w="0" w:type="dxa"/>
            <w:bottom w:w="0" w:type="dxa"/>
            <w:right w:w="0" w:type="dxa"/>
          </w:tblCellMar>
        </w:tblPrEx>
        <w:trPr>
          <w:trHeight w:val="72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质量指标</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符合耕地保护及土地整治指标要求</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rPr>
              <w:t>90%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时效指标</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完成目标任务</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6</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主要属疫情影响</w:t>
            </w: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成本指标</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规范且限额内支出</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855万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restart"/>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效益指标（32分）</w:t>
            </w:r>
          </w:p>
        </w:tc>
        <w:tc>
          <w:tcPr>
            <w:tcW w:w="0" w:type="auto"/>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经济效益</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指标</w:t>
            </w:r>
          </w:p>
        </w:tc>
        <w:tc>
          <w:tcPr>
            <w:tcW w:w="0" w:type="auto"/>
            <w:tcBorders>
              <w:top w:val="single" w:color="auto" w:sz="4" w:space="0"/>
              <w:left w:val="single" w:color="auto" w:sz="4" w:space="0"/>
              <w:bottom w:val="single" w:color="auto" w:sz="4" w:space="0"/>
              <w:right w:val="nil"/>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耕地占补平衡</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社会效益</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不断提升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72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生态效益</w:t>
            </w:r>
            <w:r>
              <w:rPr>
                <w:rFonts w:hint="eastAsia" w:ascii="Times New Roman" w:hAnsi="Times New Roman" w:eastAsia="仿宋_GB2312" w:cs="Times New Roman"/>
                <w:color w:val="000000"/>
                <w:kern w:val="0"/>
                <w:sz w:val="21"/>
                <w:szCs w:val="21"/>
              </w:rPr>
              <w:br w:type="textWrapping"/>
            </w:r>
            <w:r>
              <w:rPr>
                <w:rFonts w:hint="eastAsia" w:ascii="Times New Roman" w:hAnsi="Times New Roman" w:eastAsia="仿宋_GB2312" w:cs="Times New Roman"/>
                <w:color w:val="000000"/>
                <w:kern w:val="0"/>
                <w:sz w:val="21"/>
                <w:szCs w:val="21"/>
              </w:rPr>
              <w:t>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进一步减少对耕地的破坏</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可持续影响指标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建立联动考核机制</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480" w:hRule="atLeast"/>
        </w:trPr>
        <w:tc>
          <w:tcPr>
            <w:tcW w:w="0" w:type="auto"/>
            <w:vMerge w:val="continue"/>
            <w:tcBorders>
              <w:top w:val="single" w:color="auto" w:sz="4" w:space="0"/>
              <w:left w:val="single" w:color="auto" w:sz="4" w:space="0"/>
              <w:bottom w:val="nil"/>
              <w:right w:val="single" w:color="auto" w:sz="4" w:space="0"/>
            </w:tcBorders>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满意度    指标</w:t>
            </w:r>
          </w:p>
        </w:tc>
        <w:tc>
          <w:tcPr>
            <w:tcW w:w="0" w:type="auto"/>
            <w:tcBorders>
              <w:top w:val="single" w:color="auto" w:sz="4" w:space="0"/>
              <w:left w:val="single" w:color="auto" w:sz="4" w:space="0"/>
              <w:bottom w:val="nil"/>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服务对象满意度指标</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满意</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300"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总分</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100</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89</w:t>
            </w:r>
          </w:p>
        </w:tc>
        <w:tc>
          <w:tcPr>
            <w:tcW w:w="0" w:type="auto"/>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p>
        </w:tc>
      </w:tr>
      <w:tr>
        <w:tblPrEx>
          <w:tblCellMar>
            <w:top w:w="0" w:type="dxa"/>
            <w:left w:w="0" w:type="dxa"/>
            <w:bottom w:w="0" w:type="dxa"/>
            <w:right w:w="0" w:type="dxa"/>
          </w:tblCellMar>
        </w:tblPrEx>
        <w:trPr>
          <w:trHeight w:val="900" w:hRule="atLeast"/>
        </w:trPr>
        <w:tc>
          <w:tcPr>
            <w:tcW w:w="0" w:type="auto"/>
            <w:gridSpan w:val="9"/>
            <w:tcBorders>
              <w:top w:val="nil"/>
              <w:left w:val="nil"/>
              <w:bottom w:val="nil"/>
              <w:right w:val="nil"/>
            </w:tcBorders>
            <w:shd w:val="clear" w:color="auto" w:fill="auto"/>
            <w:noWrap/>
            <w:tcMar>
              <w:top w:w="15" w:type="dxa"/>
              <w:left w:w="15" w:type="dxa"/>
              <w:bottom w:w="0" w:type="dxa"/>
              <w:right w:w="15" w:type="dxa"/>
            </w:tcMar>
            <w:vAlign w:val="center"/>
          </w:tcPr>
          <w:p>
            <w:pPr>
              <w:widowControl/>
              <w:spacing w:line="26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填表人：</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填报日期：</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联系电话：</w:t>
            </w:r>
            <w:r>
              <w:rPr>
                <w:rFonts w:ascii="Times New Roman" w:hAnsi="Times New Roman" w:eastAsia="仿宋_GB2312" w:cs="Times New Roman"/>
                <w:color w:val="000000"/>
                <w:kern w:val="0"/>
                <w:sz w:val="21"/>
                <w:szCs w:val="21"/>
              </w:rPr>
              <w:t xml:space="preserve">           </w:t>
            </w:r>
            <w:r>
              <w:rPr>
                <w:rFonts w:hint="eastAsia" w:ascii="Times New Roman" w:hAnsi="Times New Roman" w:eastAsia="仿宋_GB2312" w:cs="Times New Roman"/>
                <w:color w:val="000000"/>
                <w:kern w:val="0"/>
                <w:sz w:val="21"/>
                <w:szCs w:val="21"/>
              </w:rPr>
              <w:t>单位负责人签字：</w:t>
            </w:r>
          </w:p>
        </w:tc>
      </w:tr>
    </w:tbl>
    <w:p>
      <w:pPr>
        <w:pStyle w:val="2"/>
      </w:pPr>
    </w:p>
    <w:sectPr>
      <w:footerReference r:id="rId3" w:type="default"/>
      <w:footerReference r:id="rId4" w:type="even"/>
      <w:pgSz w:w="11907" w:h="16840"/>
      <w:pgMar w:top="2041" w:right="1134" w:bottom="1871" w:left="1134" w:header="851" w:footer="1304" w:gutter="0"/>
      <w:cols w:space="0" w:num="1"/>
      <w:rtlGutter w:val="0"/>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335"/>
      <w:rPr>
        <w:rStyle w:val="10"/>
        <w:rFonts w:hint="eastAsia" w:ascii="宋体" w:hAnsi="宋体" w:eastAsia="宋体"/>
        <w:sz w:val="28"/>
      </w:rPr>
    </w:pPr>
    <w:r>
      <w:rPr>
        <w:rStyle w:val="10"/>
        <w:rFonts w:hint="eastAsia"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3</w:t>
    </w:r>
    <w:r>
      <w:rPr>
        <w:rFonts w:ascii="宋体" w:hAnsi="宋体" w:eastAsia="宋体"/>
        <w:sz w:val="28"/>
      </w:rPr>
      <w:fldChar w:fldCharType="end"/>
    </w:r>
    <w:r>
      <w:rPr>
        <w:rStyle w:val="10"/>
        <w:rFonts w:hint="eastAsia" w:ascii="宋体" w:hAnsi="宋体" w:eastAsia="宋体"/>
        <w:sz w:val="28"/>
      </w:rPr>
      <w:t>—</w:t>
    </w:r>
  </w:p>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0"/>
        <w:rFonts w:hint="eastAsia" w:ascii="宋体" w:hAnsi="宋体" w:eastAsia="宋体"/>
        <w:sz w:val="28"/>
      </w:rPr>
    </w:pPr>
    <w:r>
      <w:rPr>
        <w:rStyle w:val="10"/>
        <w:rFonts w:hint="eastAsia" w:ascii="宋体" w:hAnsi="宋体" w:eastAsia="宋体"/>
        <w:sz w:val="28"/>
      </w:rPr>
      <w:t>—</w:t>
    </w:r>
    <w:r>
      <w:rPr>
        <w:rFonts w:ascii="宋体" w:hAnsi="宋体" w:eastAsia="宋体"/>
        <w:sz w:val="28"/>
      </w:rPr>
      <w:fldChar w:fldCharType="begin"/>
    </w:r>
    <w:r>
      <w:rPr>
        <w:rStyle w:val="10"/>
        <w:rFonts w:ascii="宋体" w:hAnsi="宋体" w:eastAsia="宋体"/>
        <w:sz w:val="28"/>
      </w:rPr>
      <w:instrText xml:space="preserve">PAGE  </w:instrText>
    </w:r>
    <w:r>
      <w:rPr>
        <w:rFonts w:ascii="宋体" w:hAnsi="宋体" w:eastAsia="宋体"/>
        <w:sz w:val="28"/>
      </w:rPr>
      <w:fldChar w:fldCharType="separate"/>
    </w:r>
    <w:r>
      <w:rPr>
        <w:rStyle w:val="10"/>
        <w:rFonts w:ascii="宋体" w:hAnsi="宋体" w:eastAsia="宋体"/>
        <w:sz w:val="28"/>
      </w:rPr>
      <w:t>4</w:t>
    </w:r>
    <w:r>
      <w:rPr>
        <w:rFonts w:ascii="宋体" w:hAnsi="宋体" w:eastAsia="宋体"/>
        <w:sz w:val="28"/>
      </w:rPr>
      <w:fldChar w:fldCharType="end"/>
    </w:r>
    <w:r>
      <w:rPr>
        <w:rStyle w:val="10"/>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F2C08"/>
    <w:multiLevelType w:val="singleLevel"/>
    <w:tmpl w:val="BCCF2C08"/>
    <w:lvl w:ilvl="0" w:tentative="0">
      <w:start w:val="4"/>
      <w:numFmt w:val="chineseCounting"/>
      <w:suff w:val="nothing"/>
      <w:lvlText w:val="%1、"/>
      <w:lvlJc w:val="left"/>
      <w:rPr>
        <w:rFonts w:hint="eastAsia"/>
      </w:rPr>
    </w:lvl>
  </w:abstractNum>
  <w:abstractNum w:abstractNumId="1">
    <w:nsid w:val="C5A72206"/>
    <w:multiLevelType w:val="singleLevel"/>
    <w:tmpl w:val="C5A72206"/>
    <w:lvl w:ilvl="0" w:tentative="0">
      <w:start w:val="2"/>
      <w:numFmt w:val="chineseCounting"/>
      <w:suff w:val="nothing"/>
      <w:lvlText w:val="%1、"/>
      <w:lvlJc w:val="left"/>
      <w:rPr>
        <w:rFonts w:hint="eastAsia"/>
      </w:rPr>
    </w:lvl>
  </w:abstractNum>
  <w:abstractNum w:abstractNumId="2">
    <w:nsid w:val="E522F003"/>
    <w:multiLevelType w:val="singleLevel"/>
    <w:tmpl w:val="E522F003"/>
    <w:lvl w:ilvl="0" w:tentative="0">
      <w:start w:val="3"/>
      <w:numFmt w:val="decimal"/>
      <w:suff w:val="nothing"/>
      <w:lvlText w:val="%1、"/>
      <w:lvlJc w:val="left"/>
    </w:lvl>
  </w:abstractNum>
  <w:abstractNum w:abstractNumId="3">
    <w:nsid w:val="42D59416"/>
    <w:multiLevelType w:val="singleLevel"/>
    <w:tmpl w:val="42D59416"/>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OGRhNTgwY2VkN2ZjZGM1NTljODQwMGEyNmVkOTgifQ=="/>
  </w:docVars>
  <w:rsids>
    <w:rsidRoot w:val="0803007E"/>
    <w:rsid w:val="04C80BE4"/>
    <w:rsid w:val="0803007E"/>
    <w:rsid w:val="2CD44745"/>
    <w:rsid w:val="34993154"/>
    <w:rsid w:val="514D33AA"/>
    <w:rsid w:val="696239EF"/>
    <w:rsid w:val="788B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Body Text"/>
    <w:basedOn w:val="1"/>
    <w:qFormat/>
    <w:uiPriority w:val="1"/>
    <w:pPr>
      <w:spacing w:line="520" w:lineRule="exact"/>
      <w:ind w:left="0" w:leftChars="0" w:firstLine="1032" w:firstLineChars="200"/>
    </w:pPr>
    <w:rPr>
      <w:rFonts w:ascii="宋体" w:hAnsi="宋体" w:eastAsia="仿宋" w:cs="宋体"/>
      <w:kern w:val="21"/>
      <w:szCs w:val="28"/>
      <w:lang w:val="zh-CN" w:bidi="zh-CN"/>
    </w:rPr>
  </w:style>
  <w:style w:type="paragraph" w:styleId="4">
    <w:name w:val="Body Text Indent"/>
    <w:basedOn w:val="1"/>
    <w:qFormat/>
    <w:uiPriority w:val="0"/>
    <w:pPr>
      <w:ind w:firstLine="632"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4"/>
    <w:qFormat/>
    <w:uiPriority w:val="0"/>
    <w:pPr>
      <w:spacing w:before="100" w:beforeAutospacing="1" w:after="0"/>
      <w:ind w:left="0" w:firstLine="420" w:firstLineChars="20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1178</Words>
  <Characters>1203</Characters>
  <Lines>0</Lines>
  <Paragraphs>0</Paragraphs>
  <TotalTime>0</TotalTime>
  <ScaleCrop>false</ScaleCrop>
  <LinksUpToDate>false</LinksUpToDate>
  <CharactersWithSpaces>1207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2023-04-18T03:46:00Z</dcterms:created>
  <dc:creator>疯狂的树叶</dc:creator>
  <cp:lastModifiedBy>曹艳</cp:lastModifiedBy>
  <dcterms:modified xsi:type="dcterms:W3CDTF">2023-09-13T09:41:07Z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1A935639B75B4414B49AD064DF592917_13</vt:lpwstr>
  </property>
</Properties>
</file>