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Times New Roman" w:hAnsi="Times New Roman" w:eastAsia="黑体" w:cs="Times New Roman"/>
          <w:sz w:val="32"/>
          <w:szCs w:val="32"/>
          <w:lang w:eastAsia="zh-CN"/>
        </w:rPr>
      </w:pPr>
      <w:bookmarkStart w:id="0" w:name="_GoBack"/>
      <w:bookmarkEnd w:id="0"/>
    </w:p>
    <w:p>
      <w:pPr>
        <w:spacing w:line="560" w:lineRule="exact"/>
        <w:jc w:val="center"/>
        <w:rPr>
          <w:rFonts w:ascii="Times New Roman" w:hAnsi="Times New Roman" w:eastAsia="方正小标宋_GBK" w:cs="Times New Roman"/>
          <w:sz w:val="36"/>
          <w:szCs w:val="36"/>
        </w:rPr>
      </w:pPr>
      <w:r>
        <w:rPr>
          <w:rFonts w:hint="eastAsia" w:ascii="Times New Roman" w:hAnsi="Times New Roman" w:eastAsia="方正小标宋_GBK" w:cs="Times New Roman"/>
          <w:sz w:val="36"/>
          <w:szCs w:val="36"/>
          <w:lang w:val="en-US" w:eastAsia="zh-CN"/>
        </w:rPr>
        <w:t>2022年度</w:t>
      </w:r>
      <w:r>
        <w:rPr>
          <w:rFonts w:hint="eastAsia" w:ascii="Times New Roman" w:hAnsi="Times New Roman" w:eastAsia="方正小标宋_GBK" w:cs="Times New Roman"/>
          <w:sz w:val="36"/>
          <w:szCs w:val="36"/>
        </w:rPr>
        <w:t>市级土地综合整治（灾毁）项目及耕地保护监管工作资金</w:t>
      </w:r>
      <w:r>
        <w:rPr>
          <w:rFonts w:ascii="Times New Roman" w:hAnsi="Times New Roman" w:eastAsia="方正小标宋_GBK" w:cs="Times New Roman"/>
          <w:sz w:val="36"/>
          <w:szCs w:val="36"/>
        </w:rPr>
        <w:t>绩效</w:t>
      </w:r>
      <w:r>
        <w:rPr>
          <w:rFonts w:hint="eastAsia" w:ascii="Times New Roman" w:hAnsi="Times New Roman" w:eastAsia="方正小标宋_GBK" w:cs="Times New Roman"/>
          <w:sz w:val="36"/>
          <w:szCs w:val="36"/>
          <w:lang w:eastAsia="zh-CN"/>
        </w:rPr>
        <w:t>自评</w:t>
      </w:r>
      <w:r>
        <w:rPr>
          <w:rFonts w:ascii="Times New Roman" w:hAnsi="Times New Roman" w:eastAsia="方正小标宋_GBK" w:cs="Times New Roman"/>
          <w:sz w:val="36"/>
          <w:szCs w:val="36"/>
        </w:rPr>
        <w:t>报告</w:t>
      </w:r>
    </w:p>
    <w:p>
      <w:pPr>
        <w:adjustRightInd w:val="0"/>
        <w:spacing w:line="600" w:lineRule="exact"/>
        <w:ind w:right="641"/>
        <w:rPr>
          <w:rFonts w:ascii="Times New Roman" w:hAnsi="Times New Roman" w:eastAsia="仿宋_GB2312" w:cs="Times New Roman"/>
          <w:sz w:val="32"/>
          <w:szCs w:val="32"/>
        </w:rPr>
      </w:pPr>
    </w:p>
    <w:p>
      <w:pPr>
        <w:adjustRightInd w:val="0"/>
        <w:snapToGrid w:val="0"/>
        <w:spacing w:line="600" w:lineRule="exact"/>
        <w:ind w:firstLine="632" w:firstLineChars="200"/>
        <w:rPr>
          <w:rFonts w:ascii="Times New Roman" w:hAnsi="Times New Roman" w:eastAsia="黑体" w:cs="Times New Roman"/>
          <w:sz w:val="32"/>
          <w:szCs w:val="32"/>
        </w:rPr>
      </w:pPr>
      <w:r>
        <w:rPr>
          <w:rFonts w:ascii="Times New Roman" w:hAnsi="Times New Roman" w:eastAsia="黑体" w:cs="Times New Roman"/>
          <w:sz w:val="32"/>
          <w:szCs w:val="32"/>
        </w:rPr>
        <w:t>一、项目概况</w:t>
      </w:r>
    </w:p>
    <w:p>
      <w:pPr>
        <w:adjustRightInd w:val="0"/>
        <w:snapToGrid w:val="0"/>
        <w:spacing w:line="600" w:lineRule="exact"/>
        <w:ind w:firstLine="632" w:firstLineChars="200"/>
        <w:rPr>
          <w:rFonts w:hint="eastAsia" w:ascii="Times New Roman" w:hAnsi="Times New Roman" w:eastAsia="仿宋_GB2312" w:cs="Times New Roman"/>
          <w:sz w:val="32"/>
          <w:szCs w:val="32"/>
          <w:lang w:eastAsia="zh-CN"/>
        </w:rPr>
      </w:pPr>
      <w:r>
        <w:rPr>
          <w:rFonts w:hint="eastAsia" w:ascii="Times New Roman" w:hAnsi="Times New Roman" w:cs="Times New Roman"/>
          <w:sz w:val="32"/>
          <w:szCs w:val="32"/>
          <w:lang w:val="en-US" w:eastAsia="zh-CN"/>
        </w:rPr>
        <w:t>根据《益阳市财政局 益阳市自然资源和规划局关于下达2021市级土地综合整治（灾毁）项目及耕地保护监管工作资金的通知》（益财资环指【2021】47号）文件，项目下达资金855万元，用于改善农业生产条件，耕地灾毁复垦。</w:t>
      </w:r>
      <w:r>
        <w:rPr>
          <w:rFonts w:hint="eastAsia" w:ascii="Times New Roman" w:hAnsi="Times New Roman" w:eastAsia="仿宋_GB2312" w:cs="Times New Roman"/>
          <w:sz w:val="32"/>
          <w:szCs w:val="32"/>
        </w:rPr>
        <w:t>划定基本农田保护区严格控制了对耕地的占用，切实保护了耕地，对实现耕地总量动态平衡起到了重要作用；加强土地整治，提高农业综合生产能力；补充耕地实行第三方检测确保工程质量，强化耕地保护</w:t>
      </w:r>
      <w:r>
        <w:rPr>
          <w:rFonts w:hint="eastAsia" w:ascii="Times New Roman" w:hAnsi="Times New Roman" w:cs="Times New Roman"/>
          <w:sz w:val="32"/>
          <w:szCs w:val="32"/>
          <w:lang w:eastAsia="zh-CN"/>
        </w:rPr>
        <w:t>。</w:t>
      </w:r>
      <w:r>
        <w:rPr>
          <w:rFonts w:hint="eastAsia" w:ascii="Times New Roman" w:hAnsi="Times New Roman" w:eastAsia="仿宋_GB2312" w:cs="Times New Roman"/>
          <w:sz w:val="32"/>
          <w:szCs w:val="32"/>
        </w:rPr>
        <w:t>具体工作内容：永久基本农田保护标志牌维护更新，土地整治项目验收复测，征地补偿标准调整，新增耕地上图入库，建设用耕地剥离耕作层表土再利用试点，基本农田保护及动态巡查。</w:t>
      </w:r>
    </w:p>
    <w:p>
      <w:pPr>
        <w:numPr>
          <w:ilvl w:val="0"/>
          <w:numId w:val="1"/>
        </w:numPr>
        <w:adjustRightInd w:val="0"/>
        <w:snapToGrid w:val="0"/>
        <w:spacing w:line="600" w:lineRule="exact"/>
        <w:ind w:firstLine="632" w:firstLineChars="200"/>
        <w:rPr>
          <w:rFonts w:hint="eastAsia" w:ascii="Times New Roman" w:hAnsi="Times New Roman" w:eastAsia="黑体" w:cs="Times New Roman"/>
          <w:sz w:val="32"/>
          <w:szCs w:val="32"/>
          <w:lang w:eastAsia="zh-CN"/>
        </w:rPr>
      </w:pPr>
      <w:r>
        <w:rPr>
          <w:rFonts w:hint="eastAsia" w:ascii="Times New Roman" w:hAnsi="Times New Roman" w:eastAsia="黑体" w:cs="Times New Roman"/>
          <w:sz w:val="32"/>
          <w:szCs w:val="32"/>
          <w:lang w:eastAsia="zh-CN"/>
        </w:rPr>
        <w:t>绩效自评工作开展情况</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ind w:left="0" w:right="0" w:firstLine="42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黑体" w:cs="Times New Roman"/>
          <w:sz w:val="32"/>
          <w:szCs w:val="32"/>
          <w:lang w:val="en-US" w:eastAsia="zh-CN"/>
        </w:rPr>
        <w:t xml:space="preserve">  </w:t>
      </w:r>
      <w:r>
        <w:rPr>
          <w:rFonts w:hint="eastAsia" w:ascii="Times New Roman" w:hAnsi="Times New Roman" w:eastAsia="仿宋_GB2312" w:cs="Times New Roman"/>
          <w:kern w:val="2"/>
          <w:sz w:val="32"/>
          <w:szCs w:val="32"/>
          <w:lang w:val="en-US" w:eastAsia="zh-CN" w:bidi="ar-SA"/>
        </w:rPr>
        <w:t xml:space="preserve"> （一）绩效评价目的、对象和范围</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ind w:left="0" w:right="0" w:firstLine="42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本次绩效评价是针对202</w:t>
      </w:r>
      <w:r>
        <w:rPr>
          <w:rFonts w:hint="eastAsia" w:ascii="Times New Roman" w:hAnsi="Times New Roman" w:cs="Times New Roman"/>
          <w:kern w:val="2"/>
          <w:sz w:val="32"/>
          <w:szCs w:val="32"/>
          <w:lang w:val="en-US" w:eastAsia="zh-CN" w:bidi="ar-SA"/>
        </w:rPr>
        <w:t>1</w:t>
      </w:r>
      <w:r>
        <w:rPr>
          <w:rFonts w:hint="eastAsia" w:ascii="Times New Roman" w:hAnsi="Times New Roman" w:eastAsia="仿宋_GB2312" w:cs="Times New Roman"/>
          <w:kern w:val="2"/>
          <w:sz w:val="32"/>
          <w:szCs w:val="32"/>
          <w:lang w:val="en-US" w:eastAsia="zh-CN" w:bidi="ar-SA"/>
        </w:rPr>
        <w:t>年耕地保护及土地整治工作进行，通过此次评价工作，客观反映出项目资金利用情况以和项目执行情况等。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ind w:left="0" w:right="0" w:firstLine="42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（二）绩效评价原则、评价指标体系、评价方法、评价标准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ind w:left="0" w:right="0" w:firstLine="42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依照项目初期制定的绩效目标申报表中的相关内容，按一定的评价程序，运用科学的评价方法、按照产出、效益、满意度等一级指标及层层分解的二、三级指标和年度指标值等评价的内容和标准对评价对象的项目资金执行率、产出情况、效益情况和满意度情况等进行客观公正地考核和评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ind w:left="0" w:right="0" w:firstLine="42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（三）绩效评价工作过程。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ind w:left="0" w:right="0" w:firstLine="420"/>
        <w:jc w:val="both"/>
        <w:rPr>
          <w:rFonts w:hint="default" w:ascii="Times New Roman" w:hAnsi="Times New Roman" w:eastAsia="黑体" w:cs="Times New Roman"/>
          <w:sz w:val="32"/>
          <w:szCs w:val="32"/>
          <w:lang w:val="en-US" w:eastAsia="zh-CN"/>
        </w:rPr>
      </w:pPr>
      <w:r>
        <w:rPr>
          <w:rFonts w:hint="eastAsia" w:ascii="Times New Roman" w:hAnsi="Times New Roman" w:eastAsia="仿宋_GB2312" w:cs="Times New Roman"/>
          <w:kern w:val="2"/>
          <w:sz w:val="32"/>
          <w:szCs w:val="32"/>
          <w:lang w:val="en-US" w:eastAsia="zh-CN" w:bidi="ar-SA"/>
        </w:rPr>
        <w:t>依据项目初期设定的考核指标对照项目实际完成情况进行衡量打分，从而获得本项目的实际分数。</w:t>
      </w:r>
    </w:p>
    <w:p>
      <w:pPr>
        <w:adjustRightInd w:val="0"/>
        <w:snapToGrid w:val="0"/>
        <w:spacing w:line="600" w:lineRule="exact"/>
        <w:ind w:firstLine="632" w:firstLineChars="200"/>
        <w:rPr>
          <w:rFonts w:hint="eastAsia" w:ascii="Times New Roman" w:hAnsi="Times New Roman" w:eastAsia="黑体" w:cs="Times New Roman"/>
          <w:sz w:val="32"/>
          <w:szCs w:val="32"/>
          <w:lang w:eastAsia="zh-CN"/>
        </w:rPr>
      </w:pPr>
      <w:r>
        <w:rPr>
          <w:rFonts w:ascii="Times New Roman" w:hAnsi="Times New Roman" w:eastAsia="黑体" w:cs="Times New Roman"/>
          <w:sz w:val="32"/>
          <w:szCs w:val="32"/>
        </w:rPr>
        <w:t>三、</w:t>
      </w:r>
      <w:r>
        <w:rPr>
          <w:rFonts w:hint="eastAsia" w:ascii="Times New Roman" w:hAnsi="Times New Roman" w:eastAsia="黑体" w:cs="Times New Roman"/>
          <w:sz w:val="32"/>
          <w:szCs w:val="32"/>
          <w:lang w:eastAsia="zh-CN"/>
        </w:rPr>
        <w:t>综合评价结论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ind w:left="0" w:right="0" w:firstLine="420"/>
        <w:jc w:val="both"/>
        <w:rPr>
          <w:rFonts w:hint="eastAsia" w:ascii="仿宋_GB2312" w:hAnsi="仿宋"/>
          <w:szCs w:val="32"/>
          <w:lang w:eastAsia="zh-CN"/>
        </w:rPr>
      </w:pPr>
      <w:r>
        <w:rPr>
          <w:rFonts w:hint="eastAsia" w:ascii="仿宋_GB2312" w:hAnsi="仿宋" w:eastAsia="仿宋_GB2312" w:cs="Times New Roman"/>
          <w:kern w:val="2"/>
          <w:sz w:val="32"/>
          <w:szCs w:val="32"/>
          <w:lang w:val="en-US" w:eastAsia="zh-CN" w:bidi="ar-SA"/>
        </w:rPr>
        <w:t>按年初设立的项目申报表的相关内容进行绩效评价，</w:t>
      </w:r>
      <w:r>
        <w:rPr>
          <w:rFonts w:hint="eastAsia" w:ascii="仿宋_GB2312" w:hAnsi="仿宋" w:cs="Times New Roman"/>
          <w:kern w:val="2"/>
          <w:sz w:val="32"/>
          <w:szCs w:val="32"/>
          <w:lang w:val="en-US" w:eastAsia="zh-CN" w:bidi="ar-SA"/>
        </w:rPr>
        <w:t>评价等级为良好，评价分数为89分</w:t>
      </w:r>
      <w:r>
        <w:rPr>
          <w:rFonts w:hint="eastAsia" w:ascii="仿宋_GB2312" w:hAnsi="仿宋" w:eastAsia="仿宋_GB2312" w:cs="Times New Roman"/>
          <w:kern w:val="2"/>
          <w:sz w:val="32"/>
          <w:szCs w:val="32"/>
          <w:lang w:val="en-US" w:eastAsia="zh-CN" w:bidi="ar-SA"/>
        </w:rPr>
        <w:t>。</w:t>
      </w:r>
    </w:p>
    <w:p>
      <w:pPr>
        <w:numPr>
          <w:ilvl w:val="0"/>
          <w:numId w:val="2"/>
        </w:numPr>
        <w:adjustRightInd w:val="0"/>
        <w:snapToGrid w:val="0"/>
        <w:spacing w:line="600" w:lineRule="exact"/>
        <w:ind w:firstLine="632" w:firstLineChars="200"/>
        <w:rPr>
          <w:rFonts w:hint="eastAsia" w:ascii="Times New Roman" w:hAnsi="Times New Roman" w:eastAsia="黑体" w:cs="Times New Roman"/>
          <w:sz w:val="32"/>
          <w:szCs w:val="32"/>
          <w:lang w:eastAsia="zh-CN"/>
        </w:rPr>
      </w:pPr>
      <w:r>
        <w:rPr>
          <w:rFonts w:hint="eastAsia" w:ascii="Times New Roman" w:hAnsi="Times New Roman" w:eastAsia="黑体" w:cs="Times New Roman"/>
          <w:sz w:val="32"/>
          <w:szCs w:val="32"/>
          <w:lang w:eastAsia="zh-CN"/>
        </w:rPr>
        <w:t>绩效目标实现情况分析</w:t>
      </w:r>
    </w:p>
    <w:p>
      <w:pPr>
        <w:widowControl/>
        <w:spacing w:line="600" w:lineRule="exact"/>
        <w:ind w:firstLine="632" w:firstLineChars="200"/>
        <w:jc w:val="both"/>
        <w:rPr>
          <w:rFonts w:hint="eastAsia" w:ascii="楷体_GB2312" w:hAnsi="Times New Roman" w:eastAsia="楷体_GB2312" w:cs="Times New Roman"/>
          <w:b/>
          <w:kern w:val="2"/>
          <w:sz w:val="32"/>
          <w:szCs w:val="32"/>
          <w:lang w:val="en-US" w:eastAsia="zh-CN" w:bidi="ar-SA"/>
        </w:rPr>
      </w:pPr>
      <w:r>
        <w:rPr>
          <w:rFonts w:hint="eastAsia" w:ascii="楷体_GB2312" w:hAnsi="Times New Roman" w:eastAsia="楷体_GB2312" w:cs="Times New Roman"/>
          <w:b/>
          <w:kern w:val="2"/>
          <w:sz w:val="32"/>
          <w:szCs w:val="32"/>
          <w:lang w:val="en-US" w:eastAsia="zh-CN" w:bidi="ar-SA"/>
        </w:rPr>
        <w:t>（一）项目资金使用及管理情况</w:t>
      </w:r>
    </w:p>
    <w:p>
      <w:pPr>
        <w:adjustRightInd w:val="0"/>
        <w:snapToGrid w:val="0"/>
        <w:spacing w:line="600" w:lineRule="exact"/>
        <w:ind w:firstLine="592" w:firstLineChars="200"/>
        <w:rPr>
          <w:rFonts w:hint="eastAsia" w:ascii="仿宋" w:hAnsi="仿宋" w:eastAsia="仿宋" w:cs="仿宋"/>
          <w:sz w:val="30"/>
          <w:szCs w:val="30"/>
        </w:rPr>
      </w:pPr>
      <w:r>
        <w:rPr>
          <w:rFonts w:hint="eastAsia" w:ascii="仿宋" w:hAnsi="仿宋" w:eastAsia="仿宋" w:cs="仿宋"/>
          <w:sz w:val="30"/>
          <w:szCs w:val="30"/>
          <w:lang w:val="en-US" w:eastAsia="zh-CN"/>
        </w:rPr>
        <w:t>1、</w:t>
      </w:r>
      <w:r>
        <w:rPr>
          <w:rFonts w:hint="eastAsia" w:ascii="仿宋" w:hAnsi="仿宋" w:eastAsia="仿宋" w:cs="仿宋"/>
          <w:sz w:val="30"/>
          <w:szCs w:val="30"/>
        </w:rPr>
        <w:t>项目资金安排落实、总投入等情况分析。</w:t>
      </w:r>
    </w:p>
    <w:p>
      <w:pPr>
        <w:adjustRightInd w:val="0"/>
        <w:snapToGrid w:val="0"/>
        <w:spacing w:line="600" w:lineRule="exact"/>
        <w:ind w:firstLine="592" w:firstLineChars="200"/>
        <w:rPr>
          <w:rFonts w:hint="default" w:eastAsia="仿宋_GB2312"/>
          <w:lang w:val="en-US" w:eastAsia="zh-CN"/>
        </w:rPr>
      </w:pPr>
      <w:r>
        <w:rPr>
          <w:rFonts w:hint="eastAsia" w:ascii="仿宋" w:hAnsi="仿宋" w:eastAsia="仿宋" w:cs="仿宋"/>
          <w:sz w:val="30"/>
          <w:szCs w:val="30"/>
          <w:lang w:val="en-US" w:eastAsia="zh-CN"/>
        </w:rPr>
        <w:t>项目完成投资855.00万元，实际支付金额855.00万元，项目结余资金0.00万元。</w:t>
      </w:r>
    </w:p>
    <w:p>
      <w:pPr>
        <w:adjustRightInd w:val="0"/>
        <w:snapToGrid w:val="0"/>
        <w:spacing w:line="600" w:lineRule="exact"/>
        <w:ind w:firstLine="632" w:firstLineChars="200"/>
        <w:rPr>
          <w:rFonts w:ascii="Times New Roman" w:hAnsi="Times New Roman" w:eastAsia="仿宋_GB2312" w:cs="Times New Roman"/>
          <w:sz w:val="32"/>
          <w:szCs w:val="32"/>
        </w:rPr>
      </w:pPr>
      <w:r>
        <w:rPr>
          <w:rFonts w:hint="eastAsia" w:ascii="Times New Roman" w:hAnsi="Times New Roman" w:cs="Times New Roman"/>
          <w:sz w:val="32"/>
          <w:szCs w:val="32"/>
          <w:lang w:val="en-US" w:eastAsia="zh-CN"/>
        </w:rPr>
        <w:t>2、</w:t>
      </w:r>
      <w:r>
        <w:rPr>
          <w:rFonts w:ascii="Times New Roman" w:hAnsi="Times New Roman" w:eastAsia="仿宋_GB2312" w:cs="Times New Roman"/>
          <w:sz w:val="32"/>
          <w:szCs w:val="32"/>
        </w:rPr>
        <w:t>项目资金实际使用情况分析。</w:t>
      </w:r>
    </w:p>
    <w:p>
      <w:pPr>
        <w:adjustRightInd w:val="0"/>
        <w:snapToGrid w:val="0"/>
        <w:spacing w:line="600" w:lineRule="exact"/>
        <w:ind w:firstLine="592" w:firstLineChars="200"/>
        <w:rPr>
          <w:rFonts w:hint="eastAsia" w:ascii="Times New Roman" w:hAnsi="Times New Roman" w:eastAsia="仿宋" w:cs="Times New Roman"/>
          <w:sz w:val="32"/>
          <w:szCs w:val="32"/>
          <w:lang w:val="en-US" w:eastAsia="zh-CN"/>
        </w:rPr>
      </w:pPr>
      <w:r>
        <w:rPr>
          <w:rFonts w:hint="eastAsia" w:ascii="仿宋" w:hAnsi="仿宋" w:eastAsia="仿宋" w:cs="仿宋"/>
          <w:sz w:val="30"/>
          <w:szCs w:val="30"/>
          <w:lang w:eastAsia="zh-CN"/>
        </w:rPr>
        <w:t>区自然资源局</w:t>
      </w:r>
      <w:r>
        <w:rPr>
          <w:rFonts w:hint="eastAsia" w:ascii="仿宋" w:hAnsi="仿宋" w:eastAsia="仿宋" w:cs="仿宋"/>
          <w:sz w:val="30"/>
          <w:szCs w:val="30"/>
        </w:rPr>
        <w:t>高度重视</w:t>
      </w:r>
      <w:r>
        <w:rPr>
          <w:rFonts w:hint="eastAsia" w:ascii="仿宋" w:hAnsi="仿宋" w:eastAsia="仿宋" w:cs="仿宋"/>
          <w:color w:val="auto"/>
          <w:sz w:val="30"/>
          <w:szCs w:val="30"/>
          <w:lang w:val="en-US" w:eastAsia="zh-CN"/>
        </w:rPr>
        <w:t>市级土地综合整治（灾毁）项目及耕地保护监管工作资金项目</w:t>
      </w:r>
      <w:r>
        <w:rPr>
          <w:rFonts w:hint="eastAsia" w:ascii="仿宋" w:hAnsi="仿宋" w:eastAsia="仿宋" w:cs="仿宋"/>
          <w:color w:val="auto"/>
          <w:sz w:val="30"/>
          <w:szCs w:val="30"/>
        </w:rPr>
        <w:t>管理</w:t>
      </w:r>
      <w:r>
        <w:rPr>
          <w:rFonts w:hint="eastAsia" w:ascii="仿宋" w:hAnsi="仿宋" w:eastAsia="仿宋" w:cs="仿宋"/>
          <w:sz w:val="30"/>
          <w:szCs w:val="30"/>
        </w:rPr>
        <w:t>工作，严格按照“专账核算、</w:t>
      </w:r>
      <w:r>
        <w:rPr>
          <w:rFonts w:hint="eastAsia" w:ascii="仿宋" w:hAnsi="仿宋" w:eastAsia="仿宋" w:cs="仿宋"/>
          <w:sz w:val="30"/>
          <w:szCs w:val="30"/>
          <w:lang w:val="en-US" w:eastAsia="zh-CN"/>
        </w:rPr>
        <w:t>专款专</w:t>
      </w:r>
      <w:r>
        <w:rPr>
          <w:rFonts w:hint="eastAsia" w:ascii="仿宋" w:hAnsi="仿宋" w:eastAsia="仿宋" w:cs="仿宋"/>
          <w:sz w:val="30"/>
          <w:szCs w:val="30"/>
        </w:rPr>
        <w:t>用”的财务制度进行管理，明确专职会计人员核算项目资金，确保项目资金使用规范。</w:t>
      </w:r>
    </w:p>
    <w:p>
      <w:pPr>
        <w:numPr>
          <w:ilvl w:val="0"/>
          <w:numId w:val="3"/>
        </w:numPr>
        <w:adjustRightInd w:val="0"/>
        <w:snapToGrid w:val="0"/>
        <w:spacing w:line="600" w:lineRule="exact"/>
        <w:ind w:firstLine="632"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项目资金管理情况分析，主要包括管理制度、办法的制订及执行情况。</w:t>
      </w:r>
    </w:p>
    <w:p>
      <w:pPr>
        <w:pStyle w:val="3"/>
        <w:keepNext w:val="0"/>
        <w:keepLines w:val="0"/>
        <w:pageBreakBefore w:val="0"/>
        <w:widowControl w:val="0"/>
        <w:kinsoku/>
        <w:wordWrap/>
        <w:topLinePunct w:val="0"/>
        <w:bidi w:val="0"/>
        <w:adjustRightInd/>
        <w:snapToGrid/>
        <w:spacing w:line="540" w:lineRule="exact"/>
        <w:ind w:firstLine="592" w:firstLineChars="200"/>
        <w:textAlignment w:val="auto"/>
        <w:rPr>
          <w:rFonts w:hint="default" w:ascii="Times New Roman" w:hAnsi="Times New Roman" w:eastAsia="仿宋_GB2312" w:cs="Times New Roman"/>
          <w:kern w:val="2"/>
          <w:sz w:val="32"/>
          <w:szCs w:val="32"/>
          <w:lang w:val="en-US" w:eastAsia="zh-CN" w:bidi="ar-SA"/>
        </w:rPr>
      </w:pPr>
      <w:r>
        <w:rPr>
          <w:rFonts w:hint="eastAsia" w:ascii="仿宋" w:hAnsi="仿宋" w:eastAsia="仿宋" w:cs="仿宋"/>
          <w:sz w:val="30"/>
          <w:szCs w:val="30"/>
        </w:rPr>
        <w:t>为加强</w:t>
      </w:r>
      <w:r>
        <w:rPr>
          <w:rFonts w:hint="eastAsia" w:ascii="仿宋" w:hAnsi="仿宋" w:eastAsia="仿宋" w:cs="仿宋"/>
          <w:sz w:val="30"/>
          <w:szCs w:val="30"/>
          <w:lang w:val="en-US" w:eastAsia="zh-CN"/>
        </w:rPr>
        <w:t>项目</w:t>
      </w:r>
      <w:r>
        <w:rPr>
          <w:rFonts w:hint="eastAsia" w:ascii="仿宋" w:hAnsi="仿宋" w:eastAsia="仿宋" w:cs="仿宋"/>
          <w:sz w:val="30"/>
          <w:szCs w:val="30"/>
        </w:rPr>
        <w:t>资金的管理，</w:t>
      </w:r>
      <w:r>
        <w:rPr>
          <w:rFonts w:hint="eastAsia" w:ascii="仿宋" w:hAnsi="仿宋" w:eastAsia="仿宋" w:cs="仿宋"/>
          <w:sz w:val="30"/>
          <w:szCs w:val="30"/>
          <w:lang w:val="en-US" w:eastAsia="zh-CN"/>
        </w:rPr>
        <w:t>明确了资金管理要求，项目资金的支付均由</w:t>
      </w:r>
      <w:r>
        <w:rPr>
          <w:rFonts w:hint="eastAsia" w:ascii="Times New Roman" w:hAnsi="Times New Roman" w:eastAsia="仿宋_GB2312" w:cs="Times New Roman"/>
          <w:kern w:val="2"/>
          <w:sz w:val="32"/>
          <w:szCs w:val="32"/>
          <w:lang w:val="en-US" w:eastAsia="zh-CN" w:bidi="ar-SA"/>
        </w:rPr>
        <w:t>财政直接支付给服务单位，且做到了专帐管理、专款专用。财务上由局财务股负责管理，财务执行情况良好，项目资金管理到位。</w:t>
      </w:r>
    </w:p>
    <w:p>
      <w:pPr>
        <w:keepNext w:val="0"/>
        <w:keepLines w:val="0"/>
        <w:pageBreakBefore w:val="0"/>
        <w:widowControl/>
        <w:numPr>
          <w:ilvl w:val="0"/>
          <w:numId w:val="4"/>
        </w:numPr>
        <w:kinsoku/>
        <w:wordWrap/>
        <w:overflowPunct/>
        <w:topLinePunct w:val="0"/>
        <w:autoSpaceDE/>
        <w:autoSpaceDN/>
        <w:bidi w:val="0"/>
        <w:adjustRightInd/>
        <w:spacing w:line="600" w:lineRule="exact"/>
        <w:ind w:firstLine="632" w:firstLineChars="200"/>
        <w:jc w:val="both"/>
        <w:textAlignment w:val="auto"/>
        <w:rPr>
          <w:rFonts w:hint="eastAsia"/>
          <w:lang w:val="en-US" w:eastAsia="zh-CN"/>
        </w:rPr>
      </w:pPr>
      <w:r>
        <w:rPr>
          <w:rFonts w:hint="eastAsia" w:ascii="Times New Roman" w:hAnsi="Times New Roman" w:eastAsia="仿宋_GB2312" w:cs="Times New Roman"/>
          <w:kern w:val="2"/>
          <w:sz w:val="32"/>
          <w:szCs w:val="32"/>
          <w:lang w:val="en-US" w:eastAsia="zh-CN" w:bidi="ar-SA"/>
        </w:rPr>
        <w:t>总体绩效目标完成情况分析</w:t>
      </w:r>
    </w:p>
    <w:p>
      <w:pPr>
        <w:pStyle w:val="2"/>
        <w:keepNext w:val="0"/>
        <w:keepLines w:val="0"/>
        <w:pageBreakBefore w:val="0"/>
        <w:numPr>
          <w:ilvl w:val="0"/>
          <w:numId w:val="0"/>
        </w:numPr>
        <w:kinsoku/>
        <w:wordWrap/>
        <w:overflowPunct/>
        <w:topLinePunct w:val="0"/>
        <w:autoSpaceDE/>
        <w:autoSpaceDN/>
        <w:bidi w:val="0"/>
        <w:adjustRightInd/>
        <w:spacing w:line="600" w:lineRule="exact"/>
        <w:textAlignment w:val="auto"/>
        <w:rPr>
          <w:rFonts w:hint="default"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 xml:space="preserve">   </w:t>
      </w:r>
      <w:r>
        <w:rPr>
          <w:rFonts w:hint="eastAsia" w:ascii="Times New Roman" w:hAnsi="Times New Roman" w:cs="Times New Roman"/>
          <w:kern w:val="2"/>
          <w:sz w:val="32"/>
          <w:szCs w:val="32"/>
          <w:lang w:val="en-US" w:eastAsia="zh-CN" w:bidi="ar-SA"/>
        </w:rPr>
        <w:t>该</w:t>
      </w:r>
      <w:r>
        <w:rPr>
          <w:rFonts w:hint="eastAsia" w:ascii="Times New Roman" w:hAnsi="Times New Roman" w:eastAsia="仿宋_GB2312" w:cs="Times New Roman"/>
          <w:kern w:val="2"/>
          <w:sz w:val="32"/>
          <w:szCs w:val="32"/>
          <w:lang w:val="en-US" w:eastAsia="zh-CN" w:bidi="ar-SA"/>
        </w:rPr>
        <w:t>项目目标清晰，项目决策有理有据，项目资金到位及时、分配合理，相关项目管理制度健全，并严格按照规定内容组织实施，各个项目保质保量的推进，达到项目预期效果。</w:t>
      </w:r>
    </w:p>
    <w:p>
      <w:pPr>
        <w:widowControl/>
        <w:spacing w:line="600" w:lineRule="exact"/>
        <w:ind w:firstLine="632" w:firstLineChars="200"/>
        <w:jc w:val="both"/>
        <w:rPr>
          <w:rFonts w:hint="default"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（三）绩效指标完成情况分析</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ind w:left="0" w:right="0" w:firstLine="420"/>
        <w:jc w:val="both"/>
        <w:rPr>
          <w:rFonts w:hint="eastAsia" w:ascii="仿宋" w:hAnsi="仿宋" w:eastAsia="仿宋" w:cs="仿宋"/>
          <w:kern w:val="21"/>
          <w:sz w:val="30"/>
          <w:szCs w:val="30"/>
          <w:lang w:val="zh-CN" w:eastAsia="zh-CN" w:bidi="zh-CN"/>
        </w:rPr>
      </w:pPr>
      <w:r>
        <w:rPr>
          <w:rFonts w:hint="eastAsia" w:ascii="仿宋" w:hAnsi="仿宋" w:eastAsia="仿宋" w:cs="仿宋"/>
          <w:kern w:val="21"/>
          <w:sz w:val="30"/>
          <w:szCs w:val="30"/>
          <w:lang w:val="en-US" w:eastAsia="zh-CN" w:bidi="zh-CN"/>
        </w:rPr>
        <w:t>1</w:t>
      </w:r>
      <w:r>
        <w:rPr>
          <w:rFonts w:hint="eastAsia" w:ascii="仿宋" w:hAnsi="仿宋" w:eastAsia="仿宋" w:cs="仿宋"/>
          <w:kern w:val="21"/>
          <w:sz w:val="30"/>
          <w:szCs w:val="30"/>
          <w:lang w:val="zh-CN" w:eastAsia="zh-CN" w:bidi="zh-CN"/>
        </w:rPr>
        <w:t>.产出指标完成情况分析</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ind w:left="0" w:right="0" w:firstLine="420"/>
        <w:jc w:val="both"/>
        <w:rPr>
          <w:rFonts w:hint="eastAsia" w:ascii="仿宋" w:hAnsi="仿宋" w:eastAsia="仿宋" w:cs="仿宋"/>
          <w:kern w:val="21"/>
          <w:sz w:val="30"/>
          <w:szCs w:val="30"/>
          <w:lang w:val="zh-CN" w:eastAsia="zh-CN" w:bidi="zh-CN"/>
        </w:rPr>
      </w:pPr>
      <w:r>
        <w:rPr>
          <w:rFonts w:hint="eastAsia" w:ascii="仿宋" w:hAnsi="仿宋" w:eastAsia="仿宋" w:cs="仿宋"/>
          <w:kern w:val="21"/>
          <w:sz w:val="30"/>
          <w:szCs w:val="30"/>
          <w:lang w:val="zh-CN" w:eastAsia="zh-CN" w:bidi="zh-CN"/>
        </w:rPr>
        <w:t>（1）数量指标</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ind w:left="0" w:right="0" w:firstLine="420"/>
        <w:jc w:val="both"/>
        <w:rPr>
          <w:rFonts w:hint="eastAsia" w:ascii="仿宋" w:hAnsi="仿宋" w:eastAsia="仿宋" w:cs="仿宋"/>
          <w:kern w:val="21"/>
          <w:sz w:val="30"/>
          <w:szCs w:val="30"/>
          <w:lang w:val="zh-CN" w:eastAsia="zh-CN" w:bidi="zh-CN"/>
        </w:rPr>
      </w:pPr>
      <w:r>
        <w:rPr>
          <w:rFonts w:hint="eastAsia" w:ascii="仿宋" w:hAnsi="仿宋" w:eastAsia="仿宋" w:cs="仿宋"/>
          <w:kern w:val="21"/>
          <w:sz w:val="30"/>
          <w:szCs w:val="30"/>
          <w:lang w:val="zh-CN" w:eastAsia="zh-CN" w:bidi="zh-CN"/>
        </w:rPr>
        <w:t>年初设定指标：永久耕地保有量33.19，耕地恢复2930亩，耕地净增加面积168.86亩。完成情况：永久耕地保有量33.19，耕地恢复2039.8亩，耕地净增加面积168.86亩。</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ind w:left="0" w:right="0" w:firstLine="420"/>
        <w:jc w:val="both"/>
        <w:rPr>
          <w:rFonts w:hint="eastAsia" w:ascii="仿宋" w:hAnsi="仿宋" w:eastAsia="仿宋" w:cs="仿宋"/>
          <w:kern w:val="21"/>
          <w:sz w:val="30"/>
          <w:szCs w:val="30"/>
          <w:lang w:val="zh-CN" w:eastAsia="zh-CN" w:bidi="zh-CN"/>
        </w:rPr>
      </w:pPr>
      <w:r>
        <w:rPr>
          <w:rFonts w:hint="eastAsia" w:ascii="仿宋" w:hAnsi="仿宋" w:eastAsia="仿宋" w:cs="仿宋"/>
          <w:kern w:val="21"/>
          <w:sz w:val="30"/>
          <w:szCs w:val="30"/>
          <w:lang w:val="zh-CN" w:eastAsia="zh-CN" w:bidi="zh-CN"/>
        </w:rPr>
        <w:t>（2）时效指标</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ind w:left="0" w:right="0" w:firstLine="420"/>
        <w:jc w:val="both"/>
        <w:rPr>
          <w:rFonts w:hint="eastAsia" w:ascii="仿宋" w:hAnsi="仿宋" w:eastAsia="仿宋" w:cs="仿宋"/>
          <w:kern w:val="21"/>
          <w:sz w:val="30"/>
          <w:szCs w:val="30"/>
          <w:lang w:val="zh-CN" w:eastAsia="zh-CN" w:bidi="zh-CN"/>
        </w:rPr>
      </w:pPr>
      <w:r>
        <w:rPr>
          <w:rFonts w:hint="eastAsia" w:ascii="仿宋" w:hAnsi="仿宋" w:eastAsia="仿宋" w:cs="仿宋"/>
          <w:kern w:val="21"/>
          <w:sz w:val="30"/>
          <w:szCs w:val="30"/>
          <w:lang w:val="zh-CN" w:eastAsia="zh-CN" w:bidi="zh-CN"/>
        </w:rPr>
        <w:t>年初设定指标：截止2020年底完成目标任。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ind w:left="0" w:right="0" w:firstLine="420"/>
        <w:jc w:val="both"/>
        <w:rPr>
          <w:rFonts w:hint="eastAsia" w:ascii="仿宋" w:hAnsi="仿宋" w:eastAsia="仿宋" w:cs="仿宋"/>
          <w:kern w:val="21"/>
          <w:sz w:val="30"/>
          <w:szCs w:val="30"/>
          <w:lang w:val="zh-CN" w:eastAsia="zh-CN" w:bidi="zh-CN"/>
        </w:rPr>
      </w:pPr>
      <w:r>
        <w:rPr>
          <w:rFonts w:hint="eastAsia" w:ascii="仿宋" w:hAnsi="仿宋" w:eastAsia="仿宋" w:cs="仿宋"/>
          <w:kern w:val="21"/>
          <w:sz w:val="30"/>
          <w:szCs w:val="30"/>
          <w:lang w:val="zh-CN" w:eastAsia="zh-CN" w:bidi="zh-CN"/>
        </w:rPr>
        <w:t>完成情况：按规定时间内完成了当年度耕地保护及土地整治各项目标任务。</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ind w:left="0" w:right="0" w:firstLine="420"/>
        <w:jc w:val="both"/>
        <w:rPr>
          <w:rFonts w:hint="eastAsia" w:ascii="仿宋" w:hAnsi="仿宋" w:eastAsia="仿宋" w:cs="仿宋"/>
          <w:kern w:val="21"/>
          <w:sz w:val="30"/>
          <w:szCs w:val="30"/>
          <w:lang w:val="zh-CN" w:eastAsia="zh-CN" w:bidi="zh-CN"/>
        </w:rPr>
      </w:pPr>
      <w:r>
        <w:rPr>
          <w:rFonts w:hint="eastAsia" w:ascii="仿宋" w:hAnsi="仿宋" w:eastAsia="仿宋" w:cs="仿宋"/>
          <w:kern w:val="21"/>
          <w:sz w:val="30"/>
          <w:szCs w:val="30"/>
          <w:lang w:val="zh-CN" w:eastAsia="zh-CN" w:bidi="zh-CN"/>
        </w:rPr>
        <w:t>（</w:t>
      </w:r>
      <w:r>
        <w:rPr>
          <w:rFonts w:hint="eastAsia" w:ascii="仿宋" w:hAnsi="仿宋" w:eastAsia="仿宋" w:cs="仿宋"/>
          <w:kern w:val="21"/>
          <w:sz w:val="30"/>
          <w:szCs w:val="30"/>
          <w:lang w:val="en-US" w:eastAsia="zh-CN" w:bidi="zh-CN"/>
        </w:rPr>
        <w:t>3</w:t>
      </w:r>
      <w:r>
        <w:rPr>
          <w:rFonts w:hint="eastAsia" w:ascii="仿宋" w:hAnsi="仿宋" w:eastAsia="仿宋" w:cs="仿宋"/>
          <w:kern w:val="21"/>
          <w:sz w:val="30"/>
          <w:szCs w:val="30"/>
          <w:lang w:val="zh-CN" w:eastAsia="zh-CN" w:bidi="zh-CN"/>
        </w:rPr>
        <w:t>）成本指标</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ind w:left="0" w:right="0" w:firstLine="420"/>
        <w:jc w:val="both"/>
        <w:rPr>
          <w:rFonts w:hint="eastAsia" w:ascii="仿宋" w:hAnsi="仿宋" w:eastAsia="仿宋" w:cs="仿宋"/>
          <w:kern w:val="21"/>
          <w:sz w:val="30"/>
          <w:szCs w:val="30"/>
          <w:lang w:val="zh-CN" w:eastAsia="zh-CN" w:bidi="zh-CN"/>
        </w:rPr>
      </w:pPr>
      <w:r>
        <w:rPr>
          <w:rFonts w:hint="eastAsia" w:ascii="仿宋" w:hAnsi="仿宋" w:eastAsia="仿宋" w:cs="仿宋"/>
          <w:kern w:val="21"/>
          <w:sz w:val="30"/>
          <w:szCs w:val="30"/>
          <w:lang w:val="zh-CN" w:eastAsia="zh-CN" w:bidi="zh-CN"/>
        </w:rPr>
        <w:t>年初设定指标：项目支出成本控制在预算审批金额的额度内且支出规范。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ind w:left="0" w:right="0" w:firstLine="420"/>
        <w:jc w:val="both"/>
        <w:rPr>
          <w:rFonts w:hint="eastAsia" w:ascii="仿宋" w:hAnsi="仿宋" w:eastAsia="仿宋" w:cs="仿宋"/>
          <w:kern w:val="21"/>
          <w:sz w:val="30"/>
          <w:szCs w:val="30"/>
          <w:lang w:val="zh-CN" w:eastAsia="zh-CN" w:bidi="zh-CN"/>
        </w:rPr>
      </w:pPr>
      <w:r>
        <w:rPr>
          <w:rFonts w:hint="eastAsia" w:ascii="仿宋" w:hAnsi="仿宋" w:eastAsia="仿宋" w:cs="仿宋"/>
          <w:kern w:val="21"/>
          <w:sz w:val="30"/>
          <w:szCs w:val="30"/>
          <w:lang w:val="zh-CN" w:eastAsia="zh-CN" w:bidi="zh-CN"/>
        </w:rPr>
        <w:t>完成情况：项目实际支出符合相关项目预算批复用途。</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ind w:left="0" w:right="0" w:firstLine="420"/>
        <w:jc w:val="both"/>
        <w:rPr>
          <w:rFonts w:hint="eastAsia" w:ascii="仿宋" w:hAnsi="仿宋" w:eastAsia="仿宋" w:cs="仿宋"/>
          <w:kern w:val="21"/>
          <w:sz w:val="30"/>
          <w:szCs w:val="30"/>
          <w:lang w:val="zh-CN" w:eastAsia="zh-CN" w:bidi="zh-CN"/>
        </w:rPr>
      </w:pPr>
      <w:r>
        <w:rPr>
          <w:rFonts w:hint="eastAsia" w:ascii="仿宋" w:hAnsi="仿宋" w:eastAsia="仿宋" w:cs="仿宋"/>
          <w:kern w:val="21"/>
          <w:sz w:val="30"/>
          <w:szCs w:val="30"/>
          <w:lang w:val="zh-CN" w:eastAsia="zh-CN" w:bidi="zh-CN"/>
        </w:rPr>
        <w:t>2.效益指标完成情况分析</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ind w:left="0" w:right="0" w:firstLine="420"/>
        <w:jc w:val="both"/>
        <w:rPr>
          <w:rFonts w:hint="eastAsia" w:ascii="仿宋" w:hAnsi="仿宋" w:eastAsia="仿宋" w:cs="仿宋"/>
          <w:kern w:val="21"/>
          <w:sz w:val="30"/>
          <w:szCs w:val="30"/>
          <w:lang w:val="zh-CN" w:eastAsia="zh-CN" w:bidi="zh-CN"/>
        </w:rPr>
      </w:pPr>
      <w:r>
        <w:rPr>
          <w:rFonts w:hint="eastAsia" w:ascii="仿宋" w:hAnsi="仿宋" w:eastAsia="仿宋" w:cs="仿宋"/>
          <w:kern w:val="21"/>
          <w:sz w:val="30"/>
          <w:szCs w:val="30"/>
          <w:lang w:val="zh-CN" w:eastAsia="zh-CN" w:bidi="zh-CN"/>
        </w:rPr>
        <w:t>（1）经济效益</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ind w:left="0" w:right="0" w:firstLine="420"/>
        <w:jc w:val="both"/>
        <w:rPr>
          <w:rFonts w:hint="eastAsia" w:ascii="仿宋" w:hAnsi="仿宋" w:eastAsia="仿宋" w:cs="仿宋"/>
          <w:kern w:val="21"/>
          <w:sz w:val="30"/>
          <w:szCs w:val="30"/>
          <w:lang w:val="zh-CN" w:eastAsia="zh-CN" w:bidi="zh-CN"/>
        </w:rPr>
      </w:pPr>
      <w:r>
        <w:rPr>
          <w:rFonts w:hint="eastAsia" w:ascii="仿宋" w:hAnsi="仿宋" w:eastAsia="仿宋" w:cs="仿宋"/>
          <w:kern w:val="21"/>
          <w:sz w:val="30"/>
          <w:szCs w:val="30"/>
          <w:lang w:val="zh-CN" w:eastAsia="zh-CN" w:bidi="zh-CN"/>
        </w:rPr>
        <w:t>年初设定指标：耕地占补平衡。</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ind w:left="0" w:right="0" w:firstLine="420"/>
        <w:jc w:val="both"/>
        <w:rPr>
          <w:rFonts w:hint="eastAsia" w:ascii="仿宋" w:hAnsi="仿宋" w:eastAsia="仿宋" w:cs="仿宋"/>
          <w:kern w:val="21"/>
          <w:sz w:val="30"/>
          <w:szCs w:val="30"/>
          <w:lang w:val="zh-CN" w:eastAsia="zh-CN" w:bidi="zh-CN"/>
        </w:rPr>
      </w:pPr>
      <w:r>
        <w:rPr>
          <w:rFonts w:hint="eastAsia" w:ascii="仿宋" w:hAnsi="仿宋" w:eastAsia="仿宋" w:cs="仿宋"/>
          <w:kern w:val="21"/>
          <w:sz w:val="30"/>
          <w:szCs w:val="30"/>
          <w:lang w:val="zh-CN" w:eastAsia="zh-CN" w:bidi="zh-CN"/>
        </w:rPr>
        <w:t>完成情况：通过耕地保护及土地整治项目建设，进一步提升了土地利用和整治能力，实现了预期经济目标要求。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ind w:left="0" w:right="0" w:firstLine="420"/>
        <w:jc w:val="both"/>
        <w:rPr>
          <w:rFonts w:hint="eastAsia" w:ascii="仿宋" w:hAnsi="仿宋" w:eastAsia="仿宋" w:cs="仿宋"/>
          <w:kern w:val="21"/>
          <w:sz w:val="30"/>
          <w:szCs w:val="30"/>
          <w:lang w:val="zh-CN" w:eastAsia="zh-CN" w:bidi="zh-CN"/>
        </w:rPr>
      </w:pPr>
      <w:r>
        <w:rPr>
          <w:rFonts w:hint="eastAsia" w:ascii="仿宋" w:hAnsi="仿宋" w:eastAsia="仿宋" w:cs="仿宋"/>
          <w:kern w:val="21"/>
          <w:sz w:val="30"/>
          <w:szCs w:val="30"/>
          <w:lang w:val="zh-CN" w:eastAsia="zh-CN" w:bidi="zh-CN"/>
        </w:rPr>
        <w:t>（2）社会效益指标</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ind w:left="0" w:right="0" w:firstLine="420"/>
        <w:jc w:val="both"/>
        <w:rPr>
          <w:rFonts w:hint="eastAsia" w:ascii="仿宋" w:hAnsi="仿宋" w:eastAsia="仿宋" w:cs="仿宋"/>
          <w:kern w:val="21"/>
          <w:sz w:val="30"/>
          <w:szCs w:val="30"/>
          <w:lang w:val="zh-CN" w:eastAsia="zh-CN" w:bidi="zh-CN"/>
        </w:rPr>
      </w:pPr>
      <w:r>
        <w:rPr>
          <w:rFonts w:hint="eastAsia" w:ascii="仿宋" w:hAnsi="仿宋" w:eastAsia="仿宋" w:cs="仿宋"/>
          <w:kern w:val="21"/>
          <w:sz w:val="30"/>
          <w:szCs w:val="30"/>
          <w:lang w:val="zh-CN" w:eastAsia="zh-CN" w:bidi="zh-CN"/>
        </w:rPr>
        <w:t>年初设定指标：引导公众参与耕地保护与整治活动。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ind w:left="0" w:right="0" w:firstLine="420"/>
        <w:jc w:val="both"/>
        <w:rPr>
          <w:rFonts w:hint="eastAsia" w:ascii="仿宋" w:hAnsi="仿宋" w:eastAsia="仿宋" w:cs="仿宋"/>
          <w:kern w:val="21"/>
          <w:sz w:val="30"/>
          <w:szCs w:val="30"/>
          <w:lang w:val="zh-CN" w:eastAsia="zh-CN" w:bidi="zh-CN"/>
        </w:rPr>
      </w:pPr>
      <w:r>
        <w:rPr>
          <w:rFonts w:hint="eastAsia" w:ascii="仿宋" w:hAnsi="仿宋" w:eastAsia="仿宋" w:cs="仿宋"/>
          <w:kern w:val="21"/>
          <w:sz w:val="30"/>
          <w:szCs w:val="30"/>
          <w:lang w:val="zh-CN" w:eastAsia="zh-CN" w:bidi="zh-CN"/>
        </w:rPr>
        <w:t>完成情况：通过宣传和实际整治相结合，耕地保护及土地整治工作取得了满意的社会效益。</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ind w:left="0" w:right="0" w:firstLine="420"/>
        <w:jc w:val="both"/>
        <w:rPr>
          <w:rFonts w:hint="eastAsia" w:ascii="仿宋" w:hAnsi="仿宋" w:eastAsia="仿宋" w:cs="仿宋"/>
          <w:kern w:val="21"/>
          <w:sz w:val="30"/>
          <w:szCs w:val="30"/>
          <w:lang w:val="zh-CN" w:eastAsia="zh-CN" w:bidi="zh-CN"/>
        </w:rPr>
      </w:pPr>
      <w:r>
        <w:rPr>
          <w:rFonts w:hint="eastAsia" w:ascii="仿宋" w:hAnsi="仿宋" w:eastAsia="仿宋" w:cs="仿宋"/>
          <w:kern w:val="21"/>
          <w:sz w:val="30"/>
          <w:szCs w:val="30"/>
          <w:lang w:val="zh-CN" w:eastAsia="zh-CN" w:bidi="zh-CN"/>
        </w:rPr>
        <w:t>（3）生态效益指标</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ind w:left="0" w:right="0" w:firstLine="420"/>
        <w:jc w:val="both"/>
        <w:rPr>
          <w:rFonts w:hint="eastAsia" w:ascii="仿宋" w:hAnsi="仿宋" w:eastAsia="仿宋" w:cs="仿宋"/>
          <w:kern w:val="21"/>
          <w:sz w:val="30"/>
          <w:szCs w:val="30"/>
          <w:lang w:val="zh-CN" w:eastAsia="zh-CN" w:bidi="zh-CN"/>
        </w:rPr>
      </w:pPr>
      <w:r>
        <w:rPr>
          <w:rFonts w:hint="eastAsia" w:ascii="仿宋" w:hAnsi="仿宋" w:eastAsia="仿宋" w:cs="仿宋"/>
          <w:kern w:val="21"/>
          <w:sz w:val="30"/>
          <w:szCs w:val="30"/>
          <w:lang w:val="zh-CN" w:eastAsia="zh-CN" w:bidi="zh-CN"/>
        </w:rPr>
        <w:t>年初设定指标：项目实施后进一步减少对耕地的破坏。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ind w:left="0" w:right="0" w:firstLine="420"/>
        <w:jc w:val="both"/>
        <w:rPr>
          <w:rFonts w:hint="eastAsia" w:ascii="仿宋" w:hAnsi="仿宋" w:eastAsia="仿宋" w:cs="仿宋"/>
          <w:kern w:val="21"/>
          <w:sz w:val="30"/>
          <w:szCs w:val="30"/>
          <w:lang w:val="zh-CN" w:eastAsia="zh-CN" w:bidi="zh-CN"/>
        </w:rPr>
      </w:pPr>
      <w:r>
        <w:rPr>
          <w:rFonts w:hint="eastAsia" w:ascii="仿宋" w:hAnsi="仿宋" w:eastAsia="仿宋" w:cs="仿宋"/>
          <w:kern w:val="21"/>
          <w:sz w:val="30"/>
          <w:szCs w:val="30"/>
          <w:lang w:val="zh-CN" w:eastAsia="zh-CN" w:bidi="zh-CN"/>
        </w:rPr>
        <w:t>完成情况：本项目的建设，在充分考虑当地生态与环境的前提下,合理开展了土地利用与土地整治活动，协调保护与利用，生态效益效果明显。</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ind w:left="0" w:right="0" w:firstLine="420"/>
        <w:jc w:val="both"/>
        <w:rPr>
          <w:rFonts w:hint="eastAsia" w:ascii="仿宋" w:hAnsi="仿宋" w:eastAsia="仿宋" w:cs="仿宋"/>
          <w:kern w:val="21"/>
          <w:sz w:val="30"/>
          <w:szCs w:val="30"/>
          <w:lang w:val="zh-CN" w:eastAsia="zh-CN" w:bidi="zh-CN"/>
        </w:rPr>
      </w:pPr>
      <w:r>
        <w:rPr>
          <w:rFonts w:hint="eastAsia" w:ascii="仿宋" w:hAnsi="仿宋" w:eastAsia="仿宋" w:cs="仿宋"/>
          <w:kern w:val="21"/>
          <w:sz w:val="30"/>
          <w:szCs w:val="30"/>
          <w:lang w:val="zh-CN" w:eastAsia="zh-CN" w:bidi="zh-CN"/>
        </w:rPr>
        <w:t>（4）可持续影响指标</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ind w:left="0" w:right="0" w:firstLine="420"/>
        <w:jc w:val="both"/>
        <w:rPr>
          <w:rFonts w:hint="eastAsia" w:ascii="仿宋" w:hAnsi="仿宋" w:eastAsia="仿宋" w:cs="仿宋"/>
          <w:kern w:val="21"/>
          <w:sz w:val="30"/>
          <w:szCs w:val="30"/>
          <w:lang w:val="zh-CN" w:eastAsia="zh-CN" w:bidi="zh-CN"/>
        </w:rPr>
      </w:pPr>
      <w:r>
        <w:rPr>
          <w:rFonts w:hint="eastAsia" w:ascii="仿宋" w:hAnsi="仿宋" w:eastAsia="仿宋" w:cs="仿宋"/>
          <w:kern w:val="21"/>
          <w:sz w:val="30"/>
          <w:szCs w:val="30"/>
          <w:lang w:val="zh-CN" w:eastAsia="zh-CN" w:bidi="zh-CN"/>
        </w:rPr>
        <w:t>年初设定指标：建立联动考核机制。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ind w:left="0" w:right="0" w:firstLine="420"/>
        <w:jc w:val="both"/>
        <w:rPr>
          <w:rFonts w:hint="eastAsia" w:ascii="仿宋" w:hAnsi="仿宋" w:eastAsia="仿宋" w:cs="仿宋"/>
          <w:kern w:val="21"/>
          <w:sz w:val="30"/>
          <w:szCs w:val="30"/>
          <w:lang w:val="zh-CN" w:eastAsia="zh-CN" w:bidi="zh-CN"/>
        </w:rPr>
      </w:pPr>
      <w:r>
        <w:rPr>
          <w:rFonts w:hint="eastAsia" w:ascii="仿宋" w:hAnsi="仿宋" w:eastAsia="仿宋" w:cs="仿宋"/>
          <w:kern w:val="21"/>
          <w:sz w:val="30"/>
          <w:szCs w:val="30"/>
          <w:lang w:val="zh-CN" w:eastAsia="zh-CN" w:bidi="zh-CN"/>
        </w:rPr>
        <w:t>完成情况：通过项目实施，增强了公众从自身做起,从小事做起,进一步提高全社会关心土地意识，减少对土地资源的破坏,促进土地的开发、利用、保护和管理,从而促进土地资源的可持续发展。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ind w:left="0" w:right="0" w:firstLine="420"/>
        <w:jc w:val="both"/>
        <w:rPr>
          <w:rFonts w:hint="eastAsia" w:ascii="仿宋" w:hAnsi="仿宋" w:eastAsia="仿宋" w:cs="仿宋"/>
          <w:kern w:val="21"/>
          <w:sz w:val="30"/>
          <w:szCs w:val="30"/>
          <w:lang w:val="zh-CN" w:eastAsia="zh-CN" w:bidi="zh-CN"/>
        </w:rPr>
      </w:pPr>
      <w:r>
        <w:rPr>
          <w:rFonts w:hint="eastAsia" w:ascii="仿宋" w:hAnsi="仿宋" w:eastAsia="仿宋" w:cs="仿宋"/>
          <w:kern w:val="21"/>
          <w:sz w:val="30"/>
          <w:szCs w:val="30"/>
          <w:lang w:val="zh-CN" w:eastAsia="zh-CN" w:bidi="zh-CN"/>
        </w:rPr>
        <w:t>3.满意度指标完成情况分析</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ind w:left="0" w:right="0" w:firstLine="420"/>
        <w:jc w:val="both"/>
        <w:rPr>
          <w:rFonts w:hint="eastAsia" w:ascii="仿宋" w:hAnsi="仿宋" w:eastAsia="仿宋" w:cs="仿宋"/>
          <w:kern w:val="21"/>
          <w:sz w:val="30"/>
          <w:szCs w:val="30"/>
          <w:lang w:val="zh-CN" w:eastAsia="zh-CN" w:bidi="zh-CN"/>
        </w:rPr>
      </w:pPr>
      <w:r>
        <w:rPr>
          <w:rFonts w:hint="eastAsia" w:ascii="仿宋" w:hAnsi="仿宋" w:eastAsia="仿宋" w:cs="仿宋"/>
          <w:kern w:val="21"/>
          <w:sz w:val="30"/>
          <w:szCs w:val="30"/>
          <w:lang w:val="zh-CN" w:eastAsia="zh-CN" w:bidi="zh-CN"/>
        </w:rPr>
        <w:t>年初设定指标：受益对象对耕地保护及土地整治工作满意。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ind w:left="0" w:right="0" w:firstLine="420"/>
        <w:jc w:val="both"/>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kern w:val="21"/>
          <w:sz w:val="30"/>
          <w:szCs w:val="30"/>
          <w:lang w:val="zh-CN" w:eastAsia="zh-CN" w:bidi="zh-CN"/>
        </w:rPr>
        <w:t>完成情况：通过随机电话访问等形式，对受益对象满意度调查结果为满意。</w:t>
      </w:r>
    </w:p>
    <w:p>
      <w:pPr>
        <w:numPr>
          <w:ilvl w:val="0"/>
          <w:numId w:val="0"/>
        </w:numPr>
        <w:adjustRightInd w:val="0"/>
        <w:snapToGrid w:val="0"/>
        <w:spacing w:line="600" w:lineRule="exact"/>
        <w:ind w:firstLine="632" w:firstLineChars="200"/>
        <w:rPr>
          <w:rFonts w:ascii="Times New Roman" w:hAnsi="Times New Roman" w:eastAsia="仿宋_GB2312" w:cs="Times New Roman"/>
          <w:sz w:val="32"/>
          <w:szCs w:val="32"/>
        </w:rPr>
      </w:pPr>
    </w:p>
    <w:p>
      <w:pPr>
        <w:numPr>
          <w:ilvl w:val="0"/>
          <w:numId w:val="2"/>
        </w:numPr>
        <w:adjustRightInd w:val="0"/>
        <w:snapToGrid w:val="0"/>
        <w:spacing w:line="600" w:lineRule="exact"/>
        <w:ind w:left="0" w:leftChars="0" w:firstLine="632" w:firstLineChars="200"/>
        <w:rPr>
          <w:rFonts w:hint="eastAsia" w:ascii="Times New Roman" w:hAnsi="Times New Roman" w:eastAsia="黑体" w:cs="Times New Roman"/>
          <w:sz w:val="32"/>
          <w:szCs w:val="32"/>
          <w:lang w:eastAsia="zh-CN"/>
        </w:rPr>
      </w:pPr>
      <w:r>
        <w:rPr>
          <w:rFonts w:hint="eastAsia" w:ascii="Times New Roman" w:hAnsi="Times New Roman" w:eastAsia="黑体" w:cs="Times New Roman"/>
          <w:sz w:val="32"/>
          <w:szCs w:val="32"/>
          <w:lang w:eastAsia="zh-CN"/>
        </w:rPr>
        <w:t>存在的问题和改进措施</w:t>
      </w:r>
    </w:p>
    <w:p>
      <w:pPr>
        <w:adjustRightInd w:val="0"/>
        <w:snapToGrid w:val="0"/>
        <w:spacing w:line="600" w:lineRule="exact"/>
        <w:ind w:firstLine="632" w:firstLineChars="200"/>
        <w:rPr>
          <w:rFonts w:hint="eastAsia" w:ascii="仿宋" w:hAnsi="仿宋" w:eastAsia="仿宋" w:cs="仿宋"/>
          <w:sz w:val="30"/>
          <w:szCs w:val="30"/>
          <w:highlight w:val="none"/>
          <w:lang w:val="en-US" w:eastAsia="zh-CN"/>
        </w:rPr>
      </w:pPr>
      <w:r>
        <w:rPr>
          <w:rFonts w:hint="eastAsia" w:ascii="Times New Roman" w:hAnsi="Times New Roman" w:cs="Times New Roman"/>
          <w:sz w:val="32"/>
          <w:szCs w:val="32"/>
          <w:lang w:val="en-US" w:eastAsia="zh-CN"/>
        </w:rPr>
        <w:t>项目验收日期延长</w:t>
      </w:r>
      <w:r>
        <w:rPr>
          <w:rFonts w:ascii="Times New Roman" w:hAnsi="Times New Roman" w:eastAsia="仿宋_GB2312" w:cs="Times New Roman"/>
          <w:sz w:val="32"/>
          <w:szCs w:val="32"/>
        </w:rPr>
        <w:t>。</w:t>
      </w:r>
      <w:r>
        <w:rPr>
          <w:rFonts w:hint="eastAsia" w:ascii="仿宋" w:hAnsi="仿宋" w:eastAsia="仿宋" w:cs="仿宋"/>
          <w:sz w:val="30"/>
          <w:szCs w:val="30"/>
          <w:lang w:val="en-US" w:eastAsia="zh-CN"/>
        </w:rPr>
        <w:t>全年全省雨水天气较多，影响了项目的实施进度。</w:t>
      </w:r>
      <w:r>
        <w:rPr>
          <w:rFonts w:hint="eastAsia" w:ascii="仿宋" w:hAnsi="仿宋" w:eastAsia="仿宋" w:cs="仿宋"/>
          <w:sz w:val="30"/>
          <w:szCs w:val="30"/>
          <w:highlight w:val="none"/>
          <w:lang w:val="en-US" w:eastAsia="zh-CN"/>
        </w:rPr>
        <w:t>由于受突发起来的疫情等各方面因素的影响，导致实际施工完成时间比预计的要长。</w:t>
      </w:r>
      <w:r>
        <w:rPr>
          <w:rFonts w:hint="eastAsia" w:ascii="仿宋" w:hAnsi="仿宋" w:eastAsia="仿宋" w:cs="仿宋"/>
          <w:sz w:val="30"/>
          <w:szCs w:val="30"/>
          <w:lang w:val="en-US" w:eastAsia="zh-CN"/>
        </w:rPr>
        <w:t>建立健全项目管理长效制度，加强项目建设管理。工程项目实行统一管理，明确具体负责人，加强项目跟踪管理，及时跟进项目进度，确保工程规范运行，按时按质按量完成。</w:t>
      </w:r>
    </w:p>
    <w:p>
      <w:pPr>
        <w:pStyle w:val="2"/>
        <w:rPr>
          <w:rFonts w:hint="default"/>
          <w:lang w:val="en-US"/>
        </w:rPr>
      </w:pPr>
      <w:r>
        <w:rPr>
          <w:rFonts w:hint="eastAsia" w:ascii="仿宋" w:hAnsi="仿宋" w:eastAsia="仿宋" w:cs="仿宋"/>
          <w:sz w:val="30"/>
          <w:szCs w:val="30"/>
          <w:highlight w:val="none"/>
          <w:lang w:val="en-US" w:eastAsia="zh-CN"/>
        </w:rPr>
        <w:t xml:space="preserve">     </w:t>
      </w:r>
    </w:p>
    <w:p>
      <w:pPr>
        <w:numPr>
          <w:ilvl w:val="0"/>
          <w:numId w:val="2"/>
        </w:numPr>
        <w:adjustRightInd w:val="0"/>
        <w:snapToGrid w:val="0"/>
        <w:spacing w:line="600" w:lineRule="exact"/>
        <w:ind w:left="0" w:leftChars="0" w:firstLine="632" w:firstLineChars="200"/>
        <w:rPr>
          <w:rFonts w:hint="eastAsia" w:ascii="Times New Roman" w:hAnsi="Times New Roman" w:eastAsia="黑体" w:cs="Times New Roman"/>
          <w:sz w:val="32"/>
          <w:szCs w:val="32"/>
          <w:lang w:eastAsia="zh-CN"/>
        </w:rPr>
      </w:pPr>
      <w:r>
        <w:rPr>
          <w:rFonts w:hint="eastAsia" w:ascii="Times New Roman" w:hAnsi="Times New Roman" w:eastAsia="黑体" w:cs="Times New Roman"/>
          <w:sz w:val="32"/>
          <w:szCs w:val="32"/>
          <w:lang w:eastAsia="zh-CN"/>
        </w:rPr>
        <w:t>绩效自评结果拟应用和公开情况</w:t>
      </w:r>
    </w:p>
    <w:p>
      <w:pPr>
        <w:numPr>
          <w:ilvl w:val="0"/>
          <w:numId w:val="2"/>
        </w:numPr>
        <w:adjustRightInd w:val="0"/>
        <w:snapToGrid w:val="0"/>
        <w:spacing w:line="600" w:lineRule="exact"/>
        <w:ind w:left="0" w:leftChars="0" w:firstLine="632" w:firstLineChars="200"/>
        <w:rPr>
          <w:rFonts w:hint="eastAsia" w:ascii="Times New Roman" w:hAnsi="Times New Roman" w:eastAsia="黑体" w:cs="Times New Roman"/>
          <w:sz w:val="32"/>
          <w:szCs w:val="32"/>
          <w:lang w:eastAsia="zh-CN"/>
        </w:rPr>
      </w:pPr>
      <w:r>
        <w:rPr>
          <w:rFonts w:hint="eastAsia" w:ascii="Times New Roman" w:hAnsi="Times New Roman" w:eastAsia="黑体" w:cs="Times New Roman"/>
          <w:sz w:val="32"/>
          <w:szCs w:val="32"/>
          <w:lang w:eastAsia="zh-CN"/>
        </w:rPr>
        <w:t>其他需要说明的问题</w:t>
      </w:r>
    </w:p>
    <w:p>
      <w:pPr>
        <w:widowControl/>
        <w:spacing w:line="600" w:lineRule="exact"/>
        <w:ind w:firstLine="645"/>
        <w:jc w:val="left"/>
        <w:rPr>
          <w:rFonts w:hint="default" w:ascii="Times New Roman" w:hAnsi="Times New Roman" w:cs="Times New Roman"/>
          <w:sz w:val="32"/>
          <w:szCs w:val="32"/>
          <w:lang w:val="en-US" w:eastAsia="zh-CN"/>
        </w:rPr>
      </w:pPr>
      <w:r>
        <w:rPr>
          <w:rFonts w:hint="eastAsia" w:ascii="Times New Roman" w:hAnsi="Times New Roman" w:cs="Times New Roman"/>
          <w:sz w:val="32"/>
          <w:szCs w:val="32"/>
          <w:lang w:val="en-US" w:eastAsia="zh-CN"/>
        </w:rPr>
        <w:t>无</w:t>
      </w:r>
    </w:p>
    <w:p>
      <w:pPr>
        <w:widowControl/>
        <w:spacing w:line="600" w:lineRule="exact"/>
        <w:ind w:firstLine="645"/>
        <w:jc w:val="left"/>
        <w:rPr>
          <w:rFonts w:hint="eastAsia" w:ascii="Times New Roman" w:hAnsi="Times New Roman" w:eastAsia="仿宋_GB2312" w:cs="Times New Roman"/>
          <w:sz w:val="32"/>
          <w:szCs w:val="32"/>
          <w:lang w:eastAsia="zh-CN"/>
        </w:rPr>
      </w:pPr>
      <w:r>
        <w:rPr>
          <w:rFonts w:hint="eastAsia" w:ascii="Times New Roman" w:hAnsi="Times New Roman" w:cs="Times New Roman"/>
          <w:sz w:val="32"/>
          <w:szCs w:val="32"/>
          <w:lang w:eastAsia="zh-CN"/>
        </w:rPr>
        <w:t>附件</w:t>
      </w:r>
      <w:r>
        <w:rPr>
          <w:rFonts w:ascii="Times New Roman" w:hAnsi="Times New Roman" w:eastAsia="仿宋_GB2312" w:cs="Times New Roman"/>
          <w:sz w:val="32"/>
          <w:szCs w:val="32"/>
        </w:rPr>
        <w:t>：项目支出绩效自评表</w:t>
      </w:r>
    </w:p>
    <w:p>
      <w:r>
        <w:br w:type="page"/>
      </w:r>
    </w:p>
    <w:tbl>
      <w:tblPr>
        <w:tblStyle w:val="8"/>
        <w:tblW w:w="0" w:type="auto"/>
        <w:tblInd w:w="0" w:type="dxa"/>
        <w:tblLayout w:type="autofit"/>
        <w:tblCellMar>
          <w:top w:w="0" w:type="dxa"/>
          <w:left w:w="0" w:type="dxa"/>
          <w:bottom w:w="0" w:type="dxa"/>
          <w:right w:w="0" w:type="dxa"/>
        </w:tblCellMar>
      </w:tblPr>
      <w:tblGrid>
        <w:gridCol w:w="934"/>
        <w:gridCol w:w="998"/>
        <w:gridCol w:w="648"/>
        <w:gridCol w:w="608"/>
        <w:gridCol w:w="1236"/>
        <w:gridCol w:w="1236"/>
        <w:gridCol w:w="1236"/>
        <w:gridCol w:w="1236"/>
        <w:gridCol w:w="1537"/>
      </w:tblGrid>
      <w:tr>
        <w:tblPrEx>
          <w:tblCellMar>
            <w:top w:w="0" w:type="dxa"/>
            <w:left w:w="0" w:type="dxa"/>
            <w:bottom w:w="0" w:type="dxa"/>
            <w:right w:w="0" w:type="dxa"/>
          </w:tblCellMar>
        </w:tblPrEx>
        <w:trPr>
          <w:trHeight w:val="465" w:hRule="atLeast"/>
        </w:trPr>
        <w:tc>
          <w:tcPr>
            <w:tcW w:w="0" w:type="auto"/>
            <w:gridSpan w:val="9"/>
            <w:tcBorders>
              <w:top w:val="nil"/>
              <w:left w:val="nil"/>
              <w:bottom w:val="nil"/>
              <w:right w:val="nil"/>
            </w:tcBorders>
            <w:shd w:val="clear" w:color="auto" w:fill="auto"/>
            <w:noWrap/>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Times New Roman" w:hAnsi="Times New Roman" w:eastAsia="方正小标宋_GBK" w:cs="Times New Roman"/>
                <w:color w:val="000000"/>
                <w:kern w:val="0"/>
                <w:sz w:val="36"/>
                <w:szCs w:val="36"/>
              </w:rPr>
            </w:pPr>
            <w:r>
              <w:rPr>
                <w:rFonts w:ascii="Times New Roman" w:hAnsi="Times New Roman" w:eastAsia="方正小标宋_GBK" w:cs="Times New Roman"/>
                <w:color w:val="000000"/>
                <w:kern w:val="0"/>
                <w:sz w:val="36"/>
                <w:szCs w:val="36"/>
              </w:rPr>
              <w:t>2022</w:t>
            </w:r>
            <w:r>
              <w:rPr>
                <w:rFonts w:hint="eastAsia" w:ascii="Times New Roman" w:hAnsi="Times New Roman" w:eastAsia="方正小标宋_GBK" w:cs="Times New Roman"/>
                <w:color w:val="000000"/>
                <w:kern w:val="0"/>
                <w:sz w:val="36"/>
                <w:szCs w:val="36"/>
              </w:rPr>
              <w:t>年度项目支出绩效自评表</w:t>
            </w:r>
          </w:p>
        </w:tc>
      </w:tr>
      <w:tr>
        <w:tblPrEx>
          <w:tblCellMar>
            <w:top w:w="0" w:type="dxa"/>
            <w:left w:w="0" w:type="dxa"/>
            <w:bottom w:w="0" w:type="dxa"/>
            <w:right w:w="0" w:type="dxa"/>
          </w:tblCellMar>
        </w:tblPrEx>
        <w:trPr>
          <w:trHeight w:val="300" w:hRule="atLeast"/>
        </w:trPr>
        <w:tc>
          <w:tcPr>
            <w:tcW w:w="0" w:type="auto"/>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项目名称</w:t>
            </w:r>
          </w:p>
        </w:tc>
        <w:tc>
          <w:tcPr>
            <w:tcW w:w="0" w:type="auto"/>
            <w:gridSpan w:val="8"/>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市级土地综合整治（灾毁）项目及耕地保护监管工作资金</w:t>
            </w:r>
          </w:p>
        </w:tc>
      </w:tr>
      <w:tr>
        <w:tblPrEx>
          <w:tblCellMar>
            <w:top w:w="0" w:type="dxa"/>
            <w:left w:w="0" w:type="dxa"/>
            <w:bottom w:w="0" w:type="dxa"/>
            <w:right w:w="0" w:type="dxa"/>
          </w:tblCellMar>
        </w:tblPrEx>
        <w:trPr>
          <w:trHeight w:val="300" w:hRule="atLeast"/>
        </w:trPr>
        <w:tc>
          <w:tcPr>
            <w:tcW w:w="0" w:type="auto"/>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主管部门</w:t>
            </w:r>
          </w:p>
        </w:tc>
        <w:tc>
          <w:tcPr>
            <w:tcW w:w="0" w:type="auto"/>
            <w:gridSpan w:val="4"/>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益阳市资阳区自然资源局</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实施单位</w:t>
            </w:r>
          </w:p>
        </w:tc>
        <w:tc>
          <w:tcPr>
            <w:tcW w:w="0" w:type="auto"/>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各乡、镇及村级</w:t>
            </w:r>
          </w:p>
        </w:tc>
      </w:tr>
      <w:tr>
        <w:tblPrEx>
          <w:tblCellMar>
            <w:top w:w="0" w:type="dxa"/>
            <w:left w:w="0" w:type="dxa"/>
            <w:bottom w:w="0" w:type="dxa"/>
            <w:right w:w="0" w:type="dxa"/>
          </w:tblCellMar>
        </w:tblPrEx>
        <w:trPr>
          <w:trHeight w:val="300" w:hRule="atLeast"/>
        </w:trPr>
        <w:tc>
          <w:tcPr>
            <w:tcW w:w="0" w:type="auto"/>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项目资金（万元）</w:t>
            </w:r>
          </w:p>
        </w:tc>
        <w:tc>
          <w:tcPr>
            <w:tcW w:w="0" w:type="auto"/>
            <w:gridSpan w:val="2"/>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年度资金总额　</w:t>
            </w:r>
          </w:p>
        </w:tc>
        <w:tc>
          <w:tcPr>
            <w:tcW w:w="0" w:type="auto"/>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年初预算数</w:t>
            </w:r>
          </w:p>
        </w:tc>
        <w:tc>
          <w:tcPr>
            <w:tcW w:w="0" w:type="auto"/>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全年预算数</w:t>
            </w:r>
          </w:p>
        </w:tc>
        <w:tc>
          <w:tcPr>
            <w:tcW w:w="0" w:type="auto"/>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全年执行数</w:t>
            </w:r>
          </w:p>
        </w:tc>
        <w:tc>
          <w:tcPr>
            <w:tcW w:w="0" w:type="auto"/>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分值</w:t>
            </w:r>
          </w:p>
        </w:tc>
        <w:tc>
          <w:tcPr>
            <w:tcW w:w="0" w:type="auto"/>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执行率</w:t>
            </w:r>
          </w:p>
        </w:tc>
        <w:tc>
          <w:tcPr>
            <w:tcW w:w="0" w:type="auto"/>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得分</w:t>
            </w:r>
          </w:p>
        </w:tc>
      </w:tr>
      <w:tr>
        <w:tblPrEx>
          <w:tblCellMar>
            <w:top w:w="0" w:type="dxa"/>
            <w:left w:w="0" w:type="dxa"/>
            <w:bottom w:w="0" w:type="dxa"/>
            <w:right w:w="0" w:type="dxa"/>
          </w:tblCellMar>
        </w:tblPrEx>
        <w:trPr>
          <w:trHeight w:val="270"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imes New Roman" w:hAnsi="Times New Roman" w:eastAsia="仿宋_GB2312" w:cs="Times New Roman"/>
                <w:color w:val="000000"/>
                <w:kern w:val="0"/>
                <w:sz w:val="21"/>
                <w:szCs w:val="21"/>
              </w:rPr>
            </w:pPr>
          </w:p>
        </w:tc>
        <w:tc>
          <w:tcPr>
            <w:tcW w:w="0" w:type="auto"/>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imes New Roman" w:hAnsi="Times New Roman" w:eastAsia="仿宋_GB2312" w:cs="Times New Roman"/>
                <w:color w:val="000000"/>
                <w:kern w:val="0"/>
                <w:sz w:val="21"/>
                <w:szCs w:val="21"/>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imes New Roman" w:hAnsi="Times New Roman" w:eastAsia="仿宋_GB2312" w:cs="Times New Roman"/>
                <w:color w:val="000000"/>
                <w:kern w:val="0"/>
                <w:sz w:val="21"/>
                <w:szCs w:val="21"/>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imes New Roman" w:hAnsi="Times New Roman" w:eastAsia="仿宋_GB2312" w:cs="Times New Roman"/>
                <w:color w:val="000000"/>
                <w:kern w:val="0"/>
                <w:sz w:val="21"/>
                <w:szCs w:val="21"/>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imes New Roman" w:hAnsi="Times New Roman" w:eastAsia="仿宋_GB2312" w:cs="Times New Roman"/>
                <w:color w:val="000000"/>
                <w:kern w:val="0"/>
                <w:sz w:val="21"/>
                <w:szCs w:val="21"/>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imes New Roman" w:hAnsi="Times New Roman" w:eastAsia="仿宋_GB2312" w:cs="Times New Roman"/>
                <w:color w:val="000000"/>
                <w:kern w:val="0"/>
                <w:sz w:val="21"/>
                <w:szCs w:val="21"/>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imes New Roman" w:hAnsi="Times New Roman" w:eastAsia="仿宋_GB2312" w:cs="Times New Roman"/>
                <w:color w:val="000000"/>
                <w:kern w:val="0"/>
                <w:sz w:val="21"/>
                <w:szCs w:val="21"/>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imes New Roman" w:hAnsi="Times New Roman" w:eastAsia="仿宋_GB2312" w:cs="Times New Roman"/>
                <w:color w:val="000000"/>
                <w:kern w:val="0"/>
                <w:sz w:val="21"/>
                <w:szCs w:val="21"/>
              </w:rPr>
            </w:pPr>
          </w:p>
        </w:tc>
      </w:tr>
      <w:tr>
        <w:tblPrEx>
          <w:tblCellMar>
            <w:top w:w="0" w:type="dxa"/>
            <w:left w:w="0" w:type="dxa"/>
            <w:bottom w:w="0" w:type="dxa"/>
            <w:right w:w="0" w:type="dxa"/>
          </w:tblCellMar>
        </w:tblPrEx>
        <w:trPr>
          <w:trHeight w:val="300"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imes New Roman" w:hAnsi="Times New Roman" w:eastAsia="仿宋_GB2312" w:cs="Times New Roman"/>
                <w:color w:val="000000"/>
                <w:kern w:val="0"/>
                <w:sz w:val="21"/>
                <w:szCs w:val="21"/>
              </w:rPr>
            </w:pPr>
          </w:p>
        </w:tc>
        <w:tc>
          <w:tcPr>
            <w:tcW w:w="0" w:type="auto"/>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imes New Roman" w:hAnsi="Times New Roman" w:eastAsia="仿宋_GB2312" w:cs="Times New Roman"/>
                <w:color w:val="000000"/>
                <w:kern w:val="0"/>
                <w:sz w:val="21"/>
                <w:szCs w:val="21"/>
              </w:rPr>
            </w:pPr>
          </w:p>
        </w:tc>
        <w:tc>
          <w:tcPr>
            <w:tcW w:w="0" w:type="auto"/>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855</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855</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855</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p>
        </w:tc>
        <w:tc>
          <w:tcPr>
            <w:tcW w:w="0" w:type="auto"/>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100%</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p>
        </w:tc>
      </w:tr>
      <w:tr>
        <w:tblPrEx>
          <w:tblCellMar>
            <w:top w:w="0" w:type="dxa"/>
            <w:left w:w="0" w:type="dxa"/>
            <w:bottom w:w="0" w:type="dxa"/>
            <w:right w:w="0" w:type="dxa"/>
          </w:tblCellMar>
        </w:tblPrEx>
        <w:trPr>
          <w:trHeight w:val="300"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imes New Roman" w:hAnsi="Times New Roman" w:eastAsia="仿宋_GB2312" w:cs="Times New Roman"/>
                <w:color w:val="000000"/>
                <w:kern w:val="0"/>
                <w:sz w:val="21"/>
                <w:szCs w:val="21"/>
              </w:rPr>
            </w:pPr>
          </w:p>
        </w:tc>
        <w:tc>
          <w:tcPr>
            <w:tcW w:w="0" w:type="auto"/>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其中：当年财政拨款　</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p>
        </w:tc>
        <w:tc>
          <w:tcPr>
            <w:tcW w:w="0" w:type="auto"/>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855</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855</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p>
        </w:tc>
        <w:tc>
          <w:tcPr>
            <w:tcW w:w="0" w:type="auto"/>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100%</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p>
        </w:tc>
      </w:tr>
      <w:tr>
        <w:tblPrEx>
          <w:tblCellMar>
            <w:top w:w="0" w:type="dxa"/>
            <w:left w:w="0" w:type="dxa"/>
            <w:bottom w:w="0" w:type="dxa"/>
            <w:right w:w="0" w:type="dxa"/>
          </w:tblCellMar>
        </w:tblPrEx>
        <w:trPr>
          <w:trHeight w:val="300"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imes New Roman" w:hAnsi="Times New Roman" w:eastAsia="仿宋_GB2312" w:cs="Times New Roman"/>
                <w:color w:val="000000"/>
                <w:kern w:val="0"/>
                <w:sz w:val="21"/>
                <w:szCs w:val="21"/>
              </w:rPr>
            </w:pPr>
          </w:p>
        </w:tc>
        <w:tc>
          <w:tcPr>
            <w:tcW w:w="0" w:type="auto"/>
            <w:gridSpan w:val="2"/>
            <w:tcBorders>
              <w:top w:val="single" w:color="auto" w:sz="4" w:space="0"/>
              <w:left w:val="single" w:color="auto" w:sz="4" w:space="0"/>
              <w:bottom w:val="single" w:color="auto" w:sz="4" w:space="0"/>
              <w:right w:val="single" w:color="auto" w:sz="4" w:space="0"/>
            </w:tcBorders>
            <w:shd w:val="clear" w:color="auto" w:fill="auto"/>
            <w:tcMar>
              <w:top w:w="15" w:type="dxa"/>
              <w:left w:w="12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上年结转资金　</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p>
        </w:tc>
        <w:tc>
          <w:tcPr>
            <w:tcW w:w="0" w:type="auto"/>
            <w:tcBorders>
              <w:top w:val="single" w:color="auto" w:sz="4" w:space="0"/>
              <w:left w:val="single" w:color="auto" w:sz="4" w:space="0"/>
              <w:bottom w:val="single" w:color="auto" w:sz="4" w:space="0"/>
              <w:right w:val="single" w:color="auto" w:sz="4" w:space="0"/>
            </w:tcBorders>
            <w:shd w:val="clear" w:color="auto" w:fill="auto"/>
            <w:tcMar>
              <w:top w:w="15" w:type="dxa"/>
              <w:left w:w="1215"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p>
        </w:tc>
        <w:tc>
          <w:tcPr>
            <w:tcW w:w="0" w:type="auto"/>
            <w:tcBorders>
              <w:top w:val="single" w:color="auto" w:sz="4" w:space="0"/>
              <w:left w:val="single" w:color="auto" w:sz="4" w:space="0"/>
              <w:bottom w:val="single" w:color="auto" w:sz="4" w:space="0"/>
              <w:right w:val="single" w:color="auto" w:sz="4" w:space="0"/>
            </w:tcBorders>
            <w:shd w:val="clear" w:color="auto" w:fill="auto"/>
            <w:tcMar>
              <w:top w:w="15" w:type="dxa"/>
              <w:left w:w="1215"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p>
        </w:tc>
        <w:tc>
          <w:tcPr>
            <w:tcW w:w="0" w:type="auto"/>
            <w:tcBorders>
              <w:top w:val="single" w:color="auto" w:sz="4" w:space="0"/>
              <w:left w:val="single" w:color="auto" w:sz="4" w:space="0"/>
              <w:bottom w:val="single" w:color="auto" w:sz="4" w:space="0"/>
              <w:right w:val="single" w:color="auto" w:sz="4" w:space="0"/>
            </w:tcBorders>
            <w:shd w:val="clear" w:color="auto" w:fill="auto"/>
            <w:tcMar>
              <w:top w:w="15" w:type="dxa"/>
              <w:left w:w="1215"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p>
        </w:tc>
        <w:tc>
          <w:tcPr>
            <w:tcW w:w="0" w:type="auto"/>
            <w:tcBorders>
              <w:top w:val="single" w:color="auto" w:sz="4" w:space="0"/>
              <w:left w:val="single" w:color="auto" w:sz="4" w:space="0"/>
              <w:bottom w:val="single" w:color="auto" w:sz="4" w:space="0"/>
              <w:right w:val="single" w:color="auto" w:sz="4" w:space="0"/>
            </w:tcBorders>
            <w:shd w:val="clear" w:color="auto" w:fill="auto"/>
            <w:tcMar>
              <w:top w:w="15" w:type="dxa"/>
              <w:left w:w="1215"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p>
        </w:tc>
        <w:tc>
          <w:tcPr>
            <w:tcW w:w="0" w:type="auto"/>
            <w:tcBorders>
              <w:top w:val="single" w:color="auto" w:sz="4" w:space="0"/>
              <w:left w:val="single" w:color="auto" w:sz="4" w:space="0"/>
              <w:bottom w:val="single" w:color="auto" w:sz="4" w:space="0"/>
              <w:right w:val="single" w:color="auto" w:sz="4" w:space="0"/>
            </w:tcBorders>
            <w:shd w:val="clear" w:color="auto" w:fill="auto"/>
            <w:tcMar>
              <w:top w:w="15" w:type="dxa"/>
              <w:left w:w="1215"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p>
        </w:tc>
      </w:tr>
      <w:tr>
        <w:tblPrEx>
          <w:tblCellMar>
            <w:top w:w="0" w:type="dxa"/>
            <w:left w:w="0" w:type="dxa"/>
            <w:bottom w:w="0" w:type="dxa"/>
            <w:right w:w="0" w:type="dxa"/>
          </w:tblCellMar>
        </w:tblPrEx>
        <w:trPr>
          <w:trHeight w:val="300"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imes New Roman" w:hAnsi="Times New Roman" w:eastAsia="仿宋_GB2312" w:cs="Times New Roman"/>
                <w:color w:val="000000"/>
                <w:kern w:val="0"/>
                <w:sz w:val="21"/>
                <w:szCs w:val="21"/>
              </w:rPr>
            </w:pPr>
          </w:p>
        </w:tc>
        <w:tc>
          <w:tcPr>
            <w:tcW w:w="0" w:type="auto"/>
            <w:gridSpan w:val="2"/>
            <w:tcBorders>
              <w:top w:val="single" w:color="auto" w:sz="4" w:space="0"/>
              <w:left w:val="single" w:color="auto" w:sz="4" w:space="0"/>
              <w:bottom w:val="single" w:color="auto" w:sz="4" w:space="0"/>
              <w:right w:val="single" w:color="auto" w:sz="4" w:space="0"/>
            </w:tcBorders>
            <w:shd w:val="clear" w:color="auto" w:fill="auto"/>
            <w:tcMar>
              <w:top w:w="15" w:type="dxa"/>
              <w:left w:w="12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其他资金</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p>
        </w:tc>
        <w:tc>
          <w:tcPr>
            <w:tcW w:w="0" w:type="auto"/>
            <w:tcBorders>
              <w:top w:val="single" w:color="auto" w:sz="4" w:space="0"/>
              <w:left w:val="single" w:color="auto" w:sz="4" w:space="0"/>
              <w:bottom w:val="single" w:color="auto" w:sz="4" w:space="0"/>
              <w:right w:val="single" w:color="auto" w:sz="4" w:space="0"/>
            </w:tcBorders>
            <w:shd w:val="clear" w:color="auto" w:fill="auto"/>
            <w:tcMar>
              <w:top w:w="15" w:type="dxa"/>
              <w:left w:w="1215"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p>
        </w:tc>
        <w:tc>
          <w:tcPr>
            <w:tcW w:w="0" w:type="auto"/>
            <w:tcBorders>
              <w:top w:val="single" w:color="auto" w:sz="4" w:space="0"/>
              <w:left w:val="single" w:color="auto" w:sz="4" w:space="0"/>
              <w:bottom w:val="single" w:color="auto" w:sz="4" w:space="0"/>
              <w:right w:val="single" w:color="auto" w:sz="4" w:space="0"/>
            </w:tcBorders>
            <w:shd w:val="clear" w:color="auto" w:fill="auto"/>
            <w:tcMar>
              <w:top w:w="15" w:type="dxa"/>
              <w:left w:w="1215"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p>
        </w:tc>
        <w:tc>
          <w:tcPr>
            <w:tcW w:w="0" w:type="auto"/>
            <w:tcBorders>
              <w:top w:val="single" w:color="auto" w:sz="4" w:space="0"/>
              <w:left w:val="single" w:color="auto" w:sz="4" w:space="0"/>
              <w:bottom w:val="single" w:color="auto" w:sz="4" w:space="0"/>
              <w:right w:val="single" w:color="auto" w:sz="4" w:space="0"/>
            </w:tcBorders>
            <w:shd w:val="clear" w:color="auto" w:fill="auto"/>
            <w:tcMar>
              <w:top w:w="15" w:type="dxa"/>
              <w:left w:w="1215"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p>
        </w:tc>
        <w:tc>
          <w:tcPr>
            <w:tcW w:w="0" w:type="auto"/>
            <w:tcBorders>
              <w:top w:val="single" w:color="auto" w:sz="4" w:space="0"/>
              <w:left w:val="single" w:color="auto" w:sz="4" w:space="0"/>
              <w:bottom w:val="single" w:color="auto" w:sz="4" w:space="0"/>
              <w:right w:val="single" w:color="auto" w:sz="4" w:space="0"/>
            </w:tcBorders>
            <w:shd w:val="clear" w:color="auto" w:fill="auto"/>
            <w:tcMar>
              <w:top w:w="15" w:type="dxa"/>
              <w:left w:w="1215"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p>
        </w:tc>
        <w:tc>
          <w:tcPr>
            <w:tcW w:w="0" w:type="auto"/>
            <w:tcBorders>
              <w:top w:val="single" w:color="auto" w:sz="4" w:space="0"/>
              <w:left w:val="single" w:color="auto" w:sz="4" w:space="0"/>
              <w:bottom w:val="single" w:color="auto" w:sz="4" w:space="0"/>
              <w:right w:val="single" w:color="auto" w:sz="4" w:space="0"/>
            </w:tcBorders>
            <w:shd w:val="clear" w:color="auto" w:fill="auto"/>
            <w:tcMar>
              <w:top w:w="15" w:type="dxa"/>
              <w:left w:w="1215"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p>
        </w:tc>
      </w:tr>
      <w:tr>
        <w:tblPrEx>
          <w:tblCellMar>
            <w:top w:w="0" w:type="dxa"/>
            <w:left w:w="0" w:type="dxa"/>
            <w:bottom w:w="0" w:type="dxa"/>
            <w:right w:w="0" w:type="dxa"/>
          </w:tblCellMar>
        </w:tblPrEx>
        <w:trPr>
          <w:trHeight w:val="300" w:hRule="atLeast"/>
        </w:trPr>
        <w:tc>
          <w:tcPr>
            <w:tcW w:w="0" w:type="auto"/>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年度总体目标</w:t>
            </w:r>
          </w:p>
        </w:tc>
        <w:tc>
          <w:tcPr>
            <w:tcW w:w="0" w:type="auto"/>
            <w:gridSpan w:val="4"/>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预期目标</w:t>
            </w:r>
          </w:p>
        </w:tc>
        <w:tc>
          <w:tcPr>
            <w:tcW w:w="0" w:type="auto"/>
            <w:gridSpan w:val="4"/>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实际完成情况　</w:t>
            </w:r>
          </w:p>
        </w:tc>
      </w:tr>
      <w:tr>
        <w:tblPrEx>
          <w:tblCellMar>
            <w:top w:w="0" w:type="dxa"/>
            <w:left w:w="0" w:type="dxa"/>
            <w:bottom w:w="0" w:type="dxa"/>
            <w:right w:w="0" w:type="dxa"/>
          </w:tblCellMar>
        </w:tblPrEx>
        <w:trPr>
          <w:trHeight w:val="720"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imes New Roman" w:hAnsi="Times New Roman" w:eastAsia="仿宋_GB2312" w:cs="Times New Roman"/>
                <w:color w:val="000000"/>
                <w:kern w:val="0"/>
                <w:sz w:val="21"/>
                <w:szCs w:val="21"/>
              </w:rPr>
            </w:pPr>
          </w:p>
        </w:tc>
        <w:tc>
          <w:tcPr>
            <w:tcW w:w="0" w:type="auto"/>
            <w:gridSpan w:val="4"/>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　永久耕地保有量33.19，耕地恢复2930亩，耕地净增加面积168.86亩</w:t>
            </w:r>
          </w:p>
        </w:tc>
        <w:tc>
          <w:tcPr>
            <w:tcW w:w="0" w:type="auto"/>
            <w:gridSpan w:val="4"/>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　永久耕地保有量33.19，耕地恢复2039.8亩，耕地净增加面积168.86亩</w:t>
            </w:r>
          </w:p>
        </w:tc>
      </w:tr>
      <w:tr>
        <w:tblPrEx>
          <w:tblCellMar>
            <w:top w:w="0" w:type="dxa"/>
            <w:left w:w="0" w:type="dxa"/>
            <w:bottom w:w="0" w:type="dxa"/>
            <w:right w:w="0" w:type="dxa"/>
          </w:tblCellMar>
        </w:tblPrEx>
        <w:trPr>
          <w:trHeight w:val="300" w:hRule="atLeast"/>
        </w:trPr>
        <w:tc>
          <w:tcPr>
            <w:tcW w:w="0" w:type="auto"/>
            <w:vMerge w:val="restart"/>
            <w:tcBorders>
              <w:top w:val="single" w:color="auto" w:sz="4" w:space="0"/>
              <w:left w:val="single" w:color="auto" w:sz="4" w:space="0"/>
              <w:bottom w:val="nil"/>
              <w:right w:val="single" w:color="auto" w:sz="4" w:space="0"/>
            </w:tcBorders>
            <w:shd w:val="clear" w:color="auto" w:fill="auto"/>
            <w:noWrap/>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绩效指标</w:t>
            </w:r>
          </w:p>
        </w:tc>
        <w:tc>
          <w:tcPr>
            <w:tcW w:w="0" w:type="auto"/>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一级指标</w:t>
            </w:r>
          </w:p>
        </w:tc>
        <w:tc>
          <w:tcPr>
            <w:tcW w:w="0" w:type="auto"/>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二级指标</w:t>
            </w:r>
          </w:p>
        </w:tc>
        <w:tc>
          <w:tcPr>
            <w:tcW w:w="0" w:type="auto"/>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三级指标</w:t>
            </w:r>
          </w:p>
        </w:tc>
        <w:tc>
          <w:tcPr>
            <w:tcW w:w="0" w:type="auto"/>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年度指标值</w:t>
            </w:r>
          </w:p>
        </w:tc>
        <w:tc>
          <w:tcPr>
            <w:tcW w:w="0" w:type="auto"/>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实际完成值</w:t>
            </w:r>
          </w:p>
        </w:tc>
        <w:tc>
          <w:tcPr>
            <w:tcW w:w="0" w:type="auto"/>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分值</w:t>
            </w:r>
          </w:p>
        </w:tc>
        <w:tc>
          <w:tcPr>
            <w:tcW w:w="0" w:type="auto"/>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得分</w:t>
            </w:r>
          </w:p>
        </w:tc>
        <w:tc>
          <w:tcPr>
            <w:tcW w:w="0" w:type="auto"/>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偏差原因分析及改进措施</w:t>
            </w:r>
          </w:p>
        </w:tc>
      </w:tr>
      <w:tr>
        <w:tblPrEx>
          <w:tblCellMar>
            <w:top w:w="0" w:type="dxa"/>
            <w:left w:w="0" w:type="dxa"/>
            <w:bottom w:w="0" w:type="dxa"/>
            <w:right w:w="0" w:type="dxa"/>
          </w:tblCellMar>
        </w:tblPrEx>
        <w:trPr>
          <w:trHeight w:val="270" w:hRule="atLeast"/>
        </w:trPr>
        <w:tc>
          <w:tcPr>
            <w:tcW w:w="0" w:type="auto"/>
            <w:vMerge w:val="continue"/>
            <w:tcBorders>
              <w:top w:val="single" w:color="auto" w:sz="4" w:space="0"/>
              <w:left w:val="single" w:color="auto" w:sz="4" w:space="0"/>
              <w:bottom w:val="nil"/>
              <w:right w:val="single" w:color="auto" w:sz="4" w:space="0"/>
            </w:tcBorders>
            <w:vAlign w:val="center"/>
          </w:tcPr>
          <w:p>
            <w:pPr>
              <w:widowControl/>
              <w:spacing w:line="260" w:lineRule="exact"/>
              <w:jc w:val="center"/>
              <w:rPr>
                <w:rFonts w:ascii="Times New Roman" w:hAnsi="Times New Roman" w:eastAsia="仿宋_GB2312" w:cs="Times New Roman"/>
                <w:color w:val="000000"/>
                <w:kern w:val="0"/>
                <w:sz w:val="21"/>
                <w:szCs w:val="21"/>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imes New Roman" w:hAnsi="Times New Roman" w:eastAsia="仿宋_GB2312" w:cs="Times New Roman"/>
                <w:color w:val="000000"/>
                <w:kern w:val="0"/>
                <w:sz w:val="21"/>
                <w:szCs w:val="21"/>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imes New Roman" w:hAnsi="Times New Roman" w:eastAsia="仿宋_GB2312" w:cs="Times New Roman"/>
                <w:color w:val="000000"/>
                <w:kern w:val="0"/>
                <w:sz w:val="21"/>
                <w:szCs w:val="21"/>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imes New Roman" w:hAnsi="Times New Roman" w:eastAsia="仿宋_GB2312" w:cs="Times New Roman"/>
                <w:color w:val="000000"/>
                <w:kern w:val="0"/>
                <w:sz w:val="21"/>
                <w:szCs w:val="21"/>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imes New Roman" w:hAnsi="Times New Roman" w:eastAsia="仿宋_GB2312" w:cs="Times New Roman"/>
                <w:color w:val="000000"/>
                <w:kern w:val="0"/>
                <w:sz w:val="21"/>
                <w:szCs w:val="21"/>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imes New Roman" w:hAnsi="Times New Roman" w:eastAsia="仿宋_GB2312" w:cs="Times New Roman"/>
                <w:color w:val="000000"/>
                <w:kern w:val="0"/>
                <w:sz w:val="21"/>
                <w:szCs w:val="21"/>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imes New Roman" w:hAnsi="Times New Roman" w:eastAsia="仿宋_GB2312" w:cs="Times New Roman"/>
                <w:color w:val="000000"/>
                <w:kern w:val="0"/>
                <w:sz w:val="21"/>
                <w:szCs w:val="21"/>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imes New Roman" w:hAnsi="Times New Roman" w:eastAsia="仿宋_GB2312" w:cs="Times New Roman"/>
                <w:color w:val="000000"/>
                <w:kern w:val="0"/>
                <w:sz w:val="21"/>
                <w:szCs w:val="21"/>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imes New Roman" w:hAnsi="Times New Roman" w:eastAsia="仿宋_GB2312" w:cs="Times New Roman"/>
                <w:color w:val="000000"/>
                <w:kern w:val="0"/>
                <w:sz w:val="21"/>
                <w:szCs w:val="21"/>
              </w:rPr>
            </w:pPr>
          </w:p>
        </w:tc>
      </w:tr>
      <w:tr>
        <w:tblPrEx>
          <w:tblCellMar>
            <w:top w:w="0" w:type="dxa"/>
            <w:left w:w="0" w:type="dxa"/>
            <w:bottom w:w="0" w:type="dxa"/>
            <w:right w:w="0" w:type="dxa"/>
          </w:tblCellMar>
        </w:tblPrEx>
        <w:trPr>
          <w:trHeight w:val="270" w:hRule="atLeast"/>
        </w:trPr>
        <w:tc>
          <w:tcPr>
            <w:tcW w:w="0" w:type="auto"/>
            <w:vMerge w:val="continue"/>
            <w:tcBorders>
              <w:top w:val="single" w:color="auto" w:sz="4" w:space="0"/>
              <w:left w:val="single" w:color="auto" w:sz="4" w:space="0"/>
              <w:bottom w:val="nil"/>
              <w:right w:val="single" w:color="auto" w:sz="4" w:space="0"/>
            </w:tcBorders>
            <w:vAlign w:val="center"/>
          </w:tcPr>
          <w:p>
            <w:pPr>
              <w:widowControl/>
              <w:spacing w:line="260" w:lineRule="exact"/>
              <w:jc w:val="center"/>
              <w:rPr>
                <w:rFonts w:ascii="Times New Roman" w:hAnsi="Times New Roman" w:eastAsia="仿宋_GB2312" w:cs="Times New Roman"/>
                <w:color w:val="000000"/>
                <w:kern w:val="0"/>
                <w:sz w:val="21"/>
                <w:szCs w:val="21"/>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imes New Roman" w:hAnsi="Times New Roman" w:eastAsia="仿宋_GB2312" w:cs="Times New Roman"/>
                <w:color w:val="000000"/>
                <w:kern w:val="0"/>
                <w:sz w:val="21"/>
                <w:szCs w:val="21"/>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imes New Roman" w:hAnsi="Times New Roman" w:eastAsia="仿宋_GB2312" w:cs="Times New Roman"/>
                <w:color w:val="000000"/>
                <w:kern w:val="0"/>
                <w:sz w:val="21"/>
                <w:szCs w:val="21"/>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imes New Roman" w:hAnsi="Times New Roman" w:eastAsia="仿宋_GB2312" w:cs="Times New Roman"/>
                <w:color w:val="000000"/>
                <w:kern w:val="0"/>
                <w:sz w:val="21"/>
                <w:szCs w:val="21"/>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imes New Roman" w:hAnsi="Times New Roman" w:eastAsia="仿宋_GB2312" w:cs="Times New Roman"/>
                <w:color w:val="000000"/>
                <w:kern w:val="0"/>
                <w:sz w:val="21"/>
                <w:szCs w:val="21"/>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imes New Roman" w:hAnsi="Times New Roman" w:eastAsia="仿宋_GB2312" w:cs="Times New Roman"/>
                <w:color w:val="000000"/>
                <w:kern w:val="0"/>
                <w:sz w:val="21"/>
                <w:szCs w:val="21"/>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imes New Roman" w:hAnsi="Times New Roman" w:eastAsia="仿宋_GB2312" w:cs="Times New Roman"/>
                <w:color w:val="000000"/>
                <w:kern w:val="0"/>
                <w:sz w:val="21"/>
                <w:szCs w:val="21"/>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imes New Roman" w:hAnsi="Times New Roman" w:eastAsia="仿宋_GB2312" w:cs="Times New Roman"/>
                <w:color w:val="000000"/>
                <w:kern w:val="0"/>
                <w:sz w:val="21"/>
                <w:szCs w:val="21"/>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imes New Roman" w:hAnsi="Times New Roman" w:eastAsia="仿宋_GB2312" w:cs="Times New Roman"/>
                <w:color w:val="000000"/>
                <w:kern w:val="0"/>
                <w:sz w:val="21"/>
                <w:szCs w:val="21"/>
              </w:rPr>
            </w:pPr>
          </w:p>
        </w:tc>
      </w:tr>
      <w:tr>
        <w:tblPrEx>
          <w:tblCellMar>
            <w:top w:w="0" w:type="dxa"/>
            <w:left w:w="0" w:type="dxa"/>
            <w:bottom w:w="0" w:type="dxa"/>
            <w:right w:w="0" w:type="dxa"/>
          </w:tblCellMar>
        </w:tblPrEx>
        <w:trPr>
          <w:trHeight w:val="480" w:hRule="atLeast"/>
        </w:trPr>
        <w:tc>
          <w:tcPr>
            <w:tcW w:w="0" w:type="auto"/>
            <w:vMerge w:val="continue"/>
            <w:tcBorders>
              <w:top w:val="single" w:color="auto" w:sz="4" w:space="0"/>
              <w:left w:val="single" w:color="auto" w:sz="4" w:space="0"/>
              <w:bottom w:val="nil"/>
              <w:right w:val="single" w:color="auto" w:sz="4" w:space="0"/>
            </w:tcBorders>
            <w:vAlign w:val="center"/>
          </w:tcPr>
          <w:p>
            <w:pPr>
              <w:widowControl/>
              <w:spacing w:line="260" w:lineRule="exact"/>
              <w:jc w:val="center"/>
              <w:rPr>
                <w:rFonts w:ascii="Times New Roman" w:hAnsi="Times New Roman" w:eastAsia="仿宋_GB2312" w:cs="Times New Roman"/>
                <w:color w:val="000000"/>
                <w:kern w:val="0"/>
                <w:sz w:val="21"/>
                <w:szCs w:val="21"/>
              </w:rPr>
            </w:pPr>
          </w:p>
        </w:tc>
        <w:tc>
          <w:tcPr>
            <w:tcW w:w="0" w:type="auto"/>
            <w:vMerge w:val="restart"/>
            <w:tcBorders>
              <w:top w:val="single" w:color="auto" w:sz="4" w:space="0"/>
              <w:left w:val="single" w:color="auto" w:sz="4" w:space="0"/>
              <w:bottom w:val="nil"/>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产出指标(60分)</w:t>
            </w:r>
          </w:p>
        </w:tc>
        <w:tc>
          <w:tcPr>
            <w:tcW w:w="0" w:type="auto"/>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数量指标</w:t>
            </w:r>
          </w:p>
        </w:tc>
        <w:tc>
          <w:tcPr>
            <w:tcW w:w="0" w:type="auto"/>
            <w:tcBorders>
              <w:top w:val="single" w:color="auto" w:sz="4" w:space="0"/>
              <w:left w:val="single" w:color="auto" w:sz="4" w:space="0"/>
              <w:bottom w:val="single" w:color="auto" w:sz="4" w:space="0"/>
              <w:right w:val="nil"/>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耕地净增加面积</w:t>
            </w:r>
          </w:p>
        </w:tc>
        <w:tc>
          <w:tcPr>
            <w:tcW w:w="0" w:type="auto"/>
            <w:tcBorders>
              <w:top w:val="single" w:color="auto" w:sz="4" w:space="0"/>
              <w:left w:val="single" w:color="auto" w:sz="4" w:space="0"/>
              <w:bottom w:val="single" w:color="auto" w:sz="4" w:space="0"/>
              <w:right w:val="nil"/>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168.86亩</w:t>
            </w:r>
          </w:p>
        </w:tc>
        <w:tc>
          <w:tcPr>
            <w:tcW w:w="0" w:type="auto"/>
            <w:tcBorders>
              <w:top w:val="single" w:color="auto" w:sz="4" w:space="0"/>
              <w:left w:val="single" w:color="auto" w:sz="4" w:space="0"/>
              <w:bottom w:val="single" w:color="auto" w:sz="4" w:space="0"/>
              <w:right w:val="nil"/>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168.86亩</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10</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10</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p>
        </w:tc>
      </w:tr>
      <w:tr>
        <w:tblPrEx>
          <w:tblCellMar>
            <w:top w:w="0" w:type="dxa"/>
            <w:left w:w="0" w:type="dxa"/>
            <w:bottom w:w="0" w:type="dxa"/>
            <w:right w:w="0" w:type="dxa"/>
          </w:tblCellMar>
        </w:tblPrEx>
        <w:trPr>
          <w:trHeight w:val="480" w:hRule="atLeast"/>
        </w:trPr>
        <w:tc>
          <w:tcPr>
            <w:tcW w:w="0" w:type="auto"/>
            <w:vMerge w:val="continue"/>
            <w:tcBorders>
              <w:top w:val="single" w:color="auto" w:sz="4" w:space="0"/>
              <w:left w:val="single" w:color="auto" w:sz="4" w:space="0"/>
              <w:bottom w:val="nil"/>
              <w:right w:val="single" w:color="auto" w:sz="4" w:space="0"/>
            </w:tcBorders>
            <w:vAlign w:val="center"/>
          </w:tcPr>
          <w:p>
            <w:pPr>
              <w:widowControl/>
              <w:spacing w:line="260" w:lineRule="exact"/>
              <w:jc w:val="center"/>
              <w:rPr>
                <w:rFonts w:ascii="Times New Roman" w:hAnsi="Times New Roman" w:eastAsia="仿宋_GB2312" w:cs="Times New Roman"/>
                <w:color w:val="000000"/>
                <w:kern w:val="0"/>
                <w:sz w:val="21"/>
                <w:szCs w:val="21"/>
              </w:rPr>
            </w:pPr>
          </w:p>
        </w:tc>
        <w:tc>
          <w:tcPr>
            <w:tcW w:w="0" w:type="auto"/>
            <w:vMerge w:val="continue"/>
            <w:tcBorders>
              <w:top w:val="single" w:color="auto" w:sz="4" w:space="0"/>
              <w:left w:val="single" w:color="auto" w:sz="4" w:space="0"/>
              <w:bottom w:val="nil"/>
              <w:right w:val="single" w:color="auto" w:sz="4" w:space="0"/>
            </w:tcBorders>
            <w:vAlign w:val="center"/>
          </w:tcPr>
          <w:p>
            <w:pPr>
              <w:widowControl/>
              <w:spacing w:line="260" w:lineRule="exact"/>
              <w:jc w:val="center"/>
              <w:rPr>
                <w:rFonts w:ascii="Times New Roman" w:hAnsi="Times New Roman" w:eastAsia="仿宋_GB2312" w:cs="Times New Roman"/>
                <w:color w:val="000000"/>
                <w:kern w:val="0"/>
                <w:sz w:val="21"/>
                <w:szCs w:val="21"/>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imes New Roman" w:hAnsi="Times New Roman" w:eastAsia="仿宋_GB2312" w:cs="Times New Roman"/>
                <w:color w:val="000000"/>
                <w:kern w:val="0"/>
                <w:sz w:val="21"/>
                <w:szCs w:val="21"/>
              </w:rPr>
            </w:pPr>
          </w:p>
        </w:tc>
        <w:tc>
          <w:tcPr>
            <w:tcW w:w="0" w:type="auto"/>
            <w:tcBorders>
              <w:top w:val="single" w:color="auto" w:sz="4" w:space="0"/>
              <w:left w:val="single" w:color="auto" w:sz="4" w:space="0"/>
              <w:bottom w:val="single" w:color="auto" w:sz="4" w:space="0"/>
              <w:right w:val="nil"/>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永久基本农田保有量</w:t>
            </w:r>
          </w:p>
        </w:tc>
        <w:tc>
          <w:tcPr>
            <w:tcW w:w="0" w:type="auto"/>
            <w:tcBorders>
              <w:top w:val="single" w:color="auto" w:sz="4" w:space="0"/>
              <w:left w:val="single" w:color="auto" w:sz="4" w:space="0"/>
              <w:bottom w:val="single" w:color="auto" w:sz="4" w:space="0"/>
              <w:right w:val="nil"/>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33.19万亩</w:t>
            </w:r>
          </w:p>
        </w:tc>
        <w:tc>
          <w:tcPr>
            <w:tcW w:w="0" w:type="auto"/>
            <w:tcBorders>
              <w:top w:val="single" w:color="auto" w:sz="4" w:space="0"/>
              <w:left w:val="single" w:color="auto" w:sz="4" w:space="0"/>
              <w:bottom w:val="single" w:color="auto" w:sz="4" w:space="0"/>
              <w:right w:val="nil"/>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33.19万亩</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10</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10</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p>
        </w:tc>
      </w:tr>
      <w:tr>
        <w:tblPrEx>
          <w:tblCellMar>
            <w:top w:w="0" w:type="dxa"/>
            <w:left w:w="0" w:type="dxa"/>
            <w:bottom w:w="0" w:type="dxa"/>
            <w:right w:w="0" w:type="dxa"/>
          </w:tblCellMar>
        </w:tblPrEx>
        <w:trPr>
          <w:trHeight w:val="1200" w:hRule="atLeast"/>
        </w:trPr>
        <w:tc>
          <w:tcPr>
            <w:tcW w:w="0" w:type="auto"/>
            <w:vMerge w:val="continue"/>
            <w:tcBorders>
              <w:top w:val="single" w:color="auto" w:sz="4" w:space="0"/>
              <w:left w:val="single" w:color="auto" w:sz="4" w:space="0"/>
              <w:bottom w:val="nil"/>
              <w:right w:val="single" w:color="auto" w:sz="4" w:space="0"/>
            </w:tcBorders>
            <w:vAlign w:val="center"/>
          </w:tcPr>
          <w:p>
            <w:pPr>
              <w:widowControl/>
              <w:spacing w:line="260" w:lineRule="exact"/>
              <w:jc w:val="center"/>
              <w:rPr>
                <w:rFonts w:ascii="Times New Roman" w:hAnsi="Times New Roman" w:eastAsia="仿宋_GB2312" w:cs="Times New Roman"/>
                <w:color w:val="000000"/>
                <w:kern w:val="0"/>
                <w:sz w:val="21"/>
                <w:szCs w:val="21"/>
              </w:rPr>
            </w:pPr>
          </w:p>
        </w:tc>
        <w:tc>
          <w:tcPr>
            <w:tcW w:w="0" w:type="auto"/>
            <w:vMerge w:val="continue"/>
            <w:tcBorders>
              <w:top w:val="single" w:color="auto" w:sz="4" w:space="0"/>
              <w:left w:val="single" w:color="auto" w:sz="4" w:space="0"/>
              <w:bottom w:val="nil"/>
              <w:right w:val="single" w:color="auto" w:sz="4" w:space="0"/>
            </w:tcBorders>
            <w:vAlign w:val="center"/>
          </w:tcPr>
          <w:p>
            <w:pPr>
              <w:widowControl/>
              <w:spacing w:line="260" w:lineRule="exact"/>
              <w:jc w:val="center"/>
              <w:rPr>
                <w:rFonts w:ascii="Times New Roman" w:hAnsi="Times New Roman" w:eastAsia="仿宋_GB2312" w:cs="Times New Roman"/>
                <w:color w:val="000000"/>
                <w:kern w:val="0"/>
                <w:sz w:val="21"/>
                <w:szCs w:val="21"/>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imes New Roman" w:hAnsi="Times New Roman" w:eastAsia="仿宋_GB2312" w:cs="Times New Roman"/>
                <w:color w:val="000000"/>
                <w:kern w:val="0"/>
                <w:sz w:val="21"/>
                <w:szCs w:val="21"/>
              </w:rPr>
            </w:pPr>
          </w:p>
        </w:tc>
        <w:tc>
          <w:tcPr>
            <w:tcW w:w="0" w:type="auto"/>
            <w:tcBorders>
              <w:top w:val="single" w:color="auto" w:sz="4" w:space="0"/>
              <w:left w:val="single" w:color="auto" w:sz="4" w:space="0"/>
              <w:bottom w:val="single" w:color="auto" w:sz="4" w:space="0"/>
              <w:right w:val="nil"/>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耕地恢复任务</w:t>
            </w:r>
          </w:p>
        </w:tc>
        <w:tc>
          <w:tcPr>
            <w:tcW w:w="0" w:type="auto"/>
            <w:tcBorders>
              <w:top w:val="single" w:color="auto" w:sz="4" w:space="0"/>
              <w:left w:val="single" w:color="auto" w:sz="4" w:space="0"/>
              <w:bottom w:val="single" w:color="auto" w:sz="4" w:space="0"/>
              <w:right w:val="nil"/>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2930亩</w:t>
            </w:r>
          </w:p>
        </w:tc>
        <w:tc>
          <w:tcPr>
            <w:tcW w:w="0" w:type="auto"/>
            <w:tcBorders>
              <w:top w:val="single" w:color="auto" w:sz="4" w:space="0"/>
              <w:left w:val="single" w:color="auto" w:sz="4" w:space="0"/>
              <w:bottom w:val="single" w:color="auto" w:sz="4" w:space="0"/>
              <w:right w:val="nil"/>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2039.8亩</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10</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7</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主要属疫情影响，剩余地块在全力推进整改恢复</w:t>
            </w:r>
          </w:p>
        </w:tc>
      </w:tr>
      <w:tr>
        <w:tblPrEx>
          <w:tblCellMar>
            <w:top w:w="0" w:type="dxa"/>
            <w:left w:w="0" w:type="dxa"/>
            <w:bottom w:w="0" w:type="dxa"/>
            <w:right w:w="0" w:type="dxa"/>
          </w:tblCellMar>
        </w:tblPrEx>
        <w:trPr>
          <w:trHeight w:val="720" w:hRule="atLeast"/>
        </w:trPr>
        <w:tc>
          <w:tcPr>
            <w:tcW w:w="0" w:type="auto"/>
            <w:vMerge w:val="continue"/>
            <w:tcBorders>
              <w:top w:val="single" w:color="auto" w:sz="4" w:space="0"/>
              <w:left w:val="single" w:color="auto" w:sz="4" w:space="0"/>
              <w:bottom w:val="nil"/>
              <w:right w:val="single" w:color="auto" w:sz="4" w:space="0"/>
            </w:tcBorders>
            <w:vAlign w:val="center"/>
          </w:tcPr>
          <w:p>
            <w:pPr>
              <w:widowControl/>
              <w:spacing w:line="260" w:lineRule="exact"/>
              <w:jc w:val="center"/>
              <w:rPr>
                <w:rFonts w:ascii="Times New Roman" w:hAnsi="Times New Roman" w:eastAsia="仿宋_GB2312" w:cs="Times New Roman"/>
                <w:color w:val="000000"/>
                <w:kern w:val="0"/>
                <w:sz w:val="21"/>
                <w:szCs w:val="21"/>
              </w:rPr>
            </w:pPr>
          </w:p>
        </w:tc>
        <w:tc>
          <w:tcPr>
            <w:tcW w:w="0" w:type="auto"/>
            <w:vMerge w:val="continue"/>
            <w:tcBorders>
              <w:top w:val="single" w:color="auto" w:sz="4" w:space="0"/>
              <w:left w:val="single" w:color="auto" w:sz="4" w:space="0"/>
              <w:bottom w:val="nil"/>
              <w:right w:val="single" w:color="auto" w:sz="4" w:space="0"/>
            </w:tcBorders>
            <w:vAlign w:val="center"/>
          </w:tcPr>
          <w:p>
            <w:pPr>
              <w:widowControl/>
              <w:spacing w:line="260" w:lineRule="exact"/>
              <w:jc w:val="center"/>
              <w:rPr>
                <w:rFonts w:ascii="Times New Roman" w:hAnsi="Times New Roman" w:eastAsia="仿宋_GB2312" w:cs="Times New Roman"/>
                <w:color w:val="000000"/>
                <w:kern w:val="0"/>
                <w:sz w:val="21"/>
                <w:szCs w:val="21"/>
              </w:rPr>
            </w:pPr>
          </w:p>
        </w:tc>
        <w:tc>
          <w:tcPr>
            <w:tcW w:w="0" w:type="auto"/>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质量指标</w:t>
            </w:r>
          </w:p>
        </w:tc>
        <w:tc>
          <w:tcPr>
            <w:tcW w:w="0" w:type="auto"/>
            <w:tcBorders>
              <w:top w:val="single" w:color="auto" w:sz="4" w:space="0"/>
              <w:left w:val="single" w:color="auto" w:sz="4" w:space="0"/>
              <w:bottom w:val="single" w:color="auto" w:sz="4" w:space="0"/>
              <w:right w:val="nil"/>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符合耕地保护及土地整治指标要求</w:t>
            </w:r>
          </w:p>
        </w:tc>
        <w:tc>
          <w:tcPr>
            <w:tcW w:w="0" w:type="auto"/>
            <w:tcBorders>
              <w:top w:val="single" w:color="auto" w:sz="4" w:space="0"/>
              <w:left w:val="single" w:color="auto" w:sz="4" w:space="0"/>
              <w:bottom w:val="single" w:color="auto" w:sz="4" w:space="0"/>
              <w:right w:val="nil"/>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w:t>
            </w:r>
            <w:r>
              <w:rPr>
                <w:rFonts w:hint="eastAsia" w:ascii="Times New Roman" w:hAnsi="Times New Roman" w:eastAsia="仿宋_GB2312" w:cs="Times New Roman"/>
                <w:color w:val="000000"/>
                <w:kern w:val="0"/>
                <w:sz w:val="21"/>
                <w:szCs w:val="21"/>
              </w:rPr>
              <w:t>90%</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p>
        </w:tc>
        <w:tc>
          <w:tcPr>
            <w:tcW w:w="0" w:type="auto"/>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10</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6</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p>
        </w:tc>
      </w:tr>
      <w:tr>
        <w:tblPrEx>
          <w:tblCellMar>
            <w:top w:w="0" w:type="dxa"/>
            <w:left w:w="0" w:type="dxa"/>
            <w:bottom w:w="0" w:type="dxa"/>
            <w:right w:w="0" w:type="dxa"/>
          </w:tblCellMar>
        </w:tblPrEx>
        <w:trPr>
          <w:trHeight w:val="480" w:hRule="atLeast"/>
        </w:trPr>
        <w:tc>
          <w:tcPr>
            <w:tcW w:w="0" w:type="auto"/>
            <w:vMerge w:val="continue"/>
            <w:tcBorders>
              <w:top w:val="single" w:color="auto" w:sz="4" w:space="0"/>
              <w:left w:val="single" w:color="auto" w:sz="4" w:space="0"/>
              <w:bottom w:val="nil"/>
              <w:right w:val="single" w:color="auto" w:sz="4" w:space="0"/>
            </w:tcBorders>
            <w:vAlign w:val="center"/>
          </w:tcPr>
          <w:p>
            <w:pPr>
              <w:widowControl/>
              <w:spacing w:line="260" w:lineRule="exact"/>
              <w:jc w:val="center"/>
              <w:rPr>
                <w:rFonts w:ascii="Times New Roman" w:hAnsi="Times New Roman" w:eastAsia="仿宋_GB2312" w:cs="Times New Roman"/>
                <w:color w:val="000000"/>
                <w:kern w:val="0"/>
                <w:sz w:val="21"/>
                <w:szCs w:val="21"/>
              </w:rPr>
            </w:pPr>
          </w:p>
        </w:tc>
        <w:tc>
          <w:tcPr>
            <w:tcW w:w="0" w:type="auto"/>
            <w:vMerge w:val="continue"/>
            <w:tcBorders>
              <w:top w:val="single" w:color="auto" w:sz="4" w:space="0"/>
              <w:left w:val="single" w:color="auto" w:sz="4" w:space="0"/>
              <w:bottom w:val="nil"/>
              <w:right w:val="single" w:color="auto" w:sz="4" w:space="0"/>
            </w:tcBorders>
            <w:vAlign w:val="center"/>
          </w:tcPr>
          <w:p>
            <w:pPr>
              <w:widowControl/>
              <w:spacing w:line="260" w:lineRule="exact"/>
              <w:jc w:val="center"/>
              <w:rPr>
                <w:rFonts w:ascii="Times New Roman" w:hAnsi="Times New Roman" w:eastAsia="仿宋_GB2312" w:cs="Times New Roman"/>
                <w:color w:val="000000"/>
                <w:kern w:val="0"/>
                <w:sz w:val="21"/>
                <w:szCs w:val="21"/>
              </w:rPr>
            </w:pPr>
          </w:p>
        </w:tc>
        <w:tc>
          <w:tcPr>
            <w:tcW w:w="0" w:type="auto"/>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时效指标</w:t>
            </w:r>
          </w:p>
        </w:tc>
        <w:tc>
          <w:tcPr>
            <w:tcW w:w="0" w:type="auto"/>
            <w:tcBorders>
              <w:top w:val="single" w:color="auto" w:sz="4" w:space="0"/>
              <w:left w:val="single" w:color="auto" w:sz="4" w:space="0"/>
              <w:bottom w:val="single" w:color="auto" w:sz="4" w:space="0"/>
              <w:right w:val="nil"/>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完成目标任务</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100%</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100%</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10</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6</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主要属疫情影响</w:t>
            </w:r>
          </w:p>
        </w:tc>
      </w:tr>
      <w:tr>
        <w:tblPrEx>
          <w:tblCellMar>
            <w:top w:w="0" w:type="dxa"/>
            <w:left w:w="0" w:type="dxa"/>
            <w:bottom w:w="0" w:type="dxa"/>
            <w:right w:w="0" w:type="dxa"/>
          </w:tblCellMar>
        </w:tblPrEx>
        <w:trPr>
          <w:trHeight w:val="480" w:hRule="atLeast"/>
        </w:trPr>
        <w:tc>
          <w:tcPr>
            <w:tcW w:w="0" w:type="auto"/>
            <w:vMerge w:val="continue"/>
            <w:tcBorders>
              <w:top w:val="single" w:color="auto" w:sz="4" w:space="0"/>
              <w:left w:val="single" w:color="auto" w:sz="4" w:space="0"/>
              <w:bottom w:val="nil"/>
              <w:right w:val="single" w:color="auto" w:sz="4" w:space="0"/>
            </w:tcBorders>
            <w:vAlign w:val="center"/>
          </w:tcPr>
          <w:p>
            <w:pPr>
              <w:widowControl/>
              <w:spacing w:line="260" w:lineRule="exact"/>
              <w:jc w:val="center"/>
              <w:rPr>
                <w:rFonts w:ascii="Times New Roman" w:hAnsi="Times New Roman" w:eastAsia="仿宋_GB2312" w:cs="Times New Roman"/>
                <w:color w:val="000000"/>
                <w:kern w:val="0"/>
                <w:sz w:val="21"/>
                <w:szCs w:val="21"/>
              </w:rPr>
            </w:pPr>
          </w:p>
        </w:tc>
        <w:tc>
          <w:tcPr>
            <w:tcW w:w="0" w:type="auto"/>
            <w:vMerge w:val="continue"/>
            <w:tcBorders>
              <w:top w:val="single" w:color="auto" w:sz="4" w:space="0"/>
              <w:left w:val="single" w:color="auto" w:sz="4" w:space="0"/>
              <w:bottom w:val="nil"/>
              <w:right w:val="single" w:color="auto" w:sz="4" w:space="0"/>
            </w:tcBorders>
            <w:vAlign w:val="center"/>
          </w:tcPr>
          <w:p>
            <w:pPr>
              <w:widowControl/>
              <w:spacing w:line="260" w:lineRule="exact"/>
              <w:jc w:val="center"/>
              <w:rPr>
                <w:rFonts w:ascii="Times New Roman" w:hAnsi="Times New Roman" w:eastAsia="仿宋_GB2312" w:cs="Times New Roman"/>
                <w:color w:val="000000"/>
                <w:kern w:val="0"/>
                <w:sz w:val="21"/>
                <w:szCs w:val="21"/>
              </w:rPr>
            </w:pPr>
          </w:p>
        </w:tc>
        <w:tc>
          <w:tcPr>
            <w:tcW w:w="0" w:type="auto"/>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成本指标</w:t>
            </w:r>
          </w:p>
        </w:tc>
        <w:tc>
          <w:tcPr>
            <w:tcW w:w="0" w:type="auto"/>
            <w:tcBorders>
              <w:top w:val="single" w:color="auto" w:sz="4" w:space="0"/>
              <w:left w:val="single" w:color="auto" w:sz="4" w:space="0"/>
              <w:bottom w:val="single" w:color="auto" w:sz="4" w:space="0"/>
              <w:right w:val="nil"/>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规范且限额内支出</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855万</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855万</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10</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10</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p>
        </w:tc>
      </w:tr>
      <w:tr>
        <w:tblPrEx>
          <w:tblCellMar>
            <w:top w:w="0" w:type="dxa"/>
            <w:left w:w="0" w:type="dxa"/>
            <w:bottom w:w="0" w:type="dxa"/>
            <w:right w:w="0" w:type="dxa"/>
          </w:tblCellMar>
        </w:tblPrEx>
        <w:trPr>
          <w:trHeight w:val="480" w:hRule="atLeast"/>
        </w:trPr>
        <w:tc>
          <w:tcPr>
            <w:tcW w:w="0" w:type="auto"/>
            <w:vMerge w:val="continue"/>
            <w:tcBorders>
              <w:top w:val="single" w:color="auto" w:sz="4" w:space="0"/>
              <w:left w:val="single" w:color="auto" w:sz="4" w:space="0"/>
              <w:bottom w:val="nil"/>
              <w:right w:val="single" w:color="auto" w:sz="4" w:space="0"/>
            </w:tcBorders>
            <w:vAlign w:val="center"/>
          </w:tcPr>
          <w:p>
            <w:pPr>
              <w:widowControl/>
              <w:spacing w:line="260" w:lineRule="exact"/>
              <w:jc w:val="center"/>
              <w:rPr>
                <w:rFonts w:ascii="Times New Roman" w:hAnsi="Times New Roman" w:eastAsia="仿宋_GB2312" w:cs="Times New Roman"/>
                <w:color w:val="000000"/>
                <w:kern w:val="0"/>
                <w:sz w:val="21"/>
                <w:szCs w:val="21"/>
              </w:rPr>
            </w:pPr>
          </w:p>
        </w:tc>
        <w:tc>
          <w:tcPr>
            <w:tcW w:w="0" w:type="auto"/>
            <w:vMerge w:val="restart"/>
            <w:tcBorders>
              <w:top w:val="single" w:color="auto" w:sz="4" w:space="0"/>
              <w:left w:val="single" w:color="auto" w:sz="4" w:space="0"/>
              <w:bottom w:val="nil"/>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效益指标（32分）</w:t>
            </w:r>
          </w:p>
        </w:tc>
        <w:tc>
          <w:tcPr>
            <w:tcW w:w="0" w:type="auto"/>
            <w:tcBorders>
              <w:top w:val="single" w:color="auto" w:sz="4" w:space="0"/>
              <w:left w:val="single" w:color="auto" w:sz="4" w:space="0"/>
              <w:bottom w:val="nil"/>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经济效益</w:t>
            </w:r>
            <w:r>
              <w:rPr>
                <w:rFonts w:hint="eastAsia" w:ascii="Times New Roman" w:hAnsi="Times New Roman" w:eastAsia="仿宋_GB2312" w:cs="Times New Roman"/>
                <w:color w:val="000000"/>
                <w:kern w:val="0"/>
                <w:sz w:val="21"/>
                <w:szCs w:val="21"/>
              </w:rPr>
              <w:br w:type="textWrapping"/>
            </w:r>
            <w:r>
              <w:rPr>
                <w:rFonts w:hint="eastAsia" w:ascii="Times New Roman" w:hAnsi="Times New Roman" w:eastAsia="仿宋_GB2312" w:cs="Times New Roman"/>
                <w:color w:val="000000"/>
                <w:kern w:val="0"/>
                <w:sz w:val="21"/>
                <w:szCs w:val="21"/>
              </w:rPr>
              <w:t>指标</w:t>
            </w:r>
          </w:p>
        </w:tc>
        <w:tc>
          <w:tcPr>
            <w:tcW w:w="0" w:type="auto"/>
            <w:tcBorders>
              <w:top w:val="single" w:color="auto" w:sz="4" w:space="0"/>
              <w:left w:val="single" w:color="auto" w:sz="4" w:space="0"/>
              <w:bottom w:val="single" w:color="auto" w:sz="4" w:space="0"/>
              <w:right w:val="nil"/>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耕地占补平衡</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p>
        </w:tc>
        <w:tc>
          <w:tcPr>
            <w:tcW w:w="0" w:type="auto"/>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p>
        </w:tc>
        <w:tc>
          <w:tcPr>
            <w:tcW w:w="0" w:type="auto"/>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8</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8</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p>
        </w:tc>
      </w:tr>
      <w:tr>
        <w:tblPrEx>
          <w:tblCellMar>
            <w:top w:w="0" w:type="dxa"/>
            <w:left w:w="0" w:type="dxa"/>
            <w:bottom w:w="0" w:type="dxa"/>
            <w:right w:w="0" w:type="dxa"/>
          </w:tblCellMar>
        </w:tblPrEx>
        <w:trPr>
          <w:trHeight w:val="480" w:hRule="atLeast"/>
        </w:trPr>
        <w:tc>
          <w:tcPr>
            <w:tcW w:w="0" w:type="auto"/>
            <w:vMerge w:val="continue"/>
            <w:tcBorders>
              <w:top w:val="single" w:color="auto" w:sz="4" w:space="0"/>
              <w:left w:val="single" w:color="auto" w:sz="4" w:space="0"/>
              <w:bottom w:val="nil"/>
              <w:right w:val="single" w:color="auto" w:sz="4" w:space="0"/>
            </w:tcBorders>
            <w:vAlign w:val="center"/>
          </w:tcPr>
          <w:p>
            <w:pPr>
              <w:widowControl/>
              <w:spacing w:line="260" w:lineRule="exact"/>
              <w:jc w:val="center"/>
              <w:rPr>
                <w:rFonts w:ascii="Times New Roman" w:hAnsi="Times New Roman" w:eastAsia="仿宋_GB2312" w:cs="Times New Roman"/>
                <w:color w:val="000000"/>
                <w:kern w:val="0"/>
                <w:sz w:val="21"/>
                <w:szCs w:val="21"/>
              </w:rPr>
            </w:pPr>
          </w:p>
        </w:tc>
        <w:tc>
          <w:tcPr>
            <w:tcW w:w="0" w:type="auto"/>
            <w:vMerge w:val="continue"/>
            <w:tcBorders>
              <w:top w:val="single" w:color="auto" w:sz="4" w:space="0"/>
              <w:left w:val="single" w:color="auto" w:sz="4" w:space="0"/>
              <w:bottom w:val="nil"/>
              <w:right w:val="single" w:color="auto" w:sz="4" w:space="0"/>
            </w:tcBorders>
            <w:vAlign w:val="center"/>
          </w:tcPr>
          <w:p>
            <w:pPr>
              <w:widowControl/>
              <w:spacing w:line="260" w:lineRule="exact"/>
              <w:jc w:val="center"/>
              <w:rPr>
                <w:rFonts w:ascii="Times New Roman" w:hAnsi="Times New Roman" w:eastAsia="仿宋_GB2312" w:cs="Times New Roman"/>
                <w:color w:val="000000"/>
                <w:kern w:val="0"/>
                <w:sz w:val="21"/>
                <w:szCs w:val="21"/>
              </w:rPr>
            </w:pPr>
          </w:p>
        </w:tc>
        <w:tc>
          <w:tcPr>
            <w:tcW w:w="0" w:type="auto"/>
            <w:tcBorders>
              <w:top w:val="single" w:color="auto" w:sz="4" w:space="0"/>
              <w:left w:val="single" w:color="auto" w:sz="4" w:space="0"/>
              <w:bottom w:val="nil"/>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社会效益</w:t>
            </w:r>
            <w:r>
              <w:rPr>
                <w:rFonts w:hint="eastAsia" w:ascii="Times New Roman" w:hAnsi="Times New Roman" w:eastAsia="仿宋_GB2312" w:cs="Times New Roman"/>
                <w:color w:val="000000"/>
                <w:kern w:val="0"/>
                <w:sz w:val="21"/>
                <w:szCs w:val="21"/>
              </w:rPr>
              <w:br w:type="textWrapping"/>
            </w:r>
            <w:r>
              <w:rPr>
                <w:rFonts w:hint="eastAsia" w:ascii="Times New Roman" w:hAnsi="Times New Roman" w:eastAsia="仿宋_GB2312" w:cs="Times New Roman"/>
                <w:color w:val="000000"/>
                <w:kern w:val="0"/>
                <w:sz w:val="21"/>
                <w:szCs w:val="21"/>
              </w:rPr>
              <w:t>指标</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不断提升</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p>
        </w:tc>
        <w:tc>
          <w:tcPr>
            <w:tcW w:w="0" w:type="auto"/>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p>
        </w:tc>
        <w:tc>
          <w:tcPr>
            <w:tcW w:w="0" w:type="auto"/>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8</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8</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p>
        </w:tc>
      </w:tr>
      <w:tr>
        <w:tblPrEx>
          <w:tblCellMar>
            <w:top w:w="0" w:type="dxa"/>
            <w:left w:w="0" w:type="dxa"/>
            <w:bottom w:w="0" w:type="dxa"/>
            <w:right w:w="0" w:type="dxa"/>
          </w:tblCellMar>
        </w:tblPrEx>
        <w:trPr>
          <w:trHeight w:val="720" w:hRule="atLeast"/>
        </w:trPr>
        <w:tc>
          <w:tcPr>
            <w:tcW w:w="0" w:type="auto"/>
            <w:vMerge w:val="continue"/>
            <w:tcBorders>
              <w:top w:val="single" w:color="auto" w:sz="4" w:space="0"/>
              <w:left w:val="single" w:color="auto" w:sz="4" w:space="0"/>
              <w:bottom w:val="nil"/>
              <w:right w:val="single" w:color="auto" w:sz="4" w:space="0"/>
            </w:tcBorders>
            <w:vAlign w:val="center"/>
          </w:tcPr>
          <w:p>
            <w:pPr>
              <w:widowControl/>
              <w:spacing w:line="260" w:lineRule="exact"/>
              <w:jc w:val="center"/>
              <w:rPr>
                <w:rFonts w:ascii="Times New Roman" w:hAnsi="Times New Roman" w:eastAsia="仿宋_GB2312" w:cs="Times New Roman"/>
                <w:color w:val="000000"/>
                <w:kern w:val="0"/>
                <w:sz w:val="21"/>
                <w:szCs w:val="21"/>
              </w:rPr>
            </w:pPr>
          </w:p>
        </w:tc>
        <w:tc>
          <w:tcPr>
            <w:tcW w:w="0" w:type="auto"/>
            <w:vMerge w:val="continue"/>
            <w:tcBorders>
              <w:top w:val="single" w:color="auto" w:sz="4" w:space="0"/>
              <w:left w:val="single" w:color="auto" w:sz="4" w:space="0"/>
              <w:bottom w:val="nil"/>
              <w:right w:val="single" w:color="auto" w:sz="4" w:space="0"/>
            </w:tcBorders>
            <w:vAlign w:val="center"/>
          </w:tcPr>
          <w:p>
            <w:pPr>
              <w:widowControl/>
              <w:spacing w:line="260" w:lineRule="exact"/>
              <w:jc w:val="center"/>
              <w:rPr>
                <w:rFonts w:ascii="Times New Roman" w:hAnsi="Times New Roman" w:eastAsia="仿宋_GB2312" w:cs="Times New Roman"/>
                <w:color w:val="000000"/>
                <w:kern w:val="0"/>
                <w:sz w:val="21"/>
                <w:szCs w:val="21"/>
              </w:rPr>
            </w:pPr>
          </w:p>
        </w:tc>
        <w:tc>
          <w:tcPr>
            <w:tcW w:w="0" w:type="auto"/>
            <w:tcBorders>
              <w:top w:val="single" w:color="auto" w:sz="4" w:space="0"/>
              <w:left w:val="single" w:color="auto" w:sz="4" w:space="0"/>
              <w:bottom w:val="nil"/>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生态效益</w:t>
            </w:r>
            <w:r>
              <w:rPr>
                <w:rFonts w:hint="eastAsia" w:ascii="Times New Roman" w:hAnsi="Times New Roman" w:eastAsia="仿宋_GB2312" w:cs="Times New Roman"/>
                <w:color w:val="000000"/>
                <w:kern w:val="0"/>
                <w:sz w:val="21"/>
                <w:szCs w:val="21"/>
              </w:rPr>
              <w:br w:type="textWrapping"/>
            </w:r>
            <w:r>
              <w:rPr>
                <w:rFonts w:hint="eastAsia" w:ascii="Times New Roman" w:hAnsi="Times New Roman" w:eastAsia="仿宋_GB2312" w:cs="Times New Roman"/>
                <w:color w:val="000000"/>
                <w:kern w:val="0"/>
                <w:sz w:val="21"/>
                <w:szCs w:val="21"/>
              </w:rPr>
              <w:t>指标</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进一步减少对耕地的破坏</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p>
        </w:tc>
        <w:tc>
          <w:tcPr>
            <w:tcW w:w="0" w:type="auto"/>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p>
        </w:tc>
        <w:tc>
          <w:tcPr>
            <w:tcW w:w="0" w:type="auto"/>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8</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8</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p>
        </w:tc>
      </w:tr>
      <w:tr>
        <w:tblPrEx>
          <w:tblCellMar>
            <w:top w:w="0" w:type="dxa"/>
            <w:left w:w="0" w:type="dxa"/>
            <w:bottom w:w="0" w:type="dxa"/>
            <w:right w:w="0" w:type="dxa"/>
          </w:tblCellMar>
        </w:tblPrEx>
        <w:trPr>
          <w:trHeight w:val="480" w:hRule="atLeast"/>
        </w:trPr>
        <w:tc>
          <w:tcPr>
            <w:tcW w:w="0" w:type="auto"/>
            <w:vMerge w:val="continue"/>
            <w:tcBorders>
              <w:top w:val="single" w:color="auto" w:sz="4" w:space="0"/>
              <w:left w:val="single" w:color="auto" w:sz="4" w:space="0"/>
              <w:bottom w:val="nil"/>
              <w:right w:val="single" w:color="auto" w:sz="4" w:space="0"/>
            </w:tcBorders>
            <w:vAlign w:val="center"/>
          </w:tcPr>
          <w:p>
            <w:pPr>
              <w:widowControl/>
              <w:spacing w:line="260" w:lineRule="exact"/>
              <w:jc w:val="center"/>
              <w:rPr>
                <w:rFonts w:ascii="Times New Roman" w:hAnsi="Times New Roman" w:eastAsia="仿宋_GB2312" w:cs="Times New Roman"/>
                <w:color w:val="000000"/>
                <w:kern w:val="0"/>
                <w:sz w:val="21"/>
                <w:szCs w:val="21"/>
              </w:rPr>
            </w:pPr>
          </w:p>
        </w:tc>
        <w:tc>
          <w:tcPr>
            <w:tcW w:w="0" w:type="auto"/>
            <w:vMerge w:val="continue"/>
            <w:tcBorders>
              <w:top w:val="single" w:color="auto" w:sz="4" w:space="0"/>
              <w:left w:val="single" w:color="auto" w:sz="4" w:space="0"/>
              <w:bottom w:val="nil"/>
              <w:right w:val="single" w:color="auto" w:sz="4" w:space="0"/>
            </w:tcBorders>
            <w:vAlign w:val="center"/>
          </w:tcPr>
          <w:p>
            <w:pPr>
              <w:widowControl/>
              <w:spacing w:line="260" w:lineRule="exact"/>
              <w:jc w:val="center"/>
              <w:rPr>
                <w:rFonts w:ascii="Times New Roman" w:hAnsi="Times New Roman" w:eastAsia="仿宋_GB2312" w:cs="Times New Roman"/>
                <w:color w:val="000000"/>
                <w:kern w:val="0"/>
                <w:sz w:val="21"/>
                <w:szCs w:val="21"/>
              </w:rPr>
            </w:pPr>
          </w:p>
        </w:tc>
        <w:tc>
          <w:tcPr>
            <w:tcW w:w="0" w:type="auto"/>
            <w:tcBorders>
              <w:top w:val="single" w:color="auto" w:sz="4" w:space="0"/>
              <w:left w:val="single" w:color="auto" w:sz="4" w:space="0"/>
              <w:bottom w:val="nil"/>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可持续影响指标</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建立联动考核机制</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p>
        </w:tc>
        <w:tc>
          <w:tcPr>
            <w:tcW w:w="0" w:type="auto"/>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p>
        </w:tc>
        <w:tc>
          <w:tcPr>
            <w:tcW w:w="0" w:type="auto"/>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8</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8</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p>
        </w:tc>
      </w:tr>
      <w:tr>
        <w:tblPrEx>
          <w:tblCellMar>
            <w:top w:w="0" w:type="dxa"/>
            <w:left w:w="0" w:type="dxa"/>
            <w:bottom w:w="0" w:type="dxa"/>
            <w:right w:w="0" w:type="dxa"/>
          </w:tblCellMar>
        </w:tblPrEx>
        <w:trPr>
          <w:trHeight w:val="480" w:hRule="atLeast"/>
        </w:trPr>
        <w:tc>
          <w:tcPr>
            <w:tcW w:w="0" w:type="auto"/>
            <w:vMerge w:val="continue"/>
            <w:tcBorders>
              <w:top w:val="single" w:color="auto" w:sz="4" w:space="0"/>
              <w:left w:val="single" w:color="auto" w:sz="4" w:space="0"/>
              <w:bottom w:val="nil"/>
              <w:right w:val="single" w:color="auto" w:sz="4" w:space="0"/>
            </w:tcBorders>
            <w:vAlign w:val="center"/>
          </w:tcPr>
          <w:p>
            <w:pPr>
              <w:widowControl/>
              <w:spacing w:line="260" w:lineRule="exact"/>
              <w:jc w:val="center"/>
              <w:rPr>
                <w:rFonts w:ascii="Times New Roman" w:hAnsi="Times New Roman" w:eastAsia="仿宋_GB2312" w:cs="Times New Roman"/>
                <w:color w:val="000000"/>
                <w:kern w:val="0"/>
                <w:sz w:val="21"/>
                <w:szCs w:val="21"/>
              </w:rPr>
            </w:pPr>
          </w:p>
        </w:tc>
        <w:tc>
          <w:tcPr>
            <w:tcW w:w="0" w:type="auto"/>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满意度    指标</w:t>
            </w:r>
          </w:p>
        </w:tc>
        <w:tc>
          <w:tcPr>
            <w:tcW w:w="0" w:type="auto"/>
            <w:tcBorders>
              <w:top w:val="single" w:color="auto" w:sz="4" w:space="0"/>
              <w:left w:val="single" w:color="auto" w:sz="4" w:space="0"/>
              <w:bottom w:val="nil"/>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服务对象满意度指标</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满意</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p>
        </w:tc>
        <w:tc>
          <w:tcPr>
            <w:tcW w:w="0" w:type="auto"/>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p>
        </w:tc>
        <w:tc>
          <w:tcPr>
            <w:tcW w:w="0" w:type="auto"/>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8</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8</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p>
        </w:tc>
      </w:tr>
      <w:tr>
        <w:tblPrEx>
          <w:tblCellMar>
            <w:top w:w="0" w:type="dxa"/>
            <w:left w:w="0" w:type="dxa"/>
            <w:bottom w:w="0" w:type="dxa"/>
            <w:right w:w="0" w:type="dxa"/>
          </w:tblCellMar>
        </w:tblPrEx>
        <w:trPr>
          <w:trHeight w:val="300" w:hRule="atLeast"/>
        </w:trPr>
        <w:tc>
          <w:tcPr>
            <w:tcW w:w="0" w:type="auto"/>
            <w:gridSpan w:val="6"/>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总分</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100</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89</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p>
        </w:tc>
      </w:tr>
      <w:tr>
        <w:tblPrEx>
          <w:tblCellMar>
            <w:top w:w="0" w:type="dxa"/>
            <w:left w:w="0" w:type="dxa"/>
            <w:bottom w:w="0" w:type="dxa"/>
            <w:right w:w="0" w:type="dxa"/>
          </w:tblCellMar>
        </w:tblPrEx>
        <w:trPr>
          <w:trHeight w:val="900" w:hRule="atLeast"/>
        </w:trPr>
        <w:tc>
          <w:tcPr>
            <w:tcW w:w="0" w:type="auto"/>
            <w:gridSpan w:val="9"/>
            <w:tcBorders>
              <w:top w:val="nil"/>
              <w:left w:val="nil"/>
              <w:bottom w:val="nil"/>
              <w:right w:val="nil"/>
            </w:tcBorders>
            <w:shd w:val="clear" w:color="auto" w:fill="auto"/>
            <w:noWrap/>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填表人：</w:t>
            </w:r>
            <w:r>
              <w:rPr>
                <w:rFonts w:ascii="Times New Roman" w:hAnsi="Times New Roman" w:eastAsia="仿宋_GB2312" w:cs="Times New Roman"/>
                <w:color w:val="000000"/>
                <w:kern w:val="0"/>
                <w:sz w:val="21"/>
                <w:szCs w:val="21"/>
              </w:rPr>
              <w:t xml:space="preserve">      </w:t>
            </w:r>
            <w:r>
              <w:rPr>
                <w:rFonts w:hint="eastAsia" w:ascii="Times New Roman" w:hAnsi="Times New Roman" w:eastAsia="仿宋_GB2312" w:cs="Times New Roman"/>
                <w:color w:val="000000"/>
                <w:kern w:val="0"/>
                <w:sz w:val="21"/>
                <w:szCs w:val="21"/>
              </w:rPr>
              <w:t>填报日期：</w:t>
            </w:r>
            <w:r>
              <w:rPr>
                <w:rFonts w:ascii="Times New Roman" w:hAnsi="Times New Roman" w:eastAsia="仿宋_GB2312" w:cs="Times New Roman"/>
                <w:color w:val="000000"/>
                <w:kern w:val="0"/>
                <w:sz w:val="21"/>
                <w:szCs w:val="21"/>
              </w:rPr>
              <w:t xml:space="preserve">         </w:t>
            </w:r>
            <w:r>
              <w:rPr>
                <w:rFonts w:hint="eastAsia" w:ascii="Times New Roman" w:hAnsi="Times New Roman" w:eastAsia="仿宋_GB2312" w:cs="Times New Roman"/>
                <w:color w:val="000000"/>
                <w:kern w:val="0"/>
                <w:sz w:val="21"/>
                <w:szCs w:val="21"/>
              </w:rPr>
              <w:t>联系电话：</w:t>
            </w:r>
            <w:r>
              <w:rPr>
                <w:rFonts w:ascii="Times New Roman" w:hAnsi="Times New Roman" w:eastAsia="仿宋_GB2312" w:cs="Times New Roman"/>
                <w:color w:val="000000"/>
                <w:kern w:val="0"/>
                <w:sz w:val="21"/>
                <w:szCs w:val="21"/>
              </w:rPr>
              <w:t xml:space="preserve">           </w:t>
            </w:r>
            <w:r>
              <w:rPr>
                <w:rFonts w:hint="eastAsia" w:ascii="Times New Roman" w:hAnsi="Times New Roman" w:eastAsia="仿宋_GB2312" w:cs="Times New Roman"/>
                <w:color w:val="000000"/>
                <w:kern w:val="0"/>
                <w:sz w:val="21"/>
                <w:szCs w:val="21"/>
              </w:rPr>
              <w:t>单位负责人签字：</w:t>
            </w:r>
          </w:p>
        </w:tc>
      </w:tr>
    </w:tbl>
    <w:p>
      <w:pPr>
        <w:pStyle w:val="2"/>
      </w:pPr>
    </w:p>
    <w:sectPr>
      <w:footerReference r:id="rId3" w:type="default"/>
      <w:footerReference r:id="rId4" w:type="even"/>
      <w:pgSz w:w="11907" w:h="16840"/>
      <w:pgMar w:top="2041" w:right="1134" w:bottom="1871" w:left="1134" w:header="851" w:footer="1304" w:gutter="0"/>
      <w:cols w:space="0" w:num="1"/>
      <w:rtlGutter w:val="0"/>
      <w:docGrid w:type="linesAndChars" w:linePitch="587"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ind w:right="335"/>
      <w:rPr>
        <w:rStyle w:val="10"/>
        <w:rFonts w:hint="eastAsia" w:ascii="宋体" w:hAnsi="宋体" w:eastAsia="宋体"/>
        <w:sz w:val="28"/>
      </w:rPr>
    </w:pPr>
    <w:r>
      <w:rPr>
        <w:rStyle w:val="10"/>
        <w:rFonts w:hint="eastAsia" w:ascii="宋体" w:hAnsi="宋体" w:eastAsia="宋体"/>
        <w:sz w:val="28"/>
      </w:rPr>
      <w:t>—</w:t>
    </w:r>
    <w:r>
      <w:rPr>
        <w:rFonts w:ascii="宋体" w:hAnsi="宋体" w:eastAsia="宋体"/>
        <w:sz w:val="28"/>
      </w:rPr>
      <w:fldChar w:fldCharType="begin"/>
    </w:r>
    <w:r>
      <w:rPr>
        <w:rStyle w:val="10"/>
        <w:rFonts w:ascii="宋体" w:hAnsi="宋体" w:eastAsia="宋体"/>
        <w:sz w:val="28"/>
      </w:rPr>
      <w:instrText xml:space="preserve">PAGE  </w:instrText>
    </w:r>
    <w:r>
      <w:rPr>
        <w:rFonts w:ascii="宋体" w:hAnsi="宋体" w:eastAsia="宋体"/>
        <w:sz w:val="28"/>
      </w:rPr>
      <w:fldChar w:fldCharType="separate"/>
    </w:r>
    <w:r>
      <w:rPr>
        <w:rStyle w:val="10"/>
        <w:rFonts w:ascii="宋体" w:hAnsi="宋体" w:eastAsia="宋体"/>
        <w:sz w:val="28"/>
      </w:rPr>
      <w:t>3</w:t>
    </w:r>
    <w:r>
      <w:rPr>
        <w:rFonts w:ascii="宋体" w:hAnsi="宋体" w:eastAsia="宋体"/>
        <w:sz w:val="28"/>
      </w:rPr>
      <w:fldChar w:fldCharType="end"/>
    </w:r>
    <w:r>
      <w:rPr>
        <w:rStyle w:val="10"/>
        <w:rFonts w:hint="eastAsia" w:ascii="宋体" w:hAnsi="宋体" w:eastAsia="宋体"/>
        <w:sz w:val="28"/>
      </w:rPr>
      <w:t>—</w:t>
    </w:r>
  </w:p>
  <w:p>
    <w:pPr>
      <w:pStyle w:val="5"/>
      <w:ind w:right="360" w:firstLine="360"/>
      <w:jc w:val="right"/>
      <w:rPr>
        <w:rFonts w:hint="eastAsia"/>
        <w:sz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ind w:left="335"/>
      <w:rPr>
        <w:rStyle w:val="10"/>
        <w:rFonts w:hint="eastAsia" w:ascii="宋体" w:hAnsi="宋体" w:eastAsia="宋体"/>
        <w:sz w:val="28"/>
      </w:rPr>
    </w:pPr>
    <w:r>
      <w:rPr>
        <w:rStyle w:val="10"/>
        <w:rFonts w:hint="eastAsia" w:ascii="宋体" w:hAnsi="宋体" w:eastAsia="宋体"/>
        <w:sz w:val="28"/>
      </w:rPr>
      <w:t>—</w:t>
    </w:r>
    <w:r>
      <w:rPr>
        <w:rFonts w:ascii="宋体" w:hAnsi="宋体" w:eastAsia="宋体"/>
        <w:sz w:val="28"/>
      </w:rPr>
      <w:fldChar w:fldCharType="begin"/>
    </w:r>
    <w:r>
      <w:rPr>
        <w:rStyle w:val="10"/>
        <w:rFonts w:ascii="宋体" w:hAnsi="宋体" w:eastAsia="宋体"/>
        <w:sz w:val="28"/>
      </w:rPr>
      <w:instrText xml:space="preserve">PAGE  </w:instrText>
    </w:r>
    <w:r>
      <w:rPr>
        <w:rFonts w:ascii="宋体" w:hAnsi="宋体" w:eastAsia="宋体"/>
        <w:sz w:val="28"/>
      </w:rPr>
      <w:fldChar w:fldCharType="separate"/>
    </w:r>
    <w:r>
      <w:rPr>
        <w:rStyle w:val="10"/>
        <w:rFonts w:ascii="宋体" w:hAnsi="宋体" w:eastAsia="宋体"/>
        <w:sz w:val="28"/>
      </w:rPr>
      <w:t>4</w:t>
    </w:r>
    <w:r>
      <w:rPr>
        <w:rFonts w:ascii="宋体" w:hAnsi="宋体" w:eastAsia="宋体"/>
        <w:sz w:val="28"/>
      </w:rPr>
      <w:fldChar w:fldCharType="end"/>
    </w:r>
    <w:r>
      <w:rPr>
        <w:rStyle w:val="10"/>
        <w:rFonts w:hint="eastAsia" w:ascii="宋体" w:hAnsi="宋体" w:eastAsia="宋体"/>
        <w:sz w:val="28"/>
      </w:rPr>
      <w:t>—</w:t>
    </w:r>
  </w:p>
  <w:p>
    <w:pPr>
      <w:pStyle w:val="5"/>
      <w:ind w:left="300" w:right="360" w:firstLine="360"/>
      <w:rPr>
        <w:rFonts w:hint="eastAsia"/>
        <w:sz w:val="28"/>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CCF2C08"/>
    <w:multiLevelType w:val="singleLevel"/>
    <w:tmpl w:val="BCCF2C08"/>
    <w:lvl w:ilvl="0" w:tentative="0">
      <w:start w:val="4"/>
      <w:numFmt w:val="chineseCounting"/>
      <w:suff w:val="nothing"/>
      <w:lvlText w:val="%1、"/>
      <w:lvlJc w:val="left"/>
      <w:rPr>
        <w:rFonts w:hint="eastAsia"/>
      </w:rPr>
    </w:lvl>
  </w:abstractNum>
  <w:abstractNum w:abstractNumId="1">
    <w:nsid w:val="C5A72206"/>
    <w:multiLevelType w:val="singleLevel"/>
    <w:tmpl w:val="C5A72206"/>
    <w:lvl w:ilvl="0" w:tentative="0">
      <w:start w:val="2"/>
      <w:numFmt w:val="chineseCounting"/>
      <w:suff w:val="nothing"/>
      <w:lvlText w:val="%1、"/>
      <w:lvlJc w:val="left"/>
      <w:rPr>
        <w:rFonts w:hint="eastAsia"/>
      </w:rPr>
    </w:lvl>
  </w:abstractNum>
  <w:abstractNum w:abstractNumId="2">
    <w:nsid w:val="E522F003"/>
    <w:multiLevelType w:val="singleLevel"/>
    <w:tmpl w:val="E522F003"/>
    <w:lvl w:ilvl="0" w:tentative="0">
      <w:start w:val="3"/>
      <w:numFmt w:val="decimal"/>
      <w:suff w:val="nothing"/>
      <w:lvlText w:val="%1、"/>
      <w:lvlJc w:val="left"/>
    </w:lvl>
  </w:abstractNum>
  <w:abstractNum w:abstractNumId="3">
    <w:nsid w:val="42D59416"/>
    <w:multiLevelType w:val="singleLevel"/>
    <w:tmpl w:val="42D59416"/>
    <w:lvl w:ilvl="0" w:tentative="0">
      <w:start w:val="2"/>
      <w:numFmt w:val="chineseCounting"/>
      <w:suff w:val="nothing"/>
      <w:lvlText w:val="（%1）"/>
      <w:lvlJc w:val="left"/>
      <w:rPr>
        <w:rFonts w:hint="eastAsia"/>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M2OGRhNTgwY2VkN2ZjZGM1NTljODQwMGEyNmVkOTgifQ=="/>
  </w:docVars>
  <w:rsids>
    <w:rsidRoot w:val="0803007E"/>
    <w:rsid w:val="04C80BE4"/>
    <w:rsid w:val="0803007E"/>
    <w:rsid w:val="2CD44745"/>
    <w:rsid w:val="34993154"/>
    <w:rsid w:val="514D33AA"/>
    <w:rsid w:val="696239EF"/>
    <w:rsid w:val="788B60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仿宋_GB2312" w:cs="Times New Roman"/>
      <w:kern w:val="2"/>
      <w:sz w:val="32"/>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endnote text"/>
    <w:basedOn w:val="1"/>
    <w:qFormat/>
    <w:uiPriority w:val="0"/>
    <w:pPr>
      <w:snapToGrid w:val="0"/>
      <w:jc w:val="left"/>
    </w:pPr>
  </w:style>
  <w:style w:type="paragraph" w:styleId="3">
    <w:name w:val="Body Text"/>
    <w:basedOn w:val="1"/>
    <w:qFormat/>
    <w:uiPriority w:val="1"/>
    <w:pPr>
      <w:spacing w:line="520" w:lineRule="exact"/>
      <w:ind w:left="0" w:leftChars="0" w:firstLine="1032" w:firstLineChars="200"/>
    </w:pPr>
    <w:rPr>
      <w:rFonts w:ascii="宋体" w:hAnsi="宋体" w:eastAsia="仿宋" w:cs="宋体"/>
      <w:kern w:val="21"/>
      <w:szCs w:val="28"/>
      <w:lang w:val="zh-CN" w:bidi="zh-CN"/>
    </w:rPr>
  </w:style>
  <w:style w:type="paragraph" w:styleId="4">
    <w:name w:val="Body Text Indent"/>
    <w:basedOn w:val="1"/>
    <w:qFormat/>
    <w:uiPriority w:val="0"/>
    <w:pPr>
      <w:ind w:firstLine="632" w:firstLineChars="200"/>
    </w:p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paragraph" w:styleId="7">
    <w:name w:val="Body Text First Indent 2"/>
    <w:basedOn w:val="4"/>
    <w:qFormat/>
    <w:uiPriority w:val="0"/>
    <w:pPr>
      <w:spacing w:before="100" w:beforeAutospacing="1" w:after="0"/>
      <w:ind w:left="0" w:firstLine="420" w:firstLineChars="200"/>
    </w:pPr>
  </w:style>
  <w:style w:type="character" w:styleId="10">
    <w:name w:val="page number"/>
    <w:basedOn w:val="9"/>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1178</Words>
  <Characters>1203</Characters>
  <Lines>0</Lines>
  <Paragraphs>0</Paragraphs>
  <TotalTime>0</TotalTime>
  <ScaleCrop>false</ScaleCrop>
  <LinksUpToDate>false</LinksUpToDate>
  <CharactersWithSpaces>1207</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2023-04-18T03:46:00Z</dcterms:created>
  <dc:creator>疯狂的树叶</dc:creator>
  <cp:lastModifiedBy>曹艳</cp:lastModifiedBy>
  <dcterms:modified xsi:type="dcterms:W3CDTF">2023-09-13T09:41:07Z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1A935639B75B4414B49AD064DF592917_13</vt:lpwstr>
  </property>
</Properties>
</file>