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cs="Times New Roman"/>
          <w:sz w:val="32"/>
          <w:szCs w:val="32"/>
          <w:lang w:eastAsia="zh-CN"/>
        </w:rPr>
      </w:pPr>
      <w:bookmarkStart w:id="0" w:name="_GoBack"/>
      <w:bookmarkEnd w:id="0"/>
    </w:p>
    <w:p>
      <w:pPr>
        <w:spacing w:line="560" w:lineRule="exact"/>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lang w:val="en-US" w:eastAsia="zh-CN"/>
        </w:rPr>
        <w:t>2022年度</w:t>
      </w:r>
      <w:r>
        <w:rPr>
          <w:rFonts w:hint="eastAsia" w:ascii="Times New Roman" w:hAnsi="Times New Roman" w:eastAsia="方正小标宋_GBK" w:cs="Times New Roman"/>
          <w:sz w:val="36"/>
          <w:szCs w:val="36"/>
        </w:rPr>
        <w:t>国土变更调查工作经费</w:t>
      </w:r>
      <w:r>
        <w:rPr>
          <w:rFonts w:hint="eastAsia" w:ascii="Times New Roman" w:hAnsi="Times New Roman" w:eastAsia="方正小标宋_GBK" w:cs="Times New Roman"/>
          <w:sz w:val="36"/>
          <w:szCs w:val="36"/>
          <w:lang w:eastAsia="zh-CN"/>
        </w:rPr>
        <w:t>项目资金</w:t>
      </w:r>
      <w:r>
        <w:rPr>
          <w:rFonts w:ascii="Times New Roman" w:hAnsi="Times New Roman" w:eastAsia="方正小标宋_GBK" w:cs="Times New Roman"/>
          <w:sz w:val="36"/>
          <w:szCs w:val="36"/>
        </w:rPr>
        <w:t>绩效</w:t>
      </w:r>
      <w:r>
        <w:rPr>
          <w:rFonts w:hint="eastAsia" w:ascii="Times New Roman" w:hAnsi="Times New Roman" w:eastAsia="方正小标宋_GBK" w:cs="Times New Roman"/>
          <w:sz w:val="36"/>
          <w:szCs w:val="36"/>
          <w:lang w:eastAsia="zh-CN"/>
        </w:rPr>
        <w:t>自评</w:t>
      </w:r>
      <w:r>
        <w:rPr>
          <w:rFonts w:ascii="Times New Roman" w:hAnsi="Times New Roman" w:eastAsia="方正小标宋_GBK" w:cs="Times New Roman"/>
          <w:sz w:val="36"/>
          <w:szCs w:val="36"/>
        </w:rPr>
        <w:t>报告</w:t>
      </w:r>
    </w:p>
    <w:p>
      <w:pPr>
        <w:spacing w:line="560" w:lineRule="exact"/>
        <w:jc w:val="center"/>
        <w:rPr>
          <w:rFonts w:ascii="Times New Roman" w:hAnsi="Times New Roman" w:eastAsia="方正小标宋_GBK" w:cs="Times New Roman"/>
          <w:sz w:val="36"/>
          <w:szCs w:val="36"/>
        </w:rPr>
      </w:pPr>
    </w:p>
    <w:p>
      <w:pPr>
        <w:adjustRightInd w:val="0"/>
        <w:snapToGrid w:val="0"/>
        <w:spacing w:line="60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一、项目概况</w:t>
      </w:r>
    </w:p>
    <w:p>
      <w:pPr>
        <w:adjustRightInd w:val="0"/>
        <w:snapToGrid w:val="0"/>
        <w:spacing w:line="600" w:lineRule="exact"/>
        <w:ind w:firstLine="632" w:firstLineChars="200"/>
        <w:rPr>
          <w:rFonts w:hint="eastAsia" w:ascii="Times New Roman" w:hAnsi="Times New Roman" w:eastAsia="仿宋" w:cs="Times New Roman"/>
          <w:sz w:val="32"/>
          <w:szCs w:val="32"/>
          <w:lang w:eastAsia="zh-CN"/>
        </w:rPr>
      </w:pPr>
      <w:r>
        <w:rPr>
          <w:rFonts w:hint="eastAsia" w:ascii="仿宋" w:hAnsi="仿宋" w:eastAsia="仿宋" w:cs="仿宋"/>
          <w:i w:val="0"/>
          <w:iCs w:val="0"/>
          <w:caps w:val="0"/>
          <w:color w:val="535353"/>
          <w:spacing w:val="0"/>
          <w:sz w:val="32"/>
          <w:szCs w:val="32"/>
          <w:u w:val="none"/>
          <w:shd w:val="clear" w:fill="FFFFFF"/>
        </w:rPr>
        <w:t>收集整理审批、权属资料；对比权属资料与三调数据，依据部、省规定的基数转换规则，提取转换图斑；建立资阳区城镇规划现状基数认定成果数据库</w:t>
      </w:r>
      <w:r>
        <w:rPr>
          <w:rFonts w:hint="eastAsia" w:ascii="仿宋" w:hAnsi="仿宋" w:eastAsia="仿宋" w:cs="仿宋"/>
          <w:i w:val="0"/>
          <w:iCs w:val="0"/>
          <w:caps w:val="0"/>
          <w:color w:val="535353"/>
          <w:spacing w:val="0"/>
          <w:sz w:val="32"/>
          <w:szCs w:val="32"/>
          <w:u w:val="none"/>
          <w:shd w:val="clear" w:fill="FFFFFF"/>
          <w:lang w:eastAsia="zh-CN"/>
        </w:rPr>
        <w:t>。</w:t>
      </w:r>
    </w:p>
    <w:p>
      <w:pPr>
        <w:numPr>
          <w:ilvl w:val="0"/>
          <w:numId w:val="1"/>
        </w:numPr>
        <w:adjustRightInd w:val="0"/>
        <w:snapToGrid w:val="0"/>
        <w:spacing w:line="600" w:lineRule="exact"/>
        <w:ind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绩效自评工作开展情况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（一）绩效评价目的、对象和范围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本次绩效评价是针对</w:t>
      </w:r>
      <w:r>
        <w:rPr>
          <w:rFonts w:hint="eastAsia" w:ascii="Times New Roman" w:hAnsi="Times New Roman" w:cs="Times New Roman"/>
          <w:kern w:val="2"/>
          <w:sz w:val="32"/>
          <w:szCs w:val="32"/>
          <w:lang w:val="en-US" w:eastAsia="zh-CN" w:bidi="ar-SA"/>
        </w:rPr>
        <w:t>国土变更调查工作</w:t>
      </w:r>
      <w:r>
        <w:rPr>
          <w:rFonts w:hint="eastAsia" w:ascii="Times New Roman" w:hAnsi="Times New Roman" w:eastAsia="仿宋_GB2312" w:cs="Times New Roman"/>
          <w:kern w:val="2"/>
          <w:sz w:val="32"/>
          <w:szCs w:val="32"/>
          <w:lang w:val="en-US" w:eastAsia="zh-CN" w:bidi="ar-SA"/>
        </w:rPr>
        <w:t>经费项目资金工作进行，通过此次评价工作，客观反映出项目资金利用情况以和项目执行情况等。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（二）绩效评价原则、评价指标体系、评价方法、评价标准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依照项目初期制定的绩效目标申报表中的相关内容，按一定的评价程序，运用科学的评价方法、按照产出、效益、满意度等一级指标及层层分解的二、三级指标和年度指标值等评价的内容和标准对评价对象的项目资金执行率、产出情况、效益情况和满意度情况等进行客观公正地考核和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（三）绩效评价工作过程。</w:t>
      </w:r>
    </w:p>
    <w:p>
      <w:pPr>
        <w:numPr>
          <w:ilvl w:val="0"/>
          <w:numId w:val="0"/>
        </w:numPr>
        <w:adjustRightInd w:val="0"/>
        <w:snapToGrid w:val="0"/>
        <w:spacing w:line="600" w:lineRule="exact"/>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依据项目初期设定的考核指标对照项目实际完成情况进行衡量打分，从而获得本项目的实际分数。</w:t>
      </w:r>
    </w:p>
    <w:p>
      <w:pPr>
        <w:numPr>
          <w:ilvl w:val="0"/>
          <w:numId w:val="0"/>
        </w:numPr>
        <w:adjustRightInd w:val="0"/>
        <w:snapToGrid w:val="0"/>
        <w:spacing w:line="600" w:lineRule="exact"/>
        <w:rPr>
          <w:rFonts w:hint="eastAsia" w:ascii="Times New Roman" w:hAnsi="Times New Roman" w:eastAsia="黑体" w:cs="Times New Roman"/>
          <w:sz w:val="32"/>
          <w:szCs w:val="32"/>
          <w:lang w:eastAsia="zh-CN"/>
        </w:rPr>
      </w:pPr>
    </w:p>
    <w:p>
      <w:pPr>
        <w:adjustRightInd w:val="0"/>
        <w:snapToGrid w:val="0"/>
        <w:spacing w:line="600" w:lineRule="exact"/>
        <w:ind w:firstLine="632" w:firstLineChars="20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综合评价结论</w:t>
      </w:r>
    </w:p>
    <w:p>
      <w:pPr>
        <w:adjustRightInd w:val="0"/>
        <w:snapToGrid w:val="0"/>
        <w:spacing w:line="600" w:lineRule="exact"/>
        <w:ind w:firstLine="632" w:firstLineChars="200"/>
        <w:rPr>
          <w:rFonts w:hint="eastAsia" w:ascii="Times New Roman" w:hAnsi="Times New Roman" w:eastAsia="仿宋_GB2312" w:cs="Times New Roman"/>
          <w:sz w:val="32"/>
          <w:szCs w:val="32"/>
          <w:lang w:eastAsia="zh-CN"/>
        </w:rPr>
      </w:pPr>
      <w:r>
        <w:rPr>
          <w:rFonts w:hint="eastAsia" w:ascii="仿宋_GB2312" w:hAnsi="仿宋" w:eastAsia="仿宋_GB2312" w:cs="Times New Roman"/>
          <w:kern w:val="2"/>
          <w:sz w:val="32"/>
          <w:szCs w:val="32"/>
          <w:lang w:val="en-US" w:eastAsia="zh-CN" w:bidi="ar-SA"/>
        </w:rPr>
        <w:t>按年初设立的项目申报表的相关内容进行绩效评价，</w:t>
      </w:r>
      <w:r>
        <w:rPr>
          <w:rFonts w:hint="eastAsia" w:ascii="仿宋_GB2312" w:hAnsi="仿宋" w:cs="Times New Roman"/>
          <w:kern w:val="2"/>
          <w:sz w:val="32"/>
          <w:szCs w:val="32"/>
          <w:lang w:val="en-US" w:eastAsia="zh-CN" w:bidi="ar-SA"/>
        </w:rPr>
        <w:t>评价等级为优秀，评价分数为99分</w:t>
      </w:r>
      <w:r>
        <w:rPr>
          <w:rFonts w:hint="eastAsia" w:ascii="仿宋_GB2312" w:hAnsi="仿宋" w:eastAsia="仿宋_GB2312" w:cs="Times New Roman"/>
          <w:kern w:val="2"/>
          <w:sz w:val="32"/>
          <w:szCs w:val="32"/>
          <w:lang w:val="en-US" w:eastAsia="zh-CN" w:bidi="ar-SA"/>
        </w:rPr>
        <w:t>。</w:t>
      </w:r>
    </w:p>
    <w:p>
      <w:pPr>
        <w:numPr>
          <w:ilvl w:val="0"/>
          <w:numId w:val="2"/>
        </w:numPr>
        <w:adjustRightInd w:val="0"/>
        <w:snapToGrid w:val="0"/>
        <w:spacing w:line="600" w:lineRule="exact"/>
        <w:ind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绩效目标实现情况分析</w:t>
      </w:r>
    </w:p>
    <w:p>
      <w:pPr>
        <w:widowControl/>
        <w:spacing w:line="600" w:lineRule="exact"/>
        <w:ind w:firstLine="632" w:firstLineChars="200"/>
        <w:jc w:val="both"/>
        <w:rPr>
          <w:rFonts w:hint="eastAsia"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（一）项目资金使用及管理情况</w:t>
      </w:r>
    </w:p>
    <w:p>
      <w:pPr>
        <w:adjustRightInd w:val="0"/>
        <w:snapToGrid w:val="0"/>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cs="Times New Roman"/>
          <w:sz w:val="32"/>
          <w:szCs w:val="32"/>
          <w:lang w:val="en-US" w:eastAsia="zh-CN"/>
        </w:rPr>
        <w:t>1、</w:t>
      </w:r>
      <w:r>
        <w:rPr>
          <w:rFonts w:ascii="Times New Roman" w:hAnsi="Times New Roman" w:eastAsia="仿宋_GB2312" w:cs="Times New Roman"/>
          <w:sz w:val="32"/>
          <w:szCs w:val="32"/>
        </w:rPr>
        <w:t>项目资金安排落实、总投入等情况分析。</w:t>
      </w:r>
    </w:p>
    <w:p>
      <w:pPr>
        <w:adjustRightInd w:val="0"/>
        <w:snapToGrid w:val="0"/>
        <w:spacing w:line="600" w:lineRule="exact"/>
        <w:ind w:firstLine="592" w:firstLineChars="200"/>
        <w:rPr>
          <w:rFonts w:ascii="Times New Roman" w:hAnsi="Times New Roman" w:eastAsia="仿宋_GB2312" w:cs="Times New Roman"/>
          <w:sz w:val="32"/>
          <w:szCs w:val="32"/>
        </w:rPr>
      </w:pPr>
      <w:r>
        <w:rPr>
          <w:rFonts w:hint="eastAsia" w:ascii="仿宋" w:hAnsi="仿宋" w:eastAsia="仿宋" w:cs="仿宋"/>
          <w:sz w:val="30"/>
          <w:szCs w:val="30"/>
          <w:lang w:val="en-US" w:eastAsia="zh-CN"/>
        </w:rPr>
        <w:t>项目完成投资20.00万元，实际支付金额20.00万元，项目结余资金0.00万元。</w:t>
      </w:r>
    </w:p>
    <w:p>
      <w:pPr>
        <w:numPr>
          <w:ilvl w:val="0"/>
          <w:numId w:val="3"/>
        </w:numPr>
        <w:adjustRightInd w:val="0"/>
        <w:snapToGrid w:val="0"/>
        <w:spacing w:line="60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项目资金实际使用情况分析。</w:t>
      </w:r>
    </w:p>
    <w:p>
      <w:pPr>
        <w:numPr>
          <w:ilvl w:val="0"/>
          <w:numId w:val="0"/>
        </w:numPr>
        <w:adjustRightInd w:val="0"/>
        <w:snapToGrid w:val="0"/>
        <w:spacing w:line="600" w:lineRule="exact"/>
        <w:ind w:firstLine="592" w:firstLineChars="200"/>
        <w:rPr>
          <w:rFonts w:ascii="Times New Roman" w:hAnsi="Times New Roman" w:eastAsia="仿宋_GB2312" w:cs="Times New Roman"/>
          <w:sz w:val="32"/>
          <w:szCs w:val="32"/>
        </w:rPr>
      </w:pPr>
      <w:r>
        <w:rPr>
          <w:rFonts w:hint="eastAsia" w:ascii="仿宋" w:hAnsi="仿宋" w:eastAsia="仿宋" w:cs="仿宋"/>
          <w:sz w:val="30"/>
          <w:szCs w:val="30"/>
          <w:lang w:eastAsia="zh-CN"/>
        </w:rPr>
        <w:t>区自然资源局</w:t>
      </w:r>
      <w:r>
        <w:rPr>
          <w:rFonts w:hint="eastAsia" w:ascii="仿宋" w:hAnsi="仿宋" w:eastAsia="仿宋" w:cs="仿宋"/>
          <w:sz w:val="30"/>
          <w:szCs w:val="30"/>
        </w:rPr>
        <w:t>高度重视</w:t>
      </w:r>
      <w:r>
        <w:rPr>
          <w:rFonts w:hint="eastAsia" w:ascii="Times New Roman" w:hAnsi="Times New Roman" w:eastAsia="仿宋_GB2312" w:cs="Times New Roman"/>
          <w:sz w:val="32"/>
          <w:szCs w:val="32"/>
        </w:rPr>
        <w:t>耕地质量等别更新评价</w:t>
      </w:r>
      <w:r>
        <w:rPr>
          <w:rFonts w:hint="eastAsia" w:ascii="仿宋" w:hAnsi="仿宋" w:eastAsia="仿宋" w:cs="仿宋"/>
          <w:color w:val="auto"/>
          <w:sz w:val="30"/>
          <w:szCs w:val="30"/>
          <w:lang w:val="en-US" w:eastAsia="zh-CN"/>
        </w:rPr>
        <w:t>项目</w:t>
      </w:r>
      <w:r>
        <w:rPr>
          <w:rFonts w:hint="eastAsia" w:ascii="仿宋" w:hAnsi="仿宋" w:eastAsia="仿宋" w:cs="仿宋"/>
          <w:color w:val="auto"/>
          <w:sz w:val="30"/>
          <w:szCs w:val="30"/>
        </w:rPr>
        <w:t>管理</w:t>
      </w:r>
      <w:r>
        <w:rPr>
          <w:rFonts w:hint="eastAsia" w:ascii="仿宋" w:hAnsi="仿宋" w:eastAsia="仿宋" w:cs="仿宋"/>
          <w:sz w:val="30"/>
          <w:szCs w:val="30"/>
        </w:rPr>
        <w:t>工作，严格按照“专账核算、</w:t>
      </w:r>
      <w:r>
        <w:rPr>
          <w:rFonts w:hint="eastAsia" w:ascii="仿宋" w:hAnsi="仿宋" w:eastAsia="仿宋" w:cs="仿宋"/>
          <w:sz w:val="30"/>
          <w:szCs w:val="30"/>
          <w:lang w:val="en-US" w:eastAsia="zh-CN"/>
        </w:rPr>
        <w:t>专款专</w:t>
      </w:r>
      <w:r>
        <w:rPr>
          <w:rFonts w:hint="eastAsia" w:ascii="仿宋" w:hAnsi="仿宋" w:eastAsia="仿宋" w:cs="仿宋"/>
          <w:sz w:val="30"/>
          <w:szCs w:val="30"/>
        </w:rPr>
        <w:t>用”的财务制度进行管理，明确专职会计人员核算项目资金，确保项目资金使用规范。</w:t>
      </w:r>
    </w:p>
    <w:p>
      <w:pPr>
        <w:numPr>
          <w:ilvl w:val="0"/>
          <w:numId w:val="3"/>
        </w:numPr>
        <w:adjustRightInd w:val="0"/>
        <w:snapToGrid w:val="0"/>
        <w:spacing w:line="600" w:lineRule="exact"/>
        <w:ind w:left="0" w:leftChars="0"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项目资金管理情况分析，主要包括管理制度、办法的制订及执行情况。</w:t>
      </w:r>
    </w:p>
    <w:p>
      <w:pPr>
        <w:pStyle w:val="2"/>
        <w:keepNext w:val="0"/>
        <w:keepLines w:val="0"/>
        <w:pageBreakBefore w:val="0"/>
        <w:widowControl w:val="0"/>
        <w:kinsoku/>
        <w:wordWrap/>
        <w:topLinePunct w:val="0"/>
        <w:bidi w:val="0"/>
        <w:adjustRightInd/>
        <w:snapToGrid/>
        <w:spacing w:line="540" w:lineRule="exact"/>
        <w:textAlignment w:val="auto"/>
        <w:rPr>
          <w:rFonts w:ascii="Times New Roman" w:hAnsi="Times New Roman" w:eastAsia="仿宋_GB2312" w:cs="Times New Roman"/>
          <w:sz w:val="32"/>
          <w:szCs w:val="32"/>
        </w:rPr>
      </w:pPr>
      <w:r>
        <w:rPr>
          <w:rFonts w:hint="eastAsia" w:ascii="仿宋" w:hAnsi="仿宋" w:eastAsia="仿宋" w:cs="仿宋"/>
          <w:sz w:val="30"/>
          <w:szCs w:val="30"/>
        </w:rPr>
        <w:t>为加强</w:t>
      </w:r>
      <w:r>
        <w:rPr>
          <w:rFonts w:hint="eastAsia" w:ascii="仿宋" w:hAnsi="仿宋" w:eastAsia="仿宋" w:cs="仿宋"/>
          <w:sz w:val="30"/>
          <w:szCs w:val="30"/>
          <w:lang w:val="en-US" w:eastAsia="zh-CN"/>
        </w:rPr>
        <w:t>项目</w:t>
      </w:r>
      <w:r>
        <w:rPr>
          <w:rFonts w:hint="eastAsia" w:ascii="仿宋" w:hAnsi="仿宋" w:eastAsia="仿宋" w:cs="仿宋"/>
          <w:sz w:val="30"/>
          <w:szCs w:val="30"/>
        </w:rPr>
        <w:t>资金的管理，</w:t>
      </w:r>
      <w:r>
        <w:rPr>
          <w:rFonts w:hint="eastAsia" w:ascii="仿宋" w:hAnsi="仿宋" w:eastAsia="仿宋" w:cs="仿宋"/>
          <w:sz w:val="30"/>
          <w:szCs w:val="30"/>
          <w:lang w:val="en-US" w:eastAsia="zh-CN"/>
        </w:rPr>
        <w:t>明确了资金管理要求，项目资金的支付均由</w:t>
      </w:r>
      <w:r>
        <w:rPr>
          <w:rFonts w:hint="eastAsia" w:ascii="Times New Roman" w:hAnsi="Times New Roman" w:eastAsia="仿宋_GB2312" w:cs="Times New Roman"/>
          <w:kern w:val="2"/>
          <w:sz w:val="32"/>
          <w:szCs w:val="32"/>
          <w:lang w:val="en-US" w:eastAsia="zh-CN" w:bidi="ar-SA"/>
        </w:rPr>
        <w:t>财政直接支付给服务单位，且做到了专帐管理、专款专用。财务上由局财务股负责管理，财务执行情况良好，项目资金管理到位。</w:t>
      </w:r>
    </w:p>
    <w:p>
      <w:pPr>
        <w:widowControl/>
        <w:numPr>
          <w:ilvl w:val="0"/>
          <w:numId w:val="4"/>
        </w:numPr>
        <w:spacing w:line="600" w:lineRule="exact"/>
        <w:ind w:firstLine="632" w:firstLineChars="200"/>
        <w:jc w:val="both"/>
        <w:rPr>
          <w:rFonts w:hint="eastAsia"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总体绩效目标完成情况分析</w:t>
      </w:r>
    </w:p>
    <w:p>
      <w:pPr>
        <w:widowControl/>
        <w:numPr>
          <w:ilvl w:val="0"/>
          <w:numId w:val="0"/>
        </w:numPr>
        <w:spacing w:line="600" w:lineRule="exact"/>
        <w:ind w:firstLine="632" w:firstLineChars="200"/>
        <w:jc w:val="both"/>
        <w:rPr>
          <w:rFonts w:hint="eastAsia" w:ascii="楷体_GB2312" w:hAnsi="Times New Roman" w:eastAsia="楷体_GB2312" w:cs="Times New Roman"/>
          <w:b/>
          <w:kern w:val="2"/>
          <w:sz w:val="32"/>
          <w:szCs w:val="32"/>
          <w:lang w:val="en-US" w:eastAsia="zh-CN" w:bidi="ar-SA"/>
        </w:rPr>
      </w:pPr>
      <w:r>
        <w:rPr>
          <w:rFonts w:hint="eastAsia" w:ascii="Times New Roman" w:hAnsi="Times New Roman" w:cs="Times New Roman"/>
          <w:kern w:val="2"/>
          <w:sz w:val="32"/>
          <w:szCs w:val="32"/>
          <w:lang w:val="en-US" w:eastAsia="zh-CN" w:bidi="ar-SA"/>
        </w:rPr>
        <w:t>该</w:t>
      </w:r>
      <w:r>
        <w:rPr>
          <w:rFonts w:hint="eastAsia" w:ascii="Times New Roman" w:hAnsi="Times New Roman" w:eastAsia="仿宋_GB2312" w:cs="Times New Roman"/>
          <w:kern w:val="2"/>
          <w:sz w:val="32"/>
          <w:szCs w:val="32"/>
          <w:lang w:val="en-US" w:eastAsia="zh-CN" w:bidi="ar-SA"/>
        </w:rPr>
        <w:t>项目目标清晰，项目决策有理有据，项目资金到位及时、分配合理，相关项目管理制度健全，并严格按照规定内容组织实施，各个项目保质保量的推进，达到项目预期效果。</w:t>
      </w:r>
    </w:p>
    <w:p>
      <w:pPr>
        <w:widowControl/>
        <w:spacing w:line="600" w:lineRule="exact"/>
        <w:ind w:firstLine="632" w:firstLineChars="200"/>
        <w:jc w:val="both"/>
        <w:rPr>
          <w:rFonts w:hint="default"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（三）绩效指标完成情况分析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535353"/>
          <w:spacing w:val="0"/>
          <w:sz w:val="21"/>
          <w:szCs w:val="21"/>
          <w:u w:val="none"/>
        </w:rPr>
      </w:pPr>
      <w:r>
        <w:rPr>
          <w:rFonts w:hint="eastAsia" w:ascii="仿宋" w:hAnsi="仿宋" w:eastAsia="仿宋" w:cs="仿宋"/>
          <w:i w:val="0"/>
          <w:iCs w:val="0"/>
          <w:caps w:val="0"/>
          <w:color w:val="535353"/>
          <w:spacing w:val="0"/>
          <w:sz w:val="32"/>
          <w:szCs w:val="32"/>
          <w:u w:val="none"/>
          <w:shd w:val="clear" w:fill="FFFFFF"/>
          <w:lang w:val="en-US" w:eastAsia="zh-CN"/>
        </w:rPr>
        <w:t>1</w:t>
      </w:r>
      <w:r>
        <w:rPr>
          <w:rFonts w:hint="eastAsia" w:ascii="仿宋" w:hAnsi="仿宋" w:eastAsia="仿宋" w:cs="仿宋"/>
          <w:i w:val="0"/>
          <w:iCs w:val="0"/>
          <w:caps w:val="0"/>
          <w:color w:val="535353"/>
          <w:spacing w:val="0"/>
          <w:sz w:val="32"/>
          <w:szCs w:val="32"/>
          <w:u w:val="none"/>
          <w:shd w:val="clear" w:fill="FFFFFF"/>
        </w:rPr>
        <w:t>、通过土地变更调查工作大大提高国土资源管理水平。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535353"/>
          <w:spacing w:val="0"/>
          <w:sz w:val="21"/>
          <w:szCs w:val="21"/>
          <w:u w:val="none"/>
        </w:rPr>
      </w:pPr>
      <w:r>
        <w:rPr>
          <w:rFonts w:hint="eastAsia" w:ascii="仿宋" w:hAnsi="仿宋" w:eastAsia="仿宋" w:cs="仿宋"/>
          <w:i w:val="0"/>
          <w:iCs w:val="0"/>
          <w:caps w:val="0"/>
          <w:color w:val="535353"/>
          <w:spacing w:val="0"/>
          <w:sz w:val="32"/>
          <w:szCs w:val="32"/>
          <w:u w:val="none"/>
          <w:shd w:val="clear" w:fill="FFFFFF"/>
          <w:lang w:val="en-US" w:eastAsia="zh-CN"/>
        </w:rPr>
        <w:t>2</w:t>
      </w:r>
      <w:r>
        <w:rPr>
          <w:rFonts w:hint="eastAsia" w:ascii="仿宋" w:hAnsi="仿宋" w:eastAsia="仿宋" w:cs="仿宋"/>
          <w:i w:val="0"/>
          <w:iCs w:val="0"/>
          <w:caps w:val="0"/>
          <w:color w:val="535353"/>
          <w:spacing w:val="0"/>
          <w:sz w:val="32"/>
          <w:szCs w:val="32"/>
          <w:u w:val="none"/>
          <w:shd w:val="clear" w:fill="FFFFFF"/>
        </w:rPr>
        <w:t>、强化国土资源管理秩序的规范管理，促进社会和谐发展。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535353"/>
          <w:spacing w:val="0"/>
          <w:sz w:val="21"/>
          <w:szCs w:val="21"/>
          <w:u w:val="none"/>
        </w:rPr>
      </w:pPr>
      <w:r>
        <w:rPr>
          <w:rFonts w:hint="eastAsia" w:ascii="仿宋" w:hAnsi="仿宋" w:eastAsia="仿宋" w:cs="仿宋"/>
          <w:i w:val="0"/>
          <w:iCs w:val="0"/>
          <w:caps w:val="0"/>
          <w:color w:val="535353"/>
          <w:spacing w:val="0"/>
          <w:sz w:val="32"/>
          <w:szCs w:val="32"/>
          <w:u w:val="none"/>
          <w:shd w:val="clear" w:fill="FFFFFF"/>
          <w:lang w:val="en-US" w:eastAsia="zh-CN"/>
        </w:rPr>
        <w:t>3</w:t>
      </w:r>
      <w:r>
        <w:rPr>
          <w:rFonts w:hint="eastAsia" w:ascii="仿宋" w:hAnsi="仿宋" w:eastAsia="仿宋" w:cs="仿宋"/>
          <w:i w:val="0"/>
          <w:iCs w:val="0"/>
          <w:caps w:val="0"/>
          <w:color w:val="535353"/>
          <w:spacing w:val="0"/>
          <w:sz w:val="32"/>
          <w:szCs w:val="32"/>
          <w:u w:val="none"/>
          <w:shd w:val="clear" w:fill="FFFFFF"/>
        </w:rPr>
        <w:t>、社会公众或服务对象满意度上提高了为民办事工作效率</w:t>
      </w:r>
      <w:r>
        <w:rPr>
          <w:rFonts w:hint="eastAsia" w:ascii="仿宋" w:hAnsi="仿宋" w:eastAsia="仿宋" w:cs="仿宋"/>
          <w:i w:val="0"/>
          <w:iCs w:val="0"/>
          <w:caps w:val="0"/>
          <w:color w:val="535353"/>
          <w:spacing w:val="0"/>
          <w:sz w:val="32"/>
          <w:szCs w:val="32"/>
          <w:u w:val="none"/>
          <w:shd w:val="clear" w:fill="FFFFFF"/>
          <w:lang w:eastAsia="zh-CN"/>
        </w:rPr>
        <w:t>，</w:t>
      </w:r>
      <w:r>
        <w:rPr>
          <w:rFonts w:ascii="仿宋" w:hAnsi="仿宋" w:eastAsia="仿宋" w:cs="仿宋"/>
          <w:i w:val="0"/>
          <w:iCs w:val="0"/>
          <w:caps w:val="0"/>
          <w:color w:val="535353"/>
          <w:spacing w:val="0"/>
          <w:sz w:val="32"/>
          <w:szCs w:val="32"/>
          <w:shd w:val="clear" w:fill="FFFFFF"/>
        </w:rPr>
        <w:t>提高土地和矿产管理的有效性。</w:t>
      </w:r>
    </w:p>
    <w:p>
      <w:pPr>
        <w:numPr>
          <w:ilvl w:val="0"/>
          <w:numId w:val="2"/>
        </w:numPr>
        <w:adjustRightInd w:val="0"/>
        <w:snapToGrid w:val="0"/>
        <w:spacing w:line="600" w:lineRule="exact"/>
        <w:ind w:left="0" w:leftChars="0"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存在的问题和改进措施</w:t>
      </w:r>
    </w:p>
    <w:p>
      <w:pPr>
        <w:adjustRightInd w:val="0"/>
        <w:snapToGrid w:val="0"/>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cs="Times New Roman"/>
          <w:sz w:val="32"/>
          <w:szCs w:val="32"/>
          <w:lang w:val="en-US" w:eastAsia="zh-CN"/>
        </w:rPr>
        <w:t>无</w:t>
      </w:r>
      <w:r>
        <w:rPr>
          <w:rFonts w:ascii="Times New Roman" w:hAnsi="Times New Roman" w:eastAsia="仿宋_GB2312" w:cs="Times New Roman"/>
          <w:sz w:val="32"/>
          <w:szCs w:val="32"/>
        </w:rPr>
        <w:t>。</w:t>
      </w:r>
    </w:p>
    <w:p>
      <w:pPr>
        <w:numPr>
          <w:ilvl w:val="0"/>
          <w:numId w:val="2"/>
        </w:numPr>
        <w:adjustRightInd w:val="0"/>
        <w:snapToGrid w:val="0"/>
        <w:spacing w:line="600" w:lineRule="exact"/>
        <w:ind w:left="0" w:leftChars="0"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绩效自评结果拟应用和公开情况</w:t>
      </w:r>
    </w:p>
    <w:p>
      <w:pPr>
        <w:numPr>
          <w:ilvl w:val="0"/>
          <w:numId w:val="0"/>
        </w:numPr>
        <w:adjustRightInd w:val="0"/>
        <w:snapToGrid w:val="0"/>
        <w:spacing w:line="600" w:lineRule="exact"/>
        <w:ind w:left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未公开</w:t>
      </w:r>
    </w:p>
    <w:p>
      <w:pPr>
        <w:numPr>
          <w:ilvl w:val="0"/>
          <w:numId w:val="2"/>
        </w:numPr>
        <w:adjustRightInd w:val="0"/>
        <w:snapToGrid w:val="0"/>
        <w:spacing w:line="600" w:lineRule="exact"/>
        <w:ind w:left="0" w:leftChars="0"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其他需要说明的问题</w:t>
      </w:r>
    </w:p>
    <w:p>
      <w:pPr>
        <w:numPr>
          <w:ilvl w:val="0"/>
          <w:numId w:val="0"/>
        </w:numPr>
        <w:adjustRightInd w:val="0"/>
        <w:snapToGrid w:val="0"/>
        <w:spacing w:line="600" w:lineRule="exact"/>
        <w:ind w:left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 无</w:t>
      </w:r>
    </w:p>
    <w:p>
      <w:pPr>
        <w:widowControl/>
        <w:spacing w:line="600" w:lineRule="exact"/>
        <w:ind w:firstLine="645"/>
        <w:jc w:val="left"/>
        <w:rPr>
          <w:rFonts w:hint="eastAsia" w:ascii="Times New Roman" w:hAnsi="Times New Roman" w:cs="Times New Roman"/>
          <w:sz w:val="32"/>
          <w:szCs w:val="32"/>
          <w:lang w:eastAsia="zh-CN"/>
        </w:rPr>
      </w:pPr>
    </w:p>
    <w:p>
      <w:pPr>
        <w:widowControl/>
        <w:spacing w:line="600" w:lineRule="exact"/>
        <w:ind w:firstLine="645"/>
        <w:jc w:val="left"/>
        <w:rPr>
          <w:rFonts w:hint="eastAsia" w:ascii="Times New Roman" w:hAnsi="Times New Roman" w:eastAsia="仿宋_GB2312" w:cs="Times New Roman"/>
          <w:sz w:val="32"/>
          <w:szCs w:val="32"/>
          <w:lang w:eastAsia="zh-CN"/>
        </w:rPr>
      </w:pPr>
      <w:r>
        <w:rPr>
          <w:rFonts w:hint="eastAsia" w:ascii="Times New Roman" w:hAnsi="Times New Roman" w:cs="Times New Roman"/>
          <w:sz w:val="32"/>
          <w:szCs w:val="32"/>
          <w:lang w:eastAsia="zh-CN"/>
        </w:rPr>
        <w:t>附件</w:t>
      </w:r>
      <w:r>
        <w:rPr>
          <w:rFonts w:ascii="Times New Roman" w:hAnsi="Times New Roman" w:eastAsia="仿宋_GB2312" w:cs="Times New Roman"/>
          <w:sz w:val="32"/>
          <w:szCs w:val="32"/>
        </w:rPr>
        <w:t>：项目支出绩效自评表</w:t>
      </w:r>
    </w:p>
    <w:p>
      <w:r>
        <w:br w:type="page"/>
      </w:r>
    </w:p>
    <w:tbl>
      <w:tblPr>
        <w:tblStyle w:val="7"/>
        <w:tblW w:w="9705" w:type="dxa"/>
        <w:tblInd w:w="-460" w:type="dxa"/>
        <w:tblLayout w:type="fixed"/>
        <w:tblCellMar>
          <w:top w:w="0" w:type="dxa"/>
          <w:left w:w="0" w:type="dxa"/>
          <w:bottom w:w="0" w:type="dxa"/>
          <w:right w:w="0" w:type="dxa"/>
        </w:tblCellMar>
      </w:tblPr>
      <w:tblGrid>
        <w:gridCol w:w="642"/>
        <w:gridCol w:w="750"/>
        <w:gridCol w:w="502"/>
        <w:gridCol w:w="1067"/>
        <w:gridCol w:w="1236"/>
        <w:gridCol w:w="1236"/>
        <w:gridCol w:w="1236"/>
        <w:gridCol w:w="1236"/>
        <w:gridCol w:w="1800"/>
      </w:tblGrid>
      <w:tr>
        <w:tblPrEx>
          <w:tblCellMar>
            <w:top w:w="0" w:type="dxa"/>
            <w:left w:w="0" w:type="dxa"/>
            <w:bottom w:w="0" w:type="dxa"/>
            <w:right w:w="0" w:type="dxa"/>
          </w:tblCellMar>
        </w:tblPrEx>
        <w:trPr>
          <w:trHeight w:val="465" w:hRule="atLeast"/>
        </w:trPr>
        <w:tc>
          <w:tcPr>
            <w:tcW w:w="9705"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2022</w:t>
            </w:r>
            <w:r>
              <w:rPr>
                <w:rFonts w:hint="eastAsia" w:ascii="Times New Roman" w:hAnsi="Times New Roman" w:eastAsia="方正小标宋_GBK" w:cs="Times New Roman"/>
                <w:color w:val="000000"/>
                <w:kern w:val="0"/>
                <w:sz w:val="36"/>
                <w:szCs w:val="36"/>
              </w:rPr>
              <w:t>年度项目支出绩效自评表</w:t>
            </w:r>
          </w:p>
        </w:tc>
      </w:tr>
      <w:tr>
        <w:tblPrEx>
          <w:tblCellMar>
            <w:top w:w="0" w:type="dxa"/>
            <w:left w:w="0" w:type="dxa"/>
            <w:bottom w:w="0" w:type="dxa"/>
            <w:right w:w="0" w:type="dxa"/>
          </w:tblCellMar>
        </w:tblPrEx>
        <w:trPr>
          <w:trHeight w:val="300" w:hRule="atLeast"/>
        </w:trPr>
        <w:tc>
          <w:tcPr>
            <w:tcW w:w="6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项目名称</w:t>
            </w:r>
          </w:p>
        </w:tc>
        <w:tc>
          <w:tcPr>
            <w:tcW w:w="9063"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国土变更调查经费</w:t>
            </w:r>
          </w:p>
        </w:tc>
      </w:tr>
      <w:tr>
        <w:tblPrEx>
          <w:tblCellMar>
            <w:top w:w="0" w:type="dxa"/>
            <w:left w:w="0" w:type="dxa"/>
            <w:bottom w:w="0" w:type="dxa"/>
            <w:right w:w="0" w:type="dxa"/>
          </w:tblCellMar>
        </w:tblPrEx>
        <w:trPr>
          <w:trHeight w:val="300" w:hRule="atLeast"/>
        </w:trPr>
        <w:tc>
          <w:tcPr>
            <w:tcW w:w="6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主管部门</w:t>
            </w:r>
          </w:p>
        </w:tc>
        <w:tc>
          <w:tcPr>
            <w:tcW w:w="355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资阳市资阳区自然资源局</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实施单位</w:t>
            </w:r>
          </w:p>
        </w:tc>
        <w:tc>
          <w:tcPr>
            <w:tcW w:w="427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湖南省隧道工程有限公司</w:t>
            </w:r>
          </w:p>
        </w:tc>
      </w:tr>
      <w:tr>
        <w:tblPrEx>
          <w:tblCellMar>
            <w:top w:w="0" w:type="dxa"/>
            <w:left w:w="0" w:type="dxa"/>
            <w:bottom w:w="0" w:type="dxa"/>
            <w:right w:w="0" w:type="dxa"/>
          </w:tblCellMar>
        </w:tblPrEx>
        <w:trPr>
          <w:trHeight w:val="300" w:hRule="atLeast"/>
        </w:trPr>
        <w:tc>
          <w:tcPr>
            <w:tcW w:w="64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项目资金（万元）</w:t>
            </w:r>
          </w:p>
        </w:tc>
        <w:tc>
          <w:tcPr>
            <w:tcW w:w="1252"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年度资金总额　</w:t>
            </w:r>
          </w:p>
        </w:tc>
        <w:tc>
          <w:tcPr>
            <w:tcW w:w="106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年初预算数</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全年预算数</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全年执行数</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分值</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执行率</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得分</w:t>
            </w:r>
          </w:p>
        </w:tc>
      </w:tr>
      <w:tr>
        <w:tblPrEx>
          <w:tblCellMar>
            <w:top w:w="0" w:type="dxa"/>
            <w:left w:w="0" w:type="dxa"/>
            <w:bottom w:w="0" w:type="dxa"/>
            <w:right w:w="0" w:type="dxa"/>
          </w:tblCellMar>
        </w:tblPrEx>
        <w:trPr>
          <w:trHeight w:val="240"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5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0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5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其中：当年财政拨款　</w:t>
            </w:r>
          </w:p>
        </w:tc>
        <w:tc>
          <w:tcPr>
            <w:tcW w:w="10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5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2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上年结转资金　</w:t>
            </w:r>
          </w:p>
        </w:tc>
        <w:tc>
          <w:tcPr>
            <w:tcW w:w="10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52"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2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其他资金</w:t>
            </w:r>
          </w:p>
        </w:tc>
        <w:tc>
          <w:tcPr>
            <w:tcW w:w="10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64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年度总体目标</w:t>
            </w:r>
          </w:p>
        </w:tc>
        <w:tc>
          <w:tcPr>
            <w:tcW w:w="355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预期目标</w:t>
            </w:r>
          </w:p>
        </w:tc>
        <w:tc>
          <w:tcPr>
            <w:tcW w:w="550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实际完成情况　</w:t>
            </w:r>
          </w:p>
        </w:tc>
      </w:tr>
      <w:tr>
        <w:tblPrEx>
          <w:tblCellMar>
            <w:top w:w="0" w:type="dxa"/>
            <w:left w:w="0" w:type="dxa"/>
            <w:bottom w:w="0" w:type="dxa"/>
            <w:right w:w="0" w:type="dxa"/>
          </w:tblCellMar>
        </w:tblPrEx>
        <w:trPr>
          <w:trHeight w:val="960" w:hRule="atLeast"/>
        </w:trPr>
        <w:tc>
          <w:tcPr>
            <w:tcW w:w="6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355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收集整理审批、权属资料；对比权属资料与三调数据，依据部、省规定的基数转换规则，提取转换图斑；建立资阳区城镇规划现状基数认定成果数据库</w:t>
            </w:r>
          </w:p>
        </w:tc>
        <w:tc>
          <w:tcPr>
            <w:tcW w:w="5508"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全部完成</w:t>
            </w:r>
          </w:p>
        </w:tc>
      </w:tr>
      <w:tr>
        <w:tblPrEx>
          <w:tblCellMar>
            <w:top w:w="0" w:type="dxa"/>
            <w:left w:w="0" w:type="dxa"/>
            <w:bottom w:w="0" w:type="dxa"/>
            <w:right w:w="0" w:type="dxa"/>
          </w:tblCellMar>
        </w:tblPrEx>
        <w:trPr>
          <w:trHeight w:val="300" w:hRule="atLeast"/>
        </w:trPr>
        <w:tc>
          <w:tcPr>
            <w:tcW w:w="642" w:type="dxa"/>
            <w:vMerge w:val="restart"/>
            <w:tcBorders>
              <w:top w:val="single" w:color="auto" w:sz="4" w:space="0"/>
              <w:left w:val="single" w:color="auto" w:sz="4" w:space="0"/>
              <w:bottom w:val="nil"/>
              <w:right w:val="single" w:color="auto" w:sz="4" w:space="0"/>
            </w:tcBorders>
            <w:shd w:val="clear" w:color="auto" w:fill="auto"/>
            <w:noWrap/>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绩效指标</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一级指标</w:t>
            </w:r>
          </w:p>
        </w:tc>
        <w:tc>
          <w:tcPr>
            <w:tcW w:w="50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二级指标</w:t>
            </w:r>
          </w:p>
        </w:tc>
        <w:tc>
          <w:tcPr>
            <w:tcW w:w="106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三级指标</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年度指标值</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实际完成值</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分值</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得分</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偏差原因分析及改进措施</w:t>
            </w:r>
          </w:p>
        </w:tc>
      </w:tr>
      <w:tr>
        <w:tblPrEx>
          <w:tblCellMar>
            <w:top w:w="0" w:type="dxa"/>
            <w:left w:w="0" w:type="dxa"/>
            <w:bottom w:w="0" w:type="dxa"/>
            <w:right w:w="0" w:type="dxa"/>
          </w:tblCellMar>
        </w:tblPrEx>
        <w:trPr>
          <w:trHeight w:val="240" w:hRule="atLeast"/>
        </w:trPr>
        <w:tc>
          <w:tcPr>
            <w:tcW w:w="642"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5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240" w:hRule="atLeast"/>
        </w:trPr>
        <w:tc>
          <w:tcPr>
            <w:tcW w:w="642"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5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0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642"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0" w:type="dxa"/>
            <w:vMerge w:val="restart"/>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产出指标(50分)</w:t>
            </w:r>
          </w:p>
        </w:tc>
        <w:tc>
          <w:tcPr>
            <w:tcW w:w="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数量指标</w:t>
            </w:r>
          </w:p>
        </w:tc>
        <w:tc>
          <w:tcPr>
            <w:tcW w:w="10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指标</w:t>
            </w:r>
            <w:r>
              <w:rPr>
                <w:rFonts w:ascii="Times New Roman" w:hAnsi="Times New Roman" w:eastAsia="仿宋_GB2312" w:cs="Times New Roman"/>
                <w:color w:val="000000"/>
                <w:kern w:val="0"/>
                <w:sz w:val="21"/>
                <w:szCs w:val="21"/>
              </w:rPr>
              <w:t>1</w:t>
            </w:r>
            <w:r>
              <w:rPr>
                <w:rFonts w:hint="eastAsia" w:ascii="Times New Roman" w:hAnsi="Times New Roman" w:eastAsia="仿宋_GB2312" w:cs="Times New Roman"/>
                <w:color w:val="000000"/>
                <w:kern w:val="0"/>
                <w:sz w:val="21"/>
                <w:szCs w:val="21"/>
              </w:rPr>
              <w:t>：项目实施的实际产出数与计划产出数的比率，用以反映和考核项目产出数量目标的实现程度。</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642"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0"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质量指标</w:t>
            </w:r>
          </w:p>
        </w:tc>
        <w:tc>
          <w:tcPr>
            <w:tcW w:w="10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指标</w:t>
            </w:r>
            <w:r>
              <w:rPr>
                <w:rFonts w:ascii="Times New Roman" w:hAnsi="Times New Roman" w:eastAsia="仿宋_GB2312" w:cs="Times New Roman"/>
                <w:color w:val="000000"/>
                <w:kern w:val="0"/>
                <w:sz w:val="21"/>
                <w:szCs w:val="21"/>
              </w:rPr>
              <w:t>1</w:t>
            </w:r>
            <w:r>
              <w:rPr>
                <w:rFonts w:hint="eastAsia" w:ascii="Times New Roman" w:hAnsi="Times New Roman" w:eastAsia="仿宋_GB2312" w:cs="Times New Roman"/>
                <w:color w:val="000000"/>
                <w:kern w:val="0"/>
                <w:sz w:val="21"/>
                <w:szCs w:val="21"/>
              </w:rPr>
              <w:t>：项目完成的质量达标产出数与实际产出数的比率，用以反映和考核项目产出质量目标的实现程度。</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642"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0"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时效指标</w:t>
            </w:r>
          </w:p>
        </w:tc>
        <w:tc>
          <w:tcPr>
            <w:tcW w:w="10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指标</w:t>
            </w:r>
            <w:r>
              <w:rPr>
                <w:rFonts w:ascii="Times New Roman" w:hAnsi="Times New Roman" w:eastAsia="仿宋_GB2312" w:cs="Times New Roman"/>
                <w:color w:val="000000"/>
                <w:kern w:val="0"/>
                <w:sz w:val="21"/>
                <w:szCs w:val="21"/>
              </w:rPr>
              <w:t>1</w:t>
            </w:r>
            <w:r>
              <w:rPr>
                <w:rFonts w:hint="eastAsia" w:ascii="Times New Roman" w:hAnsi="Times New Roman" w:eastAsia="仿宋_GB2312" w:cs="Times New Roman"/>
                <w:color w:val="000000"/>
                <w:kern w:val="0"/>
                <w:sz w:val="21"/>
                <w:szCs w:val="21"/>
              </w:rPr>
              <w:t>：项目实际提前完成时间与计划完成时间的比率，用以反映和考核项目产出时效目标的实现程度。</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642"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0"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成本指标</w:t>
            </w:r>
          </w:p>
        </w:tc>
        <w:tc>
          <w:tcPr>
            <w:tcW w:w="10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指标</w:t>
            </w:r>
            <w:r>
              <w:rPr>
                <w:rFonts w:ascii="Times New Roman" w:hAnsi="Times New Roman" w:eastAsia="仿宋_GB2312" w:cs="Times New Roman"/>
                <w:color w:val="000000"/>
                <w:kern w:val="0"/>
                <w:sz w:val="21"/>
                <w:szCs w:val="21"/>
              </w:rPr>
              <w:t>1</w:t>
            </w:r>
            <w:r>
              <w:rPr>
                <w:rFonts w:hint="eastAsia" w:ascii="Times New Roman" w:hAnsi="Times New Roman" w:eastAsia="仿宋_GB2312" w:cs="Times New Roman"/>
                <w:color w:val="000000"/>
                <w:kern w:val="0"/>
                <w:sz w:val="21"/>
                <w:szCs w:val="21"/>
              </w:rPr>
              <w:t>：完成项目计划工作目标的实际节约成本与计划成本的比率，用以反映和考核项目的成本节约程度。</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20万</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20万</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720" w:hRule="atLeast"/>
        </w:trPr>
        <w:tc>
          <w:tcPr>
            <w:tcW w:w="642"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0" w:type="dxa"/>
            <w:vMerge w:val="restart"/>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效益指标（40分）</w:t>
            </w:r>
          </w:p>
        </w:tc>
        <w:tc>
          <w:tcPr>
            <w:tcW w:w="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经济效益指标</w:t>
            </w:r>
          </w:p>
        </w:tc>
        <w:tc>
          <w:tcPr>
            <w:tcW w:w="10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掌握全区土地利用情况，是做好用地保障服务基础</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720" w:hRule="atLeast"/>
        </w:trPr>
        <w:tc>
          <w:tcPr>
            <w:tcW w:w="642"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0"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社会效益指标</w:t>
            </w:r>
          </w:p>
        </w:tc>
        <w:tc>
          <w:tcPr>
            <w:tcW w:w="10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掌握全区土地利用情况，是做好用地保障服务基础</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720" w:hRule="atLeast"/>
        </w:trPr>
        <w:tc>
          <w:tcPr>
            <w:tcW w:w="642"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0"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生态效益指标</w:t>
            </w:r>
          </w:p>
        </w:tc>
        <w:tc>
          <w:tcPr>
            <w:tcW w:w="10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能更好的服务于全区地籍与测绘工作的开展</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720" w:hRule="atLeast"/>
        </w:trPr>
        <w:tc>
          <w:tcPr>
            <w:tcW w:w="642"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0"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可持续影响指标</w:t>
            </w:r>
          </w:p>
        </w:tc>
        <w:tc>
          <w:tcPr>
            <w:tcW w:w="10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能更好的服务于全区地籍与测绘工作的开展</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720" w:hRule="atLeast"/>
        </w:trPr>
        <w:tc>
          <w:tcPr>
            <w:tcW w:w="642"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750" w:type="dxa"/>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50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服务对象满意度指标</w:t>
            </w:r>
          </w:p>
        </w:tc>
        <w:tc>
          <w:tcPr>
            <w:tcW w:w="10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能更好的服务于全区地籍与测绘工作的开展</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90%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7</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主要是工作还有不足地方</w:t>
            </w:r>
          </w:p>
        </w:tc>
      </w:tr>
      <w:tr>
        <w:tblPrEx>
          <w:tblCellMar>
            <w:top w:w="0" w:type="dxa"/>
            <w:left w:w="0" w:type="dxa"/>
            <w:bottom w:w="0" w:type="dxa"/>
            <w:right w:w="0" w:type="dxa"/>
          </w:tblCellMar>
        </w:tblPrEx>
        <w:trPr>
          <w:trHeight w:val="300" w:hRule="atLeast"/>
        </w:trPr>
        <w:tc>
          <w:tcPr>
            <w:tcW w:w="5433"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总分</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100</w:t>
            </w:r>
          </w:p>
        </w:tc>
        <w:tc>
          <w:tcPr>
            <w:tcW w:w="1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99</w:t>
            </w:r>
          </w:p>
        </w:tc>
        <w:tc>
          <w:tcPr>
            <w:tcW w:w="18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900" w:hRule="atLeast"/>
        </w:trPr>
        <w:tc>
          <w:tcPr>
            <w:tcW w:w="9705" w:type="dxa"/>
            <w:gridSpan w:val="9"/>
            <w:tcBorders>
              <w:top w:val="nil"/>
              <w:left w:val="nil"/>
              <w:bottom w:val="nil"/>
              <w:right w:val="nil"/>
            </w:tcBorders>
            <w:shd w:val="clear" w:color="auto" w:fill="auto"/>
            <w:noWrap/>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填表人：</w:t>
            </w:r>
            <w:r>
              <w:rPr>
                <w:rFonts w:ascii="Times New Roman" w:hAnsi="Times New Roman" w:eastAsia="仿宋_GB2312" w:cs="Times New Roman"/>
                <w:color w:val="000000"/>
                <w:kern w:val="0"/>
                <w:sz w:val="21"/>
                <w:szCs w:val="21"/>
              </w:rPr>
              <w:t xml:space="preserve">            </w:t>
            </w:r>
            <w:r>
              <w:rPr>
                <w:rFonts w:hint="eastAsia" w:ascii="Times New Roman" w:hAnsi="Times New Roman" w:eastAsia="仿宋_GB2312" w:cs="Times New Roman"/>
                <w:color w:val="000000"/>
                <w:kern w:val="0"/>
                <w:sz w:val="21"/>
                <w:szCs w:val="21"/>
              </w:rPr>
              <w:t>填报日期：</w:t>
            </w:r>
            <w:r>
              <w:rPr>
                <w:rFonts w:ascii="Times New Roman" w:hAnsi="Times New Roman" w:eastAsia="仿宋_GB2312" w:cs="Times New Roman"/>
                <w:color w:val="000000"/>
                <w:kern w:val="0"/>
                <w:sz w:val="21"/>
                <w:szCs w:val="21"/>
              </w:rPr>
              <w:t xml:space="preserve">           </w:t>
            </w:r>
            <w:r>
              <w:rPr>
                <w:rFonts w:hint="eastAsia" w:ascii="Times New Roman" w:hAnsi="Times New Roman" w:eastAsia="仿宋_GB2312" w:cs="Times New Roman"/>
                <w:color w:val="000000"/>
                <w:kern w:val="0"/>
                <w:sz w:val="21"/>
                <w:szCs w:val="21"/>
              </w:rPr>
              <w:t>联系电话：</w:t>
            </w:r>
            <w:r>
              <w:rPr>
                <w:rFonts w:ascii="Times New Roman" w:hAnsi="Times New Roman" w:eastAsia="仿宋_GB2312" w:cs="Times New Roman"/>
                <w:color w:val="000000"/>
                <w:kern w:val="0"/>
                <w:sz w:val="21"/>
                <w:szCs w:val="21"/>
              </w:rPr>
              <w:t xml:space="preserve">        </w:t>
            </w:r>
            <w:r>
              <w:rPr>
                <w:rFonts w:hint="eastAsia" w:ascii="Times New Roman" w:hAnsi="Times New Roman" w:eastAsia="仿宋_GB2312" w:cs="Times New Roman"/>
                <w:color w:val="000000"/>
                <w:kern w:val="0"/>
                <w:sz w:val="21"/>
                <w:szCs w:val="21"/>
              </w:rPr>
              <w:t>单位负责人签字：</w:t>
            </w:r>
          </w:p>
        </w:tc>
      </w:tr>
    </w:tbl>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35"/>
      <w:rPr>
        <w:rStyle w:val="9"/>
        <w:rFonts w:hint="eastAsia" w:ascii="宋体" w:hAnsi="宋体" w:eastAsia="宋体"/>
        <w:sz w:val="28"/>
      </w:rPr>
    </w:pPr>
    <w:r>
      <w:rPr>
        <w:rStyle w:val="9"/>
        <w:rFonts w:hint="eastAsia" w:ascii="宋体" w:hAnsi="宋体" w:eastAsia="宋体"/>
        <w:sz w:val="28"/>
      </w:rPr>
      <w:t>—</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3</w:t>
    </w:r>
    <w:r>
      <w:rPr>
        <w:rFonts w:ascii="宋体" w:hAnsi="宋体" w:eastAsia="宋体"/>
        <w:sz w:val="28"/>
      </w:rPr>
      <w:fldChar w:fldCharType="end"/>
    </w:r>
    <w:r>
      <w:rPr>
        <w:rStyle w:val="9"/>
        <w:rFonts w:hint="eastAsia" w:ascii="宋体" w:hAnsi="宋体" w:eastAsia="宋体"/>
        <w:sz w:val="28"/>
      </w:rPr>
      <w:t>—</w:t>
    </w:r>
  </w:p>
  <w:p>
    <w:pPr>
      <w:pStyle w:val="4"/>
      <w:ind w:right="360" w:firstLine="360"/>
      <w:jc w:val="right"/>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35"/>
      <w:rPr>
        <w:rStyle w:val="9"/>
        <w:rFonts w:hint="eastAsia" w:ascii="宋体" w:hAnsi="宋体" w:eastAsia="宋体"/>
        <w:sz w:val="28"/>
      </w:rPr>
    </w:pPr>
    <w:r>
      <w:rPr>
        <w:rStyle w:val="9"/>
        <w:rFonts w:hint="eastAsia" w:ascii="宋体" w:hAnsi="宋体" w:eastAsia="宋体"/>
        <w:sz w:val="28"/>
      </w:rPr>
      <w:t>—</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4</w:t>
    </w:r>
    <w:r>
      <w:rPr>
        <w:rFonts w:ascii="宋体" w:hAnsi="宋体" w:eastAsia="宋体"/>
        <w:sz w:val="28"/>
      </w:rPr>
      <w:fldChar w:fldCharType="end"/>
    </w:r>
    <w:r>
      <w:rPr>
        <w:rStyle w:val="9"/>
        <w:rFonts w:hint="eastAsia" w:ascii="宋体" w:hAnsi="宋体" w:eastAsia="宋体"/>
        <w:sz w:val="28"/>
      </w:rPr>
      <w:t>—</w:t>
    </w:r>
  </w:p>
  <w:p>
    <w:pPr>
      <w:pStyle w:val="4"/>
      <w:ind w:left="300" w:right="360" w:firstLine="360"/>
      <w:rPr>
        <w:rFonts w:hint="eastAsia"/>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C80D7"/>
    <w:multiLevelType w:val="singleLevel"/>
    <w:tmpl w:val="B7FC80D7"/>
    <w:lvl w:ilvl="0" w:tentative="0">
      <w:start w:val="2"/>
      <w:numFmt w:val="chineseCounting"/>
      <w:suff w:val="nothing"/>
      <w:lvlText w:val="%1、"/>
      <w:lvlJc w:val="left"/>
      <w:rPr>
        <w:rFonts w:hint="eastAsia"/>
      </w:rPr>
    </w:lvl>
  </w:abstractNum>
  <w:abstractNum w:abstractNumId="1">
    <w:nsid w:val="B844F41F"/>
    <w:multiLevelType w:val="singleLevel"/>
    <w:tmpl w:val="B844F41F"/>
    <w:lvl w:ilvl="0" w:tentative="0">
      <w:start w:val="2"/>
      <w:numFmt w:val="decimal"/>
      <w:suff w:val="nothing"/>
      <w:lvlText w:val="%1、"/>
      <w:lvlJc w:val="left"/>
    </w:lvl>
  </w:abstractNum>
  <w:abstractNum w:abstractNumId="2">
    <w:nsid w:val="BCCF2C08"/>
    <w:multiLevelType w:val="singleLevel"/>
    <w:tmpl w:val="BCCF2C08"/>
    <w:lvl w:ilvl="0" w:tentative="0">
      <w:start w:val="4"/>
      <w:numFmt w:val="chineseCounting"/>
      <w:suff w:val="nothing"/>
      <w:lvlText w:val="%1、"/>
      <w:lvlJc w:val="left"/>
      <w:rPr>
        <w:rFonts w:hint="eastAsia"/>
      </w:rPr>
    </w:lvl>
  </w:abstractNum>
  <w:abstractNum w:abstractNumId="3">
    <w:nsid w:val="FD8CDB6A"/>
    <w:multiLevelType w:val="singleLevel"/>
    <w:tmpl w:val="FD8CDB6A"/>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OGRhNTgwY2VkN2ZjZGM1NTljODQwMGEyNmVkOTgifQ=="/>
  </w:docVars>
  <w:rsids>
    <w:rsidRoot w:val="0803007E"/>
    <w:rsid w:val="041D1D1B"/>
    <w:rsid w:val="0803007E"/>
    <w:rsid w:val="34993154"/>
    <w:rsid w:val="3C320116"/>
    <w:rsid w:val="595B0C1A"/>
    <w:rsid w:val="6DF94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line="520" w:lineRule="exact"/>
      <w:ind w:left="0" w:leftChars="0" w:firstLine="1032" w:firstLineChars="200"/>
    </w:pPr>
    <w:rPr>
      <w:rFonts w:ascii="宋体" w:hAnsi="宋体" w:eastAsia="仿宋" w:cs="宋体"/>
      <w:kern w:val="21"/>
      <w:szCs w:val="28"/>
      <w:lang w:val="zh-CN" w:bidi="zh-CN"/>
    </w:rPr>
  </w:style>
  <w:style w:type="paragraph" w:styleId="3">
    <w:name w:val="Body Text Indent"/>
    <w:basedOn w:val="1"/>
    <w:qFormat/>
    <w:uiPriority w:val="0"/>
    <w:pPr>
      <w:ind w:firstLine="632"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qFormat/>
    <w:uiPriority w:val="0"/>
    <w:pPr>
      <w:spacing w:before="100" w:beforeAutospacing="1" w:after="0"/>
      <w:ind w:left="0" w:firstLine="420" w:firstLineChars="200"/>
    </w:p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629</Characters>
  <Lines>0</Lines>
  <Paragraphs>0</Paragraphs>
  <TotalTime>1</TotalTime>
  <ScaleCrop>false</ScaleCrop>
  <LinksUpToDate>false</LinksUpToDate>
  <CharactersWithSpaces>629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2023-04-18T03:46:00Z</dcterms:created>
  <dc:creator>疯狂的树叶</dc:creator>
  <cp:lastModifiedBy>曹艳</cp:lastModifiedBy>
  <dcterms:modified xsi:type="dcterms:W3CDTF">2023-09-13T09:41:48Z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5546A4A265CA4DB0845AE84B38A56A8C_13</vt:lpwstr>
  </property>
</Properties>
</file>