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cs="Times New Roman"/>
          <w:sz w:val="32"/>
          <w:szCs w:val="32"/>
          <w:lang w:eastAsia="zh-CN"/>
        </w:rPr>
      </w:pPr>
      <w:bookmarkStart w:id="0" w:name="_GoBack"/>
      <w:bookmarkEnd w:id="0"/>
    </w:p>
    <w:p>
      <w:pPr>
        <w:spacing w:line="560" w:lineRule="exact"/>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lang w:val="en-US" w:eastAsia="zh-CN"/>
        </w:rPr>
        <w:t>2022年度耕地质量等级别年度更新评价专项经费</w:t>
      </w:r>
      <w:r>
        <w:rPr>
          <w:rFonts w:hint="eastAsia" w:ascii="Times New Roman" w:hAnsi="Times New Roman" w:eastAsia="方正小标宋_GBK" w:cs="Times New Roman"/>
          <w:sz w:val="36"/>
          <w:szCs w:val="36"/>
          <w:lang w:eastAsia="zh-CN"/>
        </w:rPr>
        <w:t>项目资金</w:t>
      </w:r>
      <w:r>
        <w:rPr>
          <w:rFonts w:ascii="Times New Roman" w:hAnsi="Times New Roman" w:eastAsia="方正小标宋_GBK" w:cs="Times New Roman"/>
          <w:sz w:val="36"/>
          <w:szCs w:val="36"/>
        </w:rPr>
        <w:t>绩效</w:t>
      </w:r>
      <w:r>
        <w:rPr>
          <w:rFonts w:hint="eastAsia" w:ascii="Times New Roman" w:hAnsi="Times New Roman" w:eastAsia="方正小标宋_GBK" w:cs="Times New Roman"/>
          <w:sz w:val="36"/>
          <w:szCs w:val="36"/>
          <w:lang w:eastAsia="zh-CN"/>
        </w:rPr>
        <w:t>自评</w:t>
      </w:r>
      <w:r>
        <w:rPr>
          <w:rFonts w:ascii="Times New Roman" w:hAnsi="Times New Roman" w:eastAsia="方正小标宋_GBK" w:cs="Times New Roman"/>
          <w:sz w:val="36"/>
          <w:szCs w:val="36"/>
        </w:rPr>
        <w:t>报告</w:t>
      </w:r>
    </w:p>
    <w:p>
      <w:pPr>
        <w:adjustRightInd w:val="0"/>
        <w:spacing w:line="600" w:lineRule="exact"/>
        <w:ind w:right="641"/>
        <w:rPr>
          <w:rFonts w:ascii="Times New Roman" w:hAnsi="Times New Roman" w:eastAsia="仿宋_GB2312" w:cs="Times New Roman"/>
          <w:sz w:val="32"/>
          <w:szCs w:val="32"/>
        </w:rPr>
      </w:pPr>
    </w:p>
    <w:p>
      <w:pPr>
        <w:adjustRightInd w:val="0"/>
        <w:snapToGrid w:val="0"/>
        <w:spacing w:line="60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一、项目概况</w:t>
      </w:r>
    </w:p>
    <w:p>
      <w:pPr>
        <w:adjustRightInd w:val="0"/>
        <w:snapToGrid w:val="0"/>
        <w:spacing w:line="600" w:lineRule="exact"/>
        <w:ind w:firstLine="632" w:firstLineChars="200"/>
        <w:rPr>
          <w:rFonts w:ascii="Times New Roman" w:hAnsi="Times New Roman" w:eastAsia="仿宋_GB2312" w:cs="Times New Roman"/>
          <w:sz w:val="32"/>
          <w:szCs w:val="32"/>
        </w:rPr>
      </w:pPr>
    </w:p>
    <w:p>
      <w:pPr>
        <w:adjustRightInd w:val="0"/>
        <w:snapToGrid w:val="0"/>
        <w:spacing w:line="600" w:lineRule="exact"/>
        <w:ind w:firstLine="632"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耕地质量等别更新评价的主要任务</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严格耕地用途管控，明确耕地“非粮化”主要类型，摸清耕地“非粮化”底数，建立耕地“非粮化”台账，坚决制止新增耕地“非粮化”，分类稳妥处置耕地“非粮化”存量，全面落实粮食生产支持政策。</w:t>
      </w:r>
    </w:p>
    <w:p>
      <w:pPr>
        <w:numPr>
          <w:ilvl w:val="0"/>
          <w:numId w:val="1"/>
        </w:numPr>
        <w:adjustRightInd w:val="0"/>
        <w:snapToGrid w:val="0"/>
        <w:spacing w:line="600" w:lineRule="exact"/>
        <w:ind w:firstLine="632"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绩效自评工作开展情况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（一）绩效评价目的、对象和范围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本次绩效评价是针对耕地质量等级别年度更新评价专项经费项目资金工作进行，通过此次评价工作，客观反映出项目资金利用情况以和项目执行情况等。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（二）绩效评价原则、评价指标体系、评价方法、评价标准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依照项目初期制定的绩效目标申报表中的相关内容，按一定的评价程序，运用科学的评价方法、按照产出、效益、满意度等一级指标及层层分解的二、三级指标和年度指标值等评价的内容和标准对评价对象的项目资金执行率、产出情况、效益情况和满意度情况等进行客观公正地考核和评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（三）绩效评价工作过程。</w:t>
      </w:r>
    </w:p>
    <w:p>
      <w:pPr>
        <w:numPr>
          <w:ilvl w:val="0"/>
          <w:numId w:val="0"/>
        </w:numPr>
        <w:adjustRightInd w:val="0"/>
        <w:snapToGrid w:val="0"/>
        <w:spacing w:line="600" w:lineRule="exact"/>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依据项目初期设定的考核指标对照项目实际完成情况进行衡量打分，从而获得本项目的实际分数。</w:t>
      </w:r>
    </w:p>
    <w:p>
      <w:pPr>
        <w:adjustRightInd w:val="0"/>
        <w:snapToGrid w:val="0"/>
        <w:spacing w:line="600" w:lineRule="exact"/>
        <w:ind w:firstLine="632" w:firstLineChars="200"/>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综合评价结论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_GB2312" w:hAnsi="仿宋"/>
          <w:szCs w:val="32"/>
          <w:lang w:eastAsia="zh-CN"/>
        </w:rPr>
      </w:pPr>
      <w:r>
        <w:rPr>
          <w:rFonts w:hint="eastAsia" w:ascii="仿宋_GB2312" w:hAnsi="仿宋" w:eastAsia="仿宋_GB2312" w:cs="Times New Roman"/>
          <w:kern w:val="2"/>
          <w:sz w:val="32"/>
          <w:szCs w:val="32"/>
          <w:lang w:val="en-US" w:eastAsia="zh-CN" w:bidi="ar-SA"/>
        </w:rPr>
        <w:t>按年初设立的项目申报表的相关内容进行绩效评价，</w:t>
      </w:r>
      <w:r>
        <w:rPr>
          <w:rFonts w:hint="eastAsia" w:ascii="仿宋_GB2312" w:hAnsi="仿宋" w:cs="Times New Roman"/>
          <w:kern w:val="2"/>
          <w:sz w:val="32"/>
          <w:szCs w:val="32"/>
          <w:lang w:val="en-US" w:eastAsia="zh-CN" w:bidi="ar-SA"/>
        </w:rPr>
        <w:t>评价等级为优秀，评价分数为99分</w:t>
      </w:r>
      <w:r>
        <w:rPr>
          <w:rFonts w:hint="eastAsia" w:ascii="仿宋_GB2312" w:hAnsi="仿宋" w:eastAsia="仿宋_GB2312" w:cs="Times New Roman"/>
          <w:kern w:val="2"/>
          <w:sz w:val="32"/>
          <w:szCs w:val="32"/>
          <w:lang w:val="en-US" w:eastAsia="zh-CN" w:bidi="ar-SA"/>
        </w:rPr>
        <w:t>。</w:t>
      </w:r>
    </w:p>
    <w:p>
      <w:pPr>
        <w:numPr>
          <w:ilvl w:val="0"/>
          <w:numId w:val="2"/>
        </w:numPr>
        <w:adjustRightInd w:val="0"/>
        <w:snapToGrid w:val="0"/>
        <w:spacing w:line="600" w:lineRule="exact"/>
        <w:ind w:firstLine="632"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绩效目标实现情况分析</w:t>
      </w:r>
    </w:p>
    <w:p>
      <w:pPr>
        <w:widowControl/>
        <w:spacing w:line="600" w:lineRule="exact"/>
        <w:ind w:firstLine="632" w:firstLineChars="200"/>
        <w:jc w:val="both"/>
        <w:rPr>
          <w:rFonts w:hint="eastAsia"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（一）项目资金使用及管理情况</w:t>
      </w:r>
    </w:p>
    <w:p>
      <w:pPr>
        <w:adjustRightInd w:val="0"/>
        <w:snapToGrid w:val="0"/>
        <w:spacing w:line="600" w:lineRule="exact"/>
        <w:ind w:firstLine="632" w:firstLineChars="200"/>
        <w:rPr>
          <w:rFonts w:ascii="Times New Roman" w:hAnsi="Times New Roman" w:eastAsia="仿宋_GB2312" w:cs="Times New Roman"/>
          <w:sz w:val="32"/>
          <w:szCs w:val="32"/>
        </w:rPr>
      </w:pPr>
      <w:r>
        <w:rPr>
          <w:rFonts w:hint="eastAsia" w:ascii="Times New Roman" w:hAnsi="Times New Roman" w:cs="Times New Roman"/>
          <w:sz w:val="32"/>
          <w:szCs w:val="32"/>
          <w:lang w:val="en-US" w:eastAsia="zh-CN"/>
        </w:rPr>
        <w:t>1、</w:t>
      </w:r>
      <w:r>
        <w:rPr>
          <w:rFonts w:ascii="Times New Roman" w:hAnsi="Times New Roman" w:eastAsia="仿宋_GB2312" w:cs="Times New Roman"/>
          <w:sz w:val="32"/>
          <w:szCs w:val="32"/>
        </w:rPr>
        <w:t>项目资金安排落实、总投入等情况分析。</w:t>
      </w:r>
    </w:p>
    <w:p>
      <w:pPr>
        <w:adjustRightInd w:val="0"/>
        <w:snapToGrid w:val="0"/>
        <w:spacing w:line="600" w:lineRule="exact"/>
        <w:ind w:firstLine="592" w:firstLineChars="200"/>
        <w:rPr>
          <w:rFonts w:hint="default" w:eastAsia="仿宋_GB2312"/>
          <w:lang w:val="en-US" w:eastAsia="zh-CN"/>
        </w:rPr>
      </w:pPr>
      <w:r>
        <w:rPr>
          <w:rFonts w:hint="eastAsia" w:ascii="仿宋" w:hAnsi="仿宋" w:eastAsia="仿宋" w:cs="仿宋"/>
          <w:sz w:val="30"/>
          <w:szCs w:val="30"/>
          <w:lang w:val="en-US" w:eastAsia="zh-CN"/>
        </w:rPr>
        <w:t>项目完成投资20.00万元，实际支付金额20.00万元，项目结余资金0.00万元。</w:t>
      </w:r>
    </w:p>
    <w:p>
      <w:pPr>
        <w:adjustRightInd w:val="0"/>
        <w:snapToGrid w:val="0"/>
        <w:spacing w:line="600" w:lineRule="exact"/>
        <w:ind w:firstLine="632" w:firstLineChars="200"/>
        <w:rPr>
          <w:rFonts w:ascii="Times New Roman" w:hAnsi="Times New Roman" w:eastAsia="仿宋_GB2312" w:cs="Times New Roman"/>
          <w:sz w:val="32"/>
          <w:szCs w:val="32"/>
        </w:rPr>
      </w:pPr>
      <w:r>
        <w:rPr>
          <w:rFonts w:hint="eastAsia" w:ascii="Times New Roman" w:hAnsi="Times New Roman" w:cs="Times New Roman"/>
          <w:sz w:val="32"/>
          <w:szCs w:val="32"/>
          <w:lang w:val="en-US" w:eastAsia="zh-CN"/>
        </w:rPr>
        <w:t>2、</w:t>
      </w:r>
      <w:r>
        <w:rPr>
          <w:rFonts w:ascii="Times New Roman" w:hAnsi="Times New Roman" w:eastAsia="仿宋_GB2312" w:cs="Times New Roman"/>
          <w:sz w:val="32"/>
          <w:szCs w:val="32"/>
        </w:rPr>
        <w:t>项目资金实际使用情况分析。</w:t>
      </w:r>
    </w:p>
    <w:p>
      <w:pPr>
        <w:adjustRightInd w:val="0"/>
        <w:snapToGrid w:val="0"/>
        <w:spacing w:line="600" w:lineRule="exact"/>
        <w:ind w:firstLine="592" w:firstLineChars="200"/>
        <w:rPr>
          <w:rFonts w:hint="eastAsia" w:ascii="Times New Roman" w:hAnsi="Times New Roman" w:cs="Times New Roman"/>
          <w:sz w:val="32"/>
          <w:szCs w:val="32"/>
          <w:lang w:eastAsia="zh-CN"/>
        </w:rPr>
      </w:pPr>
      <w:r>
        <w:rPr>
          <w:rFonts w:hint="eastAsia" w:ascii="仿宋" w:hAnsi="仿宋" w:eastAsia="仿宋" w:cs="仿宋"/>
          <w:sz w:val="30"/>
          <w:szCs w:val="30"/>
          <w:lang w:eastAsia="zh-CN"/>
        </w:rPr>
        <w:t>区自然资源局</w:t>
      </w:r>
      <w:r>
        <w:rPr>
          <w:rFonts w:hint="eastAsia" w:ascii="仿宋" w:hAnsi="仿宋" w:eastAsia="仿宋" w:cs="仿宋"/>
          <w:sz w:val="30"/>
          <w:szCs w:val="30"/>
        </w:rPr>
        <w:t>高度重视</w:t>
      </w:r>
      <w:r>
        <w:rPr>
          <w:rFonts w:hint="eastAsia" w:ascii="Times New Roman" w:hAnsi="Times New Roman" w:eastAsia="仿宋_GB2312" w:cs="Times New Roman"/>
          <w:sz w:val="32"/>
          <w:szCs w:val="32"/>
        </w:rPr>
        <w:t>耕地质量等别更新评价</w:t>
      </w:r>
      <w:r>
        <w:rPr>
          <w:rFonts w:hint="eastAsia" w:ascii="仿宋" w:hAnsi="仿宋" w:eastAsia="仿宋" w:cs="仿宋"/>
          <w:color w:val="auto"/>
          <w:sz w:val="30"/>
          <w:szCs w:val="30"/>
          <w:lang w:val="en-US" w:eastAsia="zh-CN"/>
        </w:rPr>
        <w:t>项目</w:t>
      </w:r>
      <w:r>
        <w:rPr>
          <w:rFonts w:hint="eastAsia" w:ascii="仿宋" w:hAnsi="仿宋" w:eastAsia="仿宋" w:cs="仿宋"/>
          <w:color w:val="auto"/>
          <w:sz w:val="30"/>
          <w:szCs w:val="30"/>
        </w:rPr>
        <w:t>管理</w:t>
      </w:r>
      <w:r>
        <w:rPr>
          <w:rFonts w:hint="eastAsia" w:ascii="仿宋" w:hAnsi="仿宋" w:eastAsia="仿宋" w:cs="仿宋"/>
          <w:sz w:val="30"/>
          <w:szCs w:val="30"/>
        </w:rPr>
        <w:t>工作，严格按照“专账核算、</w:t>
      </w:r>
      <w:r>
        <w:rPr>
          <w:rFonts w:hint="eastAsia" w:ascii="仿宋" w:hAnsi="仿宋" w:eastAsia="仿宋" w:cs="仿宋"/>
          <w:sz w:val="30"/>
          <w:szCs w:val="30"/>
          <w:lang w:val="en-US" w:eastAsia="zh-CN"/>
        </w:rPr>
        <w:t>专款专</w:t>
      </w:r>
      <w:r>
        <w:rPr>
          <w:rFonts w:hint="eastAsia" w:ascii="仿宋" w:hAnsi="仿宋" w:eastAsia="仿宋" w:cs="仿宋"/>
          <w:sz w:val="30"/>
          <w:szCs w:val="30"/>
        </w:rPr>
        <w:t>用”的财务制度进行管理，明确专职会计人员核算项目资金，确保项目资金使用规范。</w:t>
      </w:r>
    </w:p>
    <w:p>
      <w:pPr>
        <w:numPr>
          <w:ilvl w:val="0"/>
          <w:numId w:val="3"/>
        </w:numPr>
        <w:adjustRightInd w:val="0"/>
        <w:snapToGrid w:val="0"/>
        <w:spacing w:line="60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项目资金管理情况分析，主要包括管理制度、办法的制订及执行情况。</w:t>
      </w:r>
    </w:p>
    <w:p>
      <w:pPr>
        <w:pStyle w:val="2"/>
        <w:keepNext w:val="0"/>
        <w:keepLines w:val="0"/>
        <w:pageBreakBefore w:val="0"/>
        <w:widowControl w:val="0"/>
        <w:kinsoku/>
        <w:wordWrap/>
        <w:topLinePunct w:val="0"/>
        <w:bidi w:val="0"/>
        <w:adjustRightInd/>
        <w:snapToGrid/>
        <w:spacing w:line="54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 xml:space="preserve"> </w:t>
      </w:r>
      <w:r>
        <w:rPr>
          <w:rFonts w:hint="eastAsia" w:ascii="仿宋" w:hAnsi="仿宋" w:eastAsia="仿宋" w:cs="仿宋"/>
          <w:sz w:val="30"/>
          <w:szCs w:val="30"/>
        </w:rPr>
        <w:t>为加强</w:t>
      </w:r>
      <w:r>
        <w:rPr>
          <w:rFonts w:hint="eastAsia" w:ascii="仿宋" w:hAnsi="仿宋" w:eastAsia="仿宋" w:cs="仿宋"/>
          <w:sz w:val="30"/>
          <w:szCs w:val="30"/>
          <w:lang w:val="en-US" w:eastAsia="zh-CN"/>
        </w:rPr>
        <w:t>项目</w:t>
      </w:r>
      <w:r>
        <w:rPr>
          <w:rFonts w:hint="eastAsia" w:ascii="仿宋" w:hAnsi="仿宋" w:eastAsia="仿宋" w:cs="仿宋"/>
          <w:sz w:val="30"/>
          <w:szCs w:val="30"/>
        </w:rPr>
        <w:t>资金的管理，</w:t>
      </w:r>
      <w:r>
        <w:rPr>
          <w:rFonts w:hint="eastAsia" w:ascii="仿宋" w:hAnsi="仿宋" w:eastAsia="仿宋" w:cs="仿宋"/>
          <w:sz w:val="30"/>
          <w:szCs w:val="30"/>
          <w:lang w:val="en-US" w:eastAsia="zh-CN"/>
        </w:rPr>
        <w:t>明确了资金管理要求，项目资金的支付均由</w:t>
      </w:r>
      <w:r>
        <w:rPr>
          <w:rFonts w:hint="eastAsia" w:ascii="Times New Roman" w:hAnsi="Times New Roman" w:eastAsia="仿宋_GB2312" w:cs="Times New Roman"/>
          <w:kern w:val="2"/>
          <w:sz w:val="32"/>
          <w:szCs w:val="32"/>
          <w:lang w:val="en-US" w:eastAsia="zh-CN" w:bidi="ar-SA"/>
        </w:rPr>
        <w:t>财政直接支付给服务单位，且做到了专帐管理、专款专用。财务上由局财务股负责管理，财务执行情况良好，项目资金管理到位。</w:t>
      </w:r>
    </w:p>
    <w:p>
      <w:pPr>
        <w:widowControl/>
        <w:numPr>
          <w:ilvl w:val="0"/>
          <w:numId w:val="4"/>
        </w:numPr>
        <w:spacing w:line="600" w:lineRule="exact"/>
        <w:ind w:firstLine="632" w:firstLineChars="200"/>
        <w:jc w:val="both"/>
        <w:rPr>
          <w:rFonts w:hint="eastAsia"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总体绩效目标完成情况分析</w:t>
      </w:r>
    </w:p>
    <w:p>
      <w:pPr>
        <w:pStyle w:val="4"/>
        <w:keepNext w:val="0"/>
        <w:keepLines w:val="0"/>
        <w:pageBreakBefore w:val="0"/>
        <w:numPr>
          <w:ilvl w:val="0"/>
          <w:numId w:val="0"/>
        </w:numPr>
        <w:kinsoku/>
        <w:wordWrap/>
        <w:overflowPunct/>
        <w:topLinePunct w:val="0"/>
        <w:autoSpaceDE/>
        <w:autoSpaceDN/>
        <w:bidi w:val="0"/>
        <w:adjustRightInd/>
        <w:spacing w:line="600" w:lineRule="exact"/>
        <w:ind w:firstLine="632" w:firstLineChars="200"/>
        <w:textAlignment w:val="auto"/>
        <w:rPr>
          <w:rFonts w:hint="eastAsia" w:ascii="楷体_GB2312" w:hAnsi="Times New Roman" w:eastAsia="楷体_GB2312" w:cs="Times New Roman"/>
          <w:b/>
          <w:kern w:val="2"/>
          <w:sz w:val="32"/>
          <w:szCs w:val="32"/>
          <w:lang w:val="en-US" w:eastAsia="zh-CN" w:bidi="ar-SA"/>
        </w:rPr>
      </w:pPr>
      <w:r>
        <w:rPr>
          <w:rFonts w:hint="eastAsia" w:ascii="Times New Roman" w:hAnsi="Times New Roman" w:cs="Times New Roman"/>
          <w:kern w:val="2"/>
          <w:sz w:val="32"/>
          <w:szCs w:val="32"/>
          <w:lang w:val="en-US" w:eastAsia="zh-CN" w:bidi="ar-SA"/>
        </w:rPr>
        <w:t>该</w:t>
      </w:r>
      <w:r>
        <w:rPr>
          <w:rFonts w:hint="eastAsia" w:ascii="Times New Roman" w:hAnsi="Times New Roman" w:eastAsia="仿宋_GB2312" w:cs="Times New Roman"/>
          <w:kern w:val="2"/>
          <w:sz w:val="32"/>
          <w:szCs w:val="32"/>
          <w:lang w:val="en-US" w:eastAsia="zh-CN" w:bidi="ar-SA"/>
        </w:rPr>
        <w:t>项目目标清晰，项目决策有理有据，项目资金到位及时、分配合理，相关项目管理制度健全，并严格按照规定内容组织实施，各个项目保质保量的推进，达到项目预期效果。</w:t>
      </w:r>
    </w:p>
    <w:p>
      <w:pPr>
        <w:widowControl/>
        <w:spacing w:line="600" w:lineRule="exact"/>
        <w:ind w:firstLine="632" w:firstLineChars="200"/>
        <w:jc w:val="both"/>
        <w:rPr>
          <w:rFonts w:hint="default"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（三）绩效指标完成情况分析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开展耕地质量等别更新评价工作有利掌握全县耕地质量及变化情况，促进保护耕地实现耕地占补平衡，为全</w:t>
      </w:r>
      <w:r>
        <w:rPr>
          <w:rFonts w:hint="eastAsia" w:ascii="Times New Roman" w:hAnsi="Times New Roman" w:cs="Times New Roman"/>
          <w:kern w:val="2"/>
          <w:sz w:val="32"/>
          <w:szCs w:val="32"/>
          <w:lang w:val="en-US" w:eastAsia="zh-CN" w:bidi="ar-SA"/>
        </w:rPr>
        <w:t>区</w:t>
      </w:r>
      <w:r>
        <w:rPr>
          <w:rFonts w:hint="eastAsia" w:ascii="Times New Roman" w:hAnsi="Times New Roman" w:eastAsia="仿宋_GB2312" w:cs="Times New Roman"/>
          <w:kern w:val="2"/>
          <w:sz w:val="32"/>
          <w:szCs w:val="32"/>
          <w:lang w:val="en-US" w:eastAsia="zh-CN" w:bidi="ar-SA"/>
        </w:rPr>
        <w:t>经济建设服务。</w:t>
      </w:r>
    </w:p>
    <w:p>
      <w:pPr>
        <w:numPr>
          <w:ilvl w:val="0"/>
          <w:numId w:val="2"/>
        </w:numPr>
        <w:adjustRightInd w:val="0"/>
        <w:snapToGrid w:val="0"/>
        <w:spacing w:line="600" w:lineRule="exact"/>
        <w:ind w:left="0" w:leftChars="0" w:firstLine="632"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存在的问题和改进措施</w:t>
      </w:r>
    </w:p>
    <w:p>
      <w:pPr>
        <w:adjustRightInd w:val="0"/>
        <w:snapToGrid w:val="0"/>
        <w:spacing w:line="600" w:lineRule="exact"/>
        <w:ind w:firstLine="632" w:firstLineChars="200"/>
        <w:rPr>
          <w:rFonts w:ascii="Times New Roman" w:hAnsi="Times New Roman" w:eastAsia="仿宋_GB2312" w:cs="Times New Roman"/>
          <w:sz w:val="32"/>
          <w:szCs w:val="32"/>
        </w:rPr>
      </w:pPr>
      <w:r>
        <w:rPr>
          <w:rFonts w:hint="eastAsia" w:ascii="Times New Roman" w:hAnsi="Times New Roman" w:cs="Times New Roman"/>
          <w:sz w:val="32"/>
          <w:szCs w:val="32"/>
          <w:lang w:val="en-US" w:eastAsia="zh-CN"/>
        </w:rPr>
        <w:t>无</w:t>
      </w:r>
      <w:r>
        <w:rPr>
          <w:rFonts w:ascii="Times New Roman" w:hAnsi="Times New Roman" w:eastAsia="仿宋_GB2312" w:cs="Times New Roman"/>
          <w:sz w:val="32"/>
          <w:szCs w:val="32"/>
        </w:rPr>
        <w:t>。</w:t>
      </w:r>
    </w:p>
    <w:p>
      <w:pPr>
        <w:numPr>
          <w:ilvl w:val="0"/>
          <w:numId w:val="2"/>
        </w:numPr>
        <w:adjustRightInd w:val="0"/>
        <w:snapToGrid w:val="0"/>
        <w:spacing w:line="600" w:lineRule="exact"/>
        <w:ind w:left="0" w:leftChars="0" w:firstLine="632"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绩效自评结果拟应用和公开情况</w:t>
      </w:r>
    </w:p>
    <w:p>
      <w:pPr>
        <w:numPr>
          <w:ilvl w:val="0"/>
          <w:numId w:val="0"/>
        </w:numPr>
        <w:adjustRightInd w:val="0"/>
        <w:snapToGrid w:val="0"/>
        <w:spacing w:line="600" w:lineRule="exact"/>
        <w:ind w:leftChars="200"/>
        <w:rPr>
          <w:rFonts w:hint="eastAsia" w:ascii="Times New Roman" w:hAnsi="Times New Roman" w:eastAsia="黑体" w:cs="Times New Roman"/>
          <w:sz w:val="32"/>
          <w:szCs w:val="32"/>
          <w:lang w:eastAsia="zh-CN"/>
        </w:rPr>
      </w:pPr>
      <w:r>
        <w:rPr>
          <w:rFonts w:hint="eastAsia" w:ascii="Times New Roman" w:hAnsi="Times New Roman" w:eastAsia="黑体" w:cs="Times New Roman"/>
          <w:b/>
          <w:bCs/>
          <w:sz w:val="32"/>
          <w:szCs w:val="32"/>
          <w:lang w:val="en-US" w:eastAsia="zh-CN"/>
        </w:rPr>
        <w:t xml:space="preserve">  </w:t>
      </w:r>
      <w:r>
        <w:rPr>
          <w:rFonts w:hint="eastAsia" w:ascii="仿宋" w:hAnsi="仿宋" w:eastAsia="仿宋" w:cs="仿宋"/>
          <w:kern w:val="2"/>
          <w:sz w:val="30"/>
          <w:szCs w:val="30"/>
          <w:highlight w:val="none"/>
          <w:lang w:val="en-US" w:eastAsia="zh-CN" w:bidi="ar-SA"/>
        </w:rPr>
        <w:t>未公开</w:t>
      </w:r>
    </w:p>
    <w:p>
      <w:pPr>
        <w:numPr>
          <w:ilvl w:val="0"/>
          <w:numId w:val="2"/>
        </w:numPr>
        <w:adjustRightInd w:val="0"/>
        <w:snapToGrid w:val="0"/>
        <w:spacing w:line="600" w:lineRule="exact"/>
        <w:ind w:left="0" w:leftChars="0" w:firstLine="632"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其他需要说明的问题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项目实施形成技术成果后，及时提供给相关业务股，为全</w:t>
      </w:r>
      <w:r>
        <w:rPr>
          <w:rFonts w:hint="eastAsia" w:ascii="Times New Roman" w:hAnsi="Times New Roman" w:cs="Times New Roman"/>
          <w:kern w:val="2"/>
          <w:sz w:val="32"/>
          <w:szCs w:val="32"/>
          <w:lang w:val="en-US" w:eastAsia="zh-CN" w:bidi="ar-SA"/>
        </w:rPr>
        <w:t>区</w:t>
      </w:r>
      <w:r>
        <w:rPr>
          <w:rFonts w:hint="eastAsia" w:ascii="Times New Roman" w:hAnsi="Times New Roman" w:eastAsia="仿宋_GB2312" w:cs="Times New Roman"/>
          <w:kern w:val="2"/>
          <w:sz w:val="32"/>
          <w:szCs w:val="32"/>
          <w:lang w:val="en-US" w:eastAsia="zh-CN" w:bidi="ar-SA"/>
        </w:rPr>
        <w:t>土地报批、土地整理项目、耕地占补平衡等工作提供指导。</w:t>
      </w:r>
    </w:p>
    <w:p>
      <w:pPr>
        <w:widowControl/>
        <w:spacing w:line="600" w:lineRule="exact"/>
        <w:ind w:firstLine="645"/>
        <w:jc w:val="left"/>
        <w:rPr>
          <w:rFonts w:hint="eastAsia" w:ascii="Times New Roman" w:hAnsi="Times New Roman" w:cs="Times New Roman"/>
          <w:sz w:val="32"/>
          <w:szCs w:val="32"/>
          <w:lang w:eastAsia="zh-CN"/>
        </w:rPr>
      </w:pPr>
    </w:p>
    <w:p>
      <w:pPr>
        <w:widowControl/>
        <w:spacing w:line="600" w:lineRule="exact"/>
        <w:ind w:firstLine="645"/>
        <w:jc w:val="left"/>
        <w:rPr>
          <w:rFonts w:hint="eastAsia" w:ascii="Times New Roman" w:hAnsi="Times New Roman" w:eastAsia="仿宋_GB2312" w:cs="Times New Roman"/>
          <w:sz w:val="32"/>
          <w:szCs w:val="32"/>
          <w:lang w:eastAsia="zh-CN"/>
        </w:rPr>
      </w:pPr>
      <w:r>
        <w:rPr>
          <w:rFonts w:hint="eastAsia" w:ascii="Times New Roman" w:hAnsi="Times New Roman" w:cs="Times New Roman"/>
          <w:sz w:val="32"/>
          <w:szCs w:val="32"/>
          <w:lang w:eastAsia="zh-CN"/>
        </w:rPr>
        <w:t>附件</w:t>
      </w:r>
      <w:r>
        <w:rPr>
          <w:rFonts w:ascii="Times New Roman" w:hAnsi="Times New Roman" w:eastAsia="仿宋_GB2312" w:cs="Times New Roman"/>
          <w:sz w:val="32"/>
          <w:szCs w:val="32"/>
        </w:rPr>
        <w:t>：项目支出绩效自评表</w:t>
      </w:r>
    </w:p>
    <w:p>
      <w:r>
        <w:br w:type="page"/>
      </w:r>
    </w:p>
    <w:tbl>
      <w:tblPr>
        <w:tblStyle w:val="8"/>
        <w:tblW w:w="10335" w:type="dxa"/>
        <w:tblInd w:w="-669" w:type="dxa"/>
        <w:tblLayout w:type="fixed"/>
        <w:tblCellMar>
          <w:top w:w="0" w:type="dxa"/>
          <w:left w:w="0" w:type="dxa"/>
          <w:bottom w:w="0" w:type="dxa"/>
          <w:right w:w="0" w:type="dxa"/>
        </w:tblCellMar>
      </w:tblPr>
      <w:tblGrid>
        <w:gridCol w:w="840"/>
        <w:gridCol w:w="751"/>
        <w:gridCol w:w="485"/>
        <w:gridCol w:w="755"/>
        <w:gridCol w:w="1664"/>
        <w:gridCol w:w="1236"/>
        <w:gridCol w:w="1236"/>
        <w:gridCol w:w="1236"/>
        <w:gridCol w:w="2132"/>
      </w:tblGrid>
      <w:tr>
        <w:tblPrEx>
          <w:tblCellMar>
            <w:top w:w="0" w:type="dxa"/>
            <w:left w:w="0" w:type="dxa"/>
            <w:bottom w:w="0" w:type="dxa"/>
            <w:right w:w="0" w:type="dxa"/>
          </w:tblCellMar>
        </w:tblPrEx>
        <w:trPr>
          <w:trHeight w:val="465" w:hRule="atLeast"/>
        </w:trPr>
        <w:tc>
          <w:tcPr>
            <w:tcW w:w="10335"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_GBK" w:cs="Times New Roman"/>
                <w:color w:val="000000"/>
                <w:kern w:val="0"/>
                <w:sz w:val="36"/>
                <w:szCs w:val="36"/>
                <w:lang w:eastAsia="zh-CN"/>
              </w:rPr>
            </w:pPr>
            <w:r>
              <w:rPr>
                <w:rFonts w:hint="eastAsia" w:ascii="Times New Roman" w:hAnsi="Times New Roman" w:eastAsia="方正小标宋_GBK" w:cs="Times New Roman"/>
                <w:color w:val="000000"/>
                <w:kern w:val="0"/>
                <w:sz w:val="36"/>
                <w:szCs w:val="36"/>
                <w:lang w:eastAsia="zh-CN"/>
              </w:rPr>
              <w:tab/>
            </w:r>
            <w:r>
              <w:rPr>
                <w:rFonts w:ascii="Times New Roman" w:hAnsi="Times New Roman" w:eastAsia="方正小标宋_GBK" w:cs="Times New Roman"/>
                <w:color w:val="000000"/>
                <w:kern w:val="0"/>
                <w:sz w:val="36"/>
                <w:szCs w:val="36"/>
              </w:rPr>
              <w:t>2022</w:t>
            </w:r>
            <w:r>
              <w:rPr>
                <w:rFonts w:hint="eastAsia" w:ascii="Times New Roman" w:hAnsi="Times New Roman" w:eastAsia="方正小标宋_GBK" w:cs="Times New Roman"/>
                <w:color w:val="000000"/>
                <w:kern w:val="0"/>
                <w:sz w:val="36"/>
                <w:szCs w:val="36"/>
              </w:rPr>
              <w:t>年度项目支出绩效自评表</w:t>
            </w:r>
            <w:r>
              <w:rPr>
                <w:rFonts w:hint="eastAsia" w:ascii="Times New Roman" w:hAnsi="Times New Roman" w:eastAsia="方正小标宋_GBK" w:cs="Times New Roman"/>
                <w:color w:val="000000"/>
                <w:kern w:val="0"/>
                <w:sz w:val="36"/>
                <w:szCs w:val="36"/>
                <w:lang w:eastAsia="zh-CN"/>
              </w:rPr>
              <w:tab/>
            </w:r>
          </w:p>
        </w:tc>
      </w:tr>
      <w:tr>
        <w:tblPrEx>
          <w:tblCellMar>
            <w:top w:w="0" w:type="dxa"/>
            <w:left w:w="0" w:type="dxa"/>
            <w:bottom w:w="0" w:type="dxa"/>
            <w:right w:w="0" w:type="dxa"/>
          </w:tblCellMar>
        </w:tblPrEx>
        <w:trPr>
          <w:trHeight w:val="300" w:hRule="atLeast"/>
        </w:trPr>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项目名称</w:t>
            </w:r>
          </w:p>
        </w:tc>
        <w:tc>
          <w:tcPr>
            <w:tcW w:w="9495" w:type="dxa"/>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耕地质量等级别年度更新评价专项经费</w:t>
            </w:r>
          </w:p>
        </w:tc>
      </w:tr>
      <w:tr>
        <w:tblPrEx>
          <w:tblCellMar>
            <w:top w:w="0" w:type="dxa"/>
            <w:left w:w="0" w:type="dxa"/>
            <w:bottom w:w="0" w:type="dxa"/>
            <w:right w:w="0" w:type="dxa"/>
          </w:tblCellMar>
        </w:tblPrEx>
        <w:trPr>
          <w:trHeight w:val="300" w:hRule="atLeast"/>
        </w:trPr>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主管部门</w:t>
            </w:r>
          </w:p>
        </w:tc>
        <w:tc>
          <w:tcPr>
            <w:tcW w:w="365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益阳市资阳区自然资源局</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实施单位</w:t>
            </w:r>
          </w:p>
        </w:tc>
        <w:tc>
          <w:tcPr>
            <w:tcW w:w="460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湖南湘图工程技术有限公司</w:t>
            </w:r>
          </w:p>
        </w:tc>
      </w:tr>
      <w:tr>
        <w:tblPrEx>
          <w:tblCellMar>
            <w:top w:w="0" w:type="dxa"/>
            <w:left w:w="0" w:type="dxa"/>
            <w:bottom w:w="0" w:type="dxa"/>
            <w:right w:w="0" w:type="dxa"/>
          </w:tblCellMar>
        </w:tblPrEx>
        <w:trPr>
          <w:trHeight w:val="300" w:hRule="atLeast"/>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项目资金（万元）</w:t>
            </w:r>
          </w:p>
        </w:tc>
        <w:tc>
          <w:tcPr>
            <w:tcW w:w="1236"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年度资金总额　</w:t>
            </w:r>
          </w:p>
        </w:tc>
        <w:tc>
          <w:tcPr>
            <w:tcW w:w="7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年初预算数</w:t>
            </w:r>
          </w:p>
        </w:tc>
        <w:tc>
          <w:tcPr>
            <w:tcW w:w="166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全年预算数</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全年执行数</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分值</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执行率</w:t>
            </w:r>
          </w:p>
        </w:tc>
        <w:tc>
          <w:tcPr>
            <w:tcW w:w="213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得分</w:t>
            </w:r>
          </w:p>
        </w:tc>
      </w:tr>
      <w:tr>
        <w:tblPrEx>
          <w:tblCellMar>
            <w:top w:w="0" w:type="dxa"/>
            <w:left w:w="0" w:type="dxa"/>
            <w:bottom w:w="0" w:type="dxa"/>
            <w:right w:w="0" w:type="dxa"/>
          </w:tblCellMar>
        </w:tblPrEx>
        <w:trPr>
          <w:trHeight w:val="24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21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w:t>
            </w:r>
          </w:p>
        </w:tc>
        <w:tc>
          <w:tcPr>
            <w:tcW w:w="1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其中：当年财政拨款　</w:t>
            </w:r>
          </w:p>
        </w:tc>
        <w:tc>
          <w:tcPr>
            <w:tcW w:w="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2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上年结转资金　</w:t>
            </w:r>
          </w:p>
        </w:tc>
        <w:tc>
          <w:tcPr>
            <w:tcW w:w="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664" w:type="dxa"/>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2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其他资金</w:t>
            </w:r>
          </w:p>
        </w:tc>
        <w:tc>
          <w:tcPr>
            <w:tcW w:w="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664" w:type="dxa"/>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年度总体目标</w:t>
            </w:r>
          </w:p>
        </w:tc>
        <w:tc>
          <w:tcPr>
            <w:tcW w:w="365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预期目标</w:t>
            </w:r>
          </w:p>
        </w:tc>
        <w:tc>
          <w:tcPr>
            <w:tcW w:w="584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实际完成情况　</w:t>
            </w:r>
          </w:p>
        </w:tc>
      </w:tr>
      <w:tr>
        <w:tblPrEx>
          <w:tblCellMar>
            <w:top w:w="0" w:type="dxa"/>
            <w:left w:w="0" w:type="dxa"/>
            <w:bottom w:w="0" w:type="dxa"/>
            <w:right w:w="0" w:type="dxa"/>
          </w:tblCellMar>
        </w:tblPrEx>
        <w:trPr>
          <w:trHeight w:val="30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365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“非粮化”整治测绘服务</w:t>
            </w:r>
          </w:p>
        </w:tc>
        <w:tc>
          <w:tcPr>
            <w:tcW w:w="584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全部完成</w:t>
            </w:r>
          </w:p>
        </w:tc>
      </w:tr>
      <w:tr>
        <w:tblPrEx>
          <w:tblCellMar>
            <w:top w:w="0" w:type="dxa"/>
            <w:left w:w="0" w:type="dxa"/>
            <w:bottom w:w="0" w:type="dxa"/>
            <w:right w:w="0" w:type="dxa"/>
          </w:tblCellMar>
        </w:tblPrEx>
        <w:trPr>
          <w:trHeight w:val="300" w:hRule="atLeast"/>
        </w:trPr>
        <w:tc>
          <w:tcPr>
            <w:tcW w:w="840" w:type="dxa"/>
            <w:vMerge w:val="restart"/>
            <w:tcBorders>
              <w:top w:val="single" w:color="auto" w:sz="4" w:space="0"/>
              <w:left w:val="single" w:color="auto" w:sz="4" w:space="0"/>
              <w:bottom w:val="nil"/>
              <w:right w:val="single" w:color="auto" w:sz="4" w:space="0"/>
            </w:tcBorders>
            <w:shd w:val="clear" w:color="auto" w:fill="auto"/>
            <w:noWrap/>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绩效指标</w:t>
            </w:r>
          </w:p>
        </w:tc>
        <w:tc>
          <w:tcPr>
            <w:tcW w:w="75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一级指标</w:t>
            </w:r>
          </w:p>
        </w:tc>
        <w:tc>
          <w:tcPr>
            <w:tcW w:w="4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二级指标</w:t>
            </w:r>
          </w:p>
        </w:tc>
        <w:tc>
          <w:tcPr>
            <w:tcW w:w="7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三级指标</w:t>
            </w:r>
          </w:p>
        </w:tc>
        <w:tc>
          <w:tcPr>
            <w:tcW w:w="166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年度指标值</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实际完成值</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分值</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得分</w:t>
            </w:r>
          </w:p>
        </w:tc>
        <w:tc>
          <w:tcPr>
            <w:tcW w:w="213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偏差原因分析及改进措施</w:t>
            </w:r>
          </w:p>
        </w:tc>
      </w:tr>
      <w:tr>
        <w:tblPrEx>
          <w:tblCellMar>
            <w:top w:w="0" w:type="dxa"/>
            <w:left w:w="0" w:type="dxa"/>
            <w:bottom w:w="0" w:type="dxa"/>
            <w:right w:w="0" w:type="dxa"/>
          </w:tblCellMar>
        </w:tblPrEx>
        <w:trPr>
          <w:trHeight w:val="240" w:hRule="atLeast"/>
        </w:trPr>
        <w:tc>
          <w:tcPr>
            <w:tcW w:w="840"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21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240" w:hRule="atLeast"/>
        </w:trPr>
        <w:tc>
          <w:tcPr>
            <w:tcW w:w="840"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21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480" w:hRule="atLeast"/>
        </w:trPr>
        <w:tc>
          <w:tcPr>
            <w:tcW w:w="840"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1" w:type="dxa"/>
            <w:vMerge w:val="restart"/>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产出指标(50分)</w:t>
            </w:r>
          </w:p>
        </w:tc>
        <w:tc>
          <w:tcPr>
            <w:tcW w:w="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数量指标</w:t>
            </w:r>
          </w:p>
        </w:tc>
        <w:tc>
          <w:tcPr>
            <w:tcW w:w="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根据该项目实际，标识具体明确的产出数量</w:t>
            </w:r>
          </w:p>
        </w:tc>
        <w:tc>
          <w:tcPr>
            <w:tcW w:w="16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一套</w:t>
            </w:r>
          </w:p>
        </w:tc>
        <w:tc>
          <w:tcPr>
            <w:tcW w:w="123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一套</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480" w:hRule="atLeast"/>
        </w:trPr>
        <w:tc>
          <w:tcPr>
            <w:tcW w:w="840"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1"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质量指标</w:t>
            </w:r>
          </w:p>
        </w:tc>
        <w:tc>
          <w:tcPr>
            <w:tcW w:w="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根据该项目实际，标识具体明确的产出质量</w:t>
            </w:r>
          </w:p>
        </w:tc>
        <w:tc>
          <w:tcPr>
            <w:tcW w:w="1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98%</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480" w:hRule="atLeast"/>
        </w:trPr>
        <w:tc>
          <w:tcPr>
            <w:tcW w:w="840"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1"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时效指标</w:t>
            </w:r>
          </w:p>
        </w:tc>
        <w:tc>
          <w:tcPr>
            <w:tcW w:w="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根据该项目实际，标识具体明确的产出时效</w:t>
            </w:r>
          </w:p>
        </w:tc>
        <w:tc>
          <w:tcPr>
            <w:tcW w:w="1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1年</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及时完成</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480" w:hRule="atLeast"/>
        </w:trPr>
        <w:tc>
          <w:tcPr>
            <w:tcW w:w="840"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1"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成本指标</w:t>
            </w:r>
          </w:p>
        </w:tc>
        <w:tc>
          <w:tcPr>
            <w:tcW w:w="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根据该项目实际，标识具体明确的产出成本</w:t>
            </w:r>
          </w:p>
        </w:tc>
        <w:tc>
          <w:tcPr>
            <w:tcW w:w="1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20万</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20万</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720" w:hRule="atLeast"/>
        </w:trPr>
        <w:tc>
          <w:tcPr>
            <w:tcW w:w="840"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1" w:type="dxa"/>
            <w:vMerge w:val="restart"/>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效益指标（40分）</w:t>
            </w:r>
          </w:p>
        </w:tc>
        <w:tc>
          <w:tcPr>
            <w:tcW w:w="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经济效益指标</w:t>
            </w:r>
          </w:p>
        </w:tc>
        <w:tc>
          <w:tcPr>
            <w:tcW w:w="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根据项目实际，标识所产生的直接或间接的经济效益</w:t>
            </w:r>
          </w:p>
        </w:tc>
        <w:tc>
          <w:tcPr>
            <w:tcW w:w="1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根据项目实际，标识所产生的直接或间接的经济效益</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提高</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9</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无</w:t>
            </w:r>
          </w:p>
        </w:tc>
      </w:tr>
      <w:tr>
        <w:tblPrEx>
          <w:tblCellMar>
            <w:top w:w="0" w:type="dxa"/>
            <w:left w:w="0" w:type="dxa"/>
            <w:bottom w:w="0" w:type="dxa"/>
            <w:right w:w="0" w:type="dxa"/>
          </w:tblCellMar>
        </w:tblPrEx>
        <w:trPr>
          <w:trHeight w:val="480" w:hRule="atLeast"/>
        </w:trPr>
        <w:tc>
          <w:tcPr>
            <w:tcW w:w="840"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1"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社会效益指标</w:t>
            </w:r>
          </w:p>
        </w:tc>
        <w:tc>
          <w:tcPr>
            <w:tcW w:w="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根据项目实际，标识所产生的社会效益</w:t>
            </w:r>
          </w:p>
        </w:tc>
        <w:tc>
          <w:tcPr>
            <w:tcW w:w="1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根据项目实际，标识所产生的社会效益</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提高</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720" w:hRule="atLeast"/>
        </w:trPr>
        <w:tc>
          <w:tcPr>
            <w:tcW w:w="840"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1"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生态效益指标</w:t>
            </w:r>
          </w:p>
        </w:tc>
        <w:tc>
          <w:tcPr>
            <w:tcW w:w="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根据项目实际，标识对环境所产生的积极或消极影响</w:t>
            </w:r>
          </w:p>
        </w:tc>
        <w:tc>
          <w:tcPr>
            <w:tcW w:w="1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根据项目实际，标识对环境所产生的积极或消极影响</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960" w:hRule="atLeast"/>
        </w:trPr>
        <w:tc>
          <w:tcPr>
            <w:tcW w:w="840"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1"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可持续影响指标</w:t>
            </w:r>
          </w:p>
        </w:tc>
        <w:tc>
          <w:tcPr>
            <w:tcW w:w="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将更新成果用于土地资源调查、地籍调查、变更调查等，便于工作的开展</w:t>
            </w:r>
          </w:p>
        </w:tc>
        <w:tc>
          <w:tcPr>
            <w:tcW w:w="1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720" w:hRule="atLeast"/>
        </w:trPr>
        <w:tc>
          <w:tcPr>
            <w:tcW w:w="840"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1"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服务对象满意度指标</w:t>
            </w:r>
          </w:p>
        </w:tc>
        <w:tc>
          <w:tcPr>
            <w:tcW w:w="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能更好有服务于群众，便于群众进行地籍信息的查询工作</w:t>
            </w:r>
          </w:p>
        </w:tc>
        <w:tc>
          <w:tcPr>
            <w:tcW w:w="1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5731"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总分</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100</w:t>
            </w:r>
            <w:r>
              <w:rPr>
                <w:rFonts w:hint="eastAsia" w:ascii="Times New Roman" w:hAnsi="Times New Roman" w:eastAsia="仿宋_GB2312" w:cs="Times New Roman"/>
                <w:color w:val="000000"/>
                <w:kern w:val="0"/>
                <w:sz w:val="21"/>
                <w:szCs w:val="21"/>
              </w:rPr>
              <w:t>分</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99</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900" w:hRule="atLeast"/>
        </w:trPr>
        <w:tc>
          <w:tcPr>
            <w:tcW w:w="6967" w:type="dxa"/>
            <w:gridSpan w:val="7"/>
            <w:tcBorders>
              <w:top w:val="nil"/>
              <w:left w:val="nil"/>
              <w:bottom w:val="nil"/>
              <w:right w:val="nil"/>
            </w:tcBorders>
            <w:shd w:val="clear" w:color="auto" w:fill="auto"/>
            <w:noWrap/>
            <w:tcMar>
              <w:top w:w="15" w:type="dxa"/>
              <w:left w:w="15" w:type="dxa"/>
              <w:bottom w:w="0" w:type="dxa"/>
              <w:right w:w="15" w:type="dxa"/>
            </w:tcMar>
            <w:vAlign w:val="center"/>
          </w:tcPr>
          <w:p>
            <w:pPr>
              <w:widowControl/>
              <w:spacing w:line="260" w:lineRule="exact"/>
              <w:jc w:val="both"/>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填表人：</w:t>
            </w:r>
            <w:r>
              <w:rPr>
                <w:rFonts w:ascii="Times New Roman" w:hAnsi="Times New Roman" w:eastAsia="仿宋_GB2312" w:cs="Times New Roman"/>
                <w:color w:val="000000"/>
                <w:kern w:val="0"/>
                <w:sz w:val="21"/>
                <w:szCs w:val="21"/>
              </w:rPr>
              <w:t xml:space="preserve"> </w:t>
            </w:r>
            <w:r>
              <w:rPr>
                <w:rFonts w:hint="eastAsia" w:ascii="Times New Roman" w:hAnsi="Times New Roman" w:cs="Times New Roman"/>
                <w:color w:val="000000"/>
                <w:kern w:val="0"/>
                <w:sz w:val="21"/>
                <w:szCs w:val="21"/>
                <w:lang w:val="en-US" w:eastAsia="zh-CN"/>
              </w:rPr>
              <w:t xml:space="preserve">     </w:t>
            </w:r>
            <w:r>
              <w:rPr>
                <w:rFonts w:hint="eastAsia" w:ascii="Times New Roman" w:hAnsi="Times New Roman" w:eastAsia="仿宋_GB2312" w:cs="Times New Roman"/>
                <w:color w:val="000000"/>
                <w:kern w:val="0"/>
                <w:sz w:val="21"/>
                <w:szCs w:val="21"/>
              </w:rPr>
              <w:t>填报日期：</w:t>
            </w:r>
            <w:r>
              <w:rPr>
                <w:rFonts w:ascii="Times New Roman" w:hAnsi="Times New Roman" w:eastAsia="仿宋_GB2312" w:cs="Times New Roman"/>
                <w:color w:val="000000"/>
                <w:kern w:val="0"/>
                <w:sz w:val="21"/>
                <w:szCs w:val="21"/>
              </w:rPr>
              <w:t xml:space="preserve">        </w:t>
            </w:r>
            <w:r>
              <w:rPr>
                <w:rFonts w:hint="eastAsia" w:ascii="Times New Roman" w:hAnsi="Times New Roman" w:eastAsia="仿宋_GB2312" w:cs="Times New Roman"/>
                <w:color w:val="000000"/>
                <w:kern w:val="0"/>
                <w:sz w:val="21"/>
                <w:szCs w:val="21"/>
              </w:rPr>
              <w:t xml:space="preserve">联系电话：  </w:t>
            </w:r>
            <w:r>
              <w:rPr>
                <w:rFonts w:ascii="Times New Roman" w:hAnsi="Times New Roman" w:eastAsia="仿宋_GB2312" w:cs="Times New Roman"/>
                <w:color w:val="000000"/>
                <w:kern w:val="0"/>
                <w:sz w:val="21"/>
                <w:szCs w:val="21"/>
              </w:rPr>
              <w:t xml:space="preserve">        </w:t>
            </w:r>
            <w:r>
              <w:rPr>
                <w:rFonts w:hint="eastAsia" w:ascii="Times New Roman" w:hAnsi="Times New Roman" w:eastAsia="仿宋_GB2312" w:cs="Times New Roman"/>
                <w:color w:val="000000"/>
                <w:kern w:val="0"/>
                <w:sz w:val="21"/>
                <w:szCs w:val="21"/>
              </w:rPr>
              <w:t>单位负责人签字：</w:t>
            </w:r>
          </w:p>
        </w:tc>
        <w:tc>
          <w:tcPr>
            <w:tcW w:w="1236" w:type="dxa"/>
            <w:tcBorders>
              <w:top w:val="nil"/>
              <w:left w:val="nil"/>
              <w:bottom w:val="nil"/>
              <w:right w:val="nil"/>
            </w:tcBorders>
            <w:shd w:val="clear" w:color="auto" w:fill="auto"/>
            <w:noWrap/>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2132" w:type="dxa"/>
            <w:tcBorders>
              <w:top w:val="nil"/>
              <w:left w:val="nil"/>
              <w:bottom w:val="nil"/>
              <w:right w:val="nil"/>
            </w:tcBorders>
            <w:shd w:val="clear" w:color="auto" w:fill="auto"/>
            <w:noWrap/>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bl>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35"/>
      <w:rPr>
        <w:rStyle w:val="10"/>
        <w:rFonts w:hint="eastAsia" w:ascii="宋体" w:hAnsi="宋体" w:eastAsia="宋体"/>
        <w:sz w:val="28"/>
      </w:rPr>
    </w:pPr>
    <w:r>
      <w:rPr>
        <w:rStyle w:val="10"/>
        <w:rFonts w:hint="eastAsia" w:ascii="宋体" w:hAnsi="宋体" w:eastAsia="宋体"/>
        <w:sz w:val="28"/>
      </w:rPr>
      <w:t>—</w:t>
    </w:r>
    <w:r>
      <w:rPr>
        <w:rFonts w:ascii="宋体" w:hAnsi="宋体" w:eastAsia="宋体"/>
        <w:sz w:val="28"/>
      </w:rPr>
      <w:fldChar w:fldCharType="begin"/>
    </w:r>
    <w:r>
      <w:rPr>
        <w:rStyle w:val="10"/>
        <w:rFonts w:ascii="宋体" w:hAnsi="宋体" w:eastAsia="宋体"/>
        <w:sz w:val="28"/>
      </w:rPr>
      <w:instrText xml:space="preserve">PAGE  </w:instrText>
    </w:r>
    <w:r>
      <w:rPr>
        <w:rFonts w:ascii="宋体" w:hAnsi="宋体" w:eastAsia="宋体"/>
        <w:sz w:val="28"/>
      </w:rPr>
      <w:fldChar w:fldCharType="separate"/>
    </w:r>
    <w:r>
      <w:rPr>
        <w:rStyle w:val="10"/>
        <w:rFonts w:ascii="宋体" w:hAnsi="宋体" w:eastAsia="宋体"/>
        <w:sz w:val="28"/>
      </w:rPr>
      <w:t>3</w:t>
    </w:r>
    <w:r>
      <w:rPr>
        <w:rFonts w:ascii="宋体" w:hAnsi="宋体" w:eastAsia="宋体"/>
        <w:sz w:val="28"/>
      </w:rPr>
      <w:fldChar w:fldCharType="end"/>
    </w:r>
    <w:r>
      <w:rPr>
        <w:rStyle w:val="10"/>
        <w:rFonts w:hint="eastAsia" w:ascii="宋体" w:hAnsi="宋体" w:eastAsia="宋体"/>
        <w:sz w:val="28"/>
      </w:rPr>
      <w:t>—</w:t>
    </w:r>
  </w:p>
  <w:p>
    <w:pPr>
      <w:pStyle w:val="5"/>
      <w:ind w:right="360" w:firstLine="360"/>
      <w:jc w:val="right"/>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10"/>
        <w:rFonts w:hint="eastAsia" w:ascii="宋体" w:hAnsi="宋体" w:eastAsia="宋体"/>
        <w:sz w:val="28"/>
      </w:rPr>
    </w:pPr>
    <w:r>
      <w:rPr>
        <w:rStyle w:val="10"/>
        <w:rFonts w:hint="eastAsia" w:ascii="宋体" w:hAnsi="宋体" w:eastAsia="宋体"/>
        <w:sz w:val="28"/>
      </w:rPr>
      <w:t>—</w:t>
    </w:r>
    <w:r>
      <w:rPr>
        <w:rFonts w:ascii="宋体" w:hAnsi="宋体" w:eastAsia="宋体"/>
        <w:sz w:val="28"/>
      </w:rPr>
      <w:fldChar w:fldCharType="begin"/>
    </w:r>
    <w:r>
      <w:rPr>
        <w:rStyle w:val="10"/>
        <w:rFonts w:ascii="宋体" w:hAnsi="宋体" w:eastAsia="宋体"/>
        <w:sz w:val="28"/>
      </w:rPr>
      <w:instrText xml:space="preserve">PAGE  </w:instrText>
    </w:r>
    <w:r>
      <w:rPr>
        <w:rFonts w:ascii="宋体" w:hAnsi="宋体" w:eastAsia="宋体"/>
        <w:sz w:val="28"/>
      </w:rPr>
      <w:fldChar w:fldCharType="separate"/>
    </w:r>
    <w:r>
      <w:rPr>
        <w:rStyle w:val="10"/>
        <w:rFonts w:ascii="宋体" w:hAnsi="宋体" w:eastAsia="宋体"/>
        <w:sz w:val="28"/>
      </w:rPr>
      <w:t>4</w:t>
    </w:r>
    <w:r>
      <w:rPr>
        <w:rFonts w:ascii="宋体" w:hAnsi="宋体" w:eastAsia="宋体"/>
        <w:sz w:val="28"/>
      </w:rPr>
      <w:fldChar w:fldCharType="end"/>
    </w:r>
    <w:r>
      <w:rPr>
        <w:rStyle w:val="10"/>
        <w:rFonts w:hint="eastAsia" w:ascii="宋体" w:hAnsi="宋体" w:eastAsia="宋体"/>
        <w:sz w:val="28"/>
      </w:rPr>
      <w:t>—</w:t>
    </w:r>
  </w:p>
  <w:p>
    <w:pPr>
      <w:pStyle w:val="5"/>
      <w:ind w:left="300" w:right="360" w:firstLine="360"/>
      <w:rPr>
        <w:rFonts w:hint="eastAsia"/>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A1149"/>
    <w:multiLevelType w:val="singleLevel"/>
    <w:tmpl w:val="B4EA1149"/>
    <w:lvl w:ilvl="0" w:tentative="0">
      <w:start w:val="2"/>
      <w:numFmt w:val="chineseCounting"/>
      <w:suff w:val="nothing"/>
      <w:lvlText w:val="（%1）"/>
      <w:lvlJc w:val="left"/>
      <w:rPr>
        <w:rFonts w:hint="eastAsia"/>
      </w:rPr>
    </w:lvl>
  </w:abstractNum>
  <w:abstractNum w:abstractNumId="1">
    <w:nsid w:val="BCCF2C08"/>
    <w:multiLevelType w:val="singleLevel"/>
    <w:tmpl w:val="BCCF2C08"/>
    <w:lvl w:ilvl="0" w:tentative="0">
      <w:start w:val="4"/>
      <w:numFmt w:val="chineseCounting"/>
      <w:suff w:val="nothing"/>
      <w:lvlText w:val="%1、"/>
      <w:lvlJc w:val="left"/>
      <w:rPr>
        <w:rFonts w:hint="eastAsia"/>
      </w:rPr>
    </w:lvl>
  </w:abstractNum>
  <w:abstractNum w:abstractNumId="2">
    <w:nsid w:val="EDD99501"/>
    <w:multiLevelType w:val="singleLevel"/>
    <w:tmpl w:val="EDD99501"/>
    <w:lvl w:ilvl="0" w:tentative="0">
      <w:start w:val="3"/>
      <w:numFmt w:val="decimal"/>
      <w:suff w:val="nothing"/>
      <w:lvlText w:val="%1、"/>
      <w:lvlJc w:val="left"/>
    </w:lvl>
  </w:abstractNum>
  <w:abstractNum w:abstractNumId="3">
    <w:nsid w:val="68093E4F"/>
    <w:multiLevelType w:val="singleLevel"/>
    <w:tmpl w:val="68093E4F"/>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OGRhNTgwY2VkN2ZjZGM1NTljODQwMGEyNmVkOTgifQ=="/>
  </w:docVars>
  <w:rsids>
    <w:rsidRoot w:val="0803007E"/>
    <w:rsid w:val="02F54FC6"/>
    <w:rsid w:val="0803007E"/>
    <w:rsid w:val="095A3DD5"/>
    <w:rsid w:val="0A621193"/>
    <w:rsid w:val="0A99092D"/>
    <w:rsid w:val="19DA628A"/>
    <w:rsid w:val="24084702"/>
    <w:rsid w:val="2A7F3244"/>
    <w:rsid w:val="2AD53484"/>
    <w:rsid w:val="2F6775D0"/>
    <w:rsid w:val="31812575"/>
    <w:rsid w:val="34993154"/>
    <w:rsid w:val="36AB1D92"/>
    <w:rsid w:val="3DDA0A65"/>
    <w:rsid w:val="3F066B19"/>
    <w:rsid w:val="48C04CFB"/>
    <w:rsid w:val="57D4431F"/>
    <w:rsid w:val="5D35760E"/>
    <w:rsid w:val="5D5A7075"/>
    <w:rsid w:val="639A641D"/>
    <w:rsid w:val="66BB69B1"/>
    <w:rsid w:val="6F767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line="520" w:lineRule="exact"/>
      <w:ind w:left="0" w:leftChars="0" w:firstLine="1032" w:firstLineChars="200"/>
    </w:pPr>
    <w:rPr>
      <w:rFonts w:ascii="宋体" w:hAnsi="宋体" w:eastAsia="仿宋" w:cs="宋体"/>
      <w:kern w:val="21"/>
      <w:szCs w:val="28"/>
      <w:lang w:val="zh-CN" w:bidi="zh-CN"/>
    </w:rPr>
  </w:style>
  <w:style w:type="paragraph" w:styleId="3">
    <w:name w:val="Body Text Indent"/>
    <w:basedOn w:val="1"/>
    <w:qFormat/>
    <w:uiPriority w:val="0"/>
    <w:pPr>
      <w:ind w:firstLine="632" w:firstLineChars="200"/>
    </w:pPr>
  </w:style>
  <w:style w:type="paragraph" w:styleId="4">
    <w:name w:val="endnote text"/>
    <w:basedOn w:val="1"/>
    <w:qFormat/>
    <w:uiPriority w:val="0"/>
    <w:pPr>
      <w:snapToGrid w:val="0"/>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spacing w:before="100" w:beforeAutospacing="1" w:after="0"/>
      <w:ind w:left="0" w:firstLine="420" w:firstLineChars="200"/>
    </w:p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1037</Words>
  <Characters>1052</Characters>
  <Lines>0</Lines>
  <Paragraphs>0</Paragraphs>
  <TotalTime>1</TotalTime>
  <ScaleCrop>false</ScaleCrop>
  <LinksUpToDate>false</LinksUpToDate>
  <CharactersWithSpaces>1055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2023-04-18T03:46:00Z</dcterms:created>
  <dc:creator>疯狂的树叶</dc:creator>
  <cp:lastModifiedBy>曹艳</cp:lastModifiedBy>
  <dcterms:modified xsi:type="dcterms:W3CDTF">2023-09-13T09:41:19Z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7D19DABF6EBB46FFBE933717DEBE8C7C_13</vt:lpwstr>
  </property>
</Properties>
</file>