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b/>
          <w:bCs/>
          <w:kern w:val="0"/>
          <w:sz w:val="36"/>
          <w:szCs w:val="36"/>
        </w:rPr>
      </w:pPr>
      <w:r>
        <w:rPr>
          <w:rFonts w:hint="eastAsia"/>
          <w:b/>
          <w:bCs/>
          <w:kern w:val="0"/>
          <w:sz w:val="36"/>
          <w:szCs w:val="36"/>
        </w:rPr>
        <w:t>益阳市资阳区自然资源局</w:t>
      </w:r>
    </w:p>
    <w:p>
      <w:pPr>
        <w:widowControl/>
        <w:spacing w:line="600" w:lineRule="exact"/>
        <w:jc w:val="center"/>
        <w:rPr>
          <w:b/>
          <w:bCs/>
          <w:kern w:val="0"/>
          <w:sz w:val="36"/>
          <w:szCs w:val="36"/>
        </w:rPr>
      </w:pPr>
      <w:r>
        <w:rPr>
          <w:rFonts w:hint="eastAsia"/>
          <w:b/>
          <w:bCs/>
          <w:kern w:val="0"/>
          <w:sz w:val="36"/>
          <w:szCs w:val="36"/>
        </w:rPr>
        <w:t>202</w:t>
      </w:r>
      <w:r>
        <w:rPr>
          <w:rFonts w:hint="default"/>
          <w:b/>
          <w:bCs/>
          <w:kern w:val="0"/>
          <w:sz w:val="36"/>
          <w:szCs w:val="36"/>
          <w:lang w:val="en-US"/>
        </w:rPr>
        <w:t>2</w:t>
      </w:r>
      <w:r>
        <w:rPr>
          <w:rFonts w:hint="eastAsia"/>
          <w:b/>
          <w:bCs/>
          <w:kern w:val="0"/>
          <w:sz w:val="36"/>
          <w:szCs w:val="36"/>
        </w:rPr>
        <w:t>年整体支出绩效自评报告</w:t>
      </w:r>
    </w:p>
    <w:p>
      <w:pPr>
        <w:widowControl/>
        <w:spacing w:line="600" w:lineRule="exact"/>
        <w:jc w:val="center"/>
        <w:rPr>
          <w:b/>
          <w:bCs/>
          <w:kern w:val="0"/>
          <w:sz w:val="36"/>
          <w:szCs w:val="36"/>
        </w:rPr>
      </w:pPr>
    </w:p>
    <w:p>
      <w:pPr>
        <w:spacing w:line="500" w:lineRule="exact"/>
        <w:ind w:firstLine="600" w:firstLineChars="200"/>
        <w:rPr>
          <w:b/>
          <w:bCs/>
          <w:kern w:val="0"/>
          <w:sz w:val="36"/>
          <w:szCs w:val="36"/>
        </w:rPr>
      </w:pPr>
      <w:r>
        <w:rPr>
          <w:rFonts w:hint="eastAsia" w:ascii="仿宋_GB2312" w:hAnsi="仿宋_GB2312" w:eastAsia="仿宋_GB2312" w:cs="仿宋_GB2312"/>
          <w:sz w:val="30"/>
          <w:szCs w:val="30"/>
          <w:lang w:val="en-US" w:eastAsia="zh-CN"/>
        </w:rPr>
        <w:t>为进一步规范财政资金管理，牢固树立预算绩效理念，强化部门支出责任，提高财政资金使用效益，根据</w:t>
      </w:r>
      <w:r>
        <w:rPr>
          <w:rFonts w:hint="eastAsia" w:ascii="仿宋_GB2312" w:hAnsi="仿宋_GB2312" w:eastAsia="仿宋_GB2312" w:cs="仿宋_GB2312"/>
          <w:sz w:val="30"/>
          <w:szCs w:val="30"/>
        </w:rPr>
        <w:t>《中共中央国务院关于全面实施预算绩效管理的意见》（中发〔2018〕34号）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财政部关于印发&lt;项目支出绩效评价管理办法&gt;的通知》(财预【2020】10号）和《中共湖南省委办公厅湖南省人民政府办公厅关于全面实施预算绩效管理的实施意见》（湘办发【2019】10号）等有关文件</w:t>
      </w:r>
      <w:r>
        <w:rPr>
          <w:rFonts w:hint="eastAsia" w:ascii="仿宋_GB2312" w:hAnsi="仿宋_GB2312" w:eastAsia="仿宋_GB2312" w:cs="仿宋_GB2312"/>
          <w:sz w:val="30"/>
          <w:szCs w:val="30"/>
        </w:rPr>
        <w:t>精神，</w:t>
      </w:r>
      <w:r>
        <w:rPr>
          <w:rFonts w:hint="eastAsia" w:ascii="仿宋" w:hAnsi="仿宋" w:eastAsia="仿宋"/>
          <w:sz w:val="32"/>
        </w:rPr>
        <w:t>我局积极组织，对202</w:t>
      </w:r>
      <w:r>
        <w:rPr>
          <w:rFonts w:hint="eastAsia" w:ascii="仿宋" w:hAnsi="仿宋" w:eastAsia="仿宋"/>
          <w:sz w:val="32"/>
          <w:lang w:val="en-US" w:eastAsia="zh-CN"/>
        </w:rPr>
        <w:t>2</w:t>
      </w:r>
      <w:r>
        <w:rPr>
          <w:rFonts w:hint="eastAsia" w:ascii="仿宋" w:hAnsi="仿宋" w:eastAsia="仿宋"/>
          <w:sz w:val="32"/>
        </w:rPr>
        <w:t>年度本单位整体支出进行了绩效自评，</w:t>
      </w:r>
      <w:r>
        <w:rPr>
          <w:rFonts w:hint="eastAsia" w:ascii="仿宋_GB2312" w:hAnsi="仿宋_GB2312" w:eastAsia="仿宋_GB2312" w:cs="仿宋_GB2312"/>
          <w:sz w:val="30"/>
          <w:szCs w:val="30"/>
        </w:rPr>
        <w:t>现将有关情况报告如下：</w:t>
      </w:r>
    </w:p>
    <w:p>
      <w:pPr>
        <w:widowControl/>
        <w:spacing w:line="600" w:lineRule="exact"/>
        <w:ind w:firstLine="482" w:firstLineChars="150"/>
        <w:jc w:val="left"/>
        <w:rPr>
          <w:rFonts w:ascii="宋体" w:hAnsi="宋体" w:cs="宋体"/>
          <w:b/>
          <w:kern w:val="0"/>
          <w:sz w:val="32"/>
          <w:szCs w:val="32"/>
        </w:rPr>
      </w:pPr>
      <w:r>
        <w:rPr>
          <w:rFonts w:hint="eastAsia" w:ascii="宋体" w:hAnsi="宋体" w:cs="宋体"/>
          <w:b/>
          <w:kern w:val="0"/>
          <w:sz w:val="32"/>
          <w:szCs w:val="32"/>
        </w:rPr>
        <w:t>一、部门、单位基本情况</w:t>
      </w:r>
    </w:p>
    <w:p>
      <w:pPr>
        <w:pStyle w:val="6"/>
        <w:widowControl/>
        <w:shd w:val="clear" w:color="auto" w:fill="FFFFFF"/>
        <w:spacing w:beforeAutospacing="0" w:afterAutospacing="0" w:line="33" w:lineRule="atLeast"/>
        <w:ind w:firstLine="739" w:firstLineChars="231"/>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职能职责</w:t>
      </w:r>
    </w:p>
    <w:p>
      <w:pPr>
        <w:spacing w:line="520" w:lineRule="exact"/>
        <w:ind w:firstLine="640"/>
        <w:rPr>
          <w:rFonts w:ascii="仿宋" w:hAnsi="仿宋" w:eastAsia="仿宋"/>
          <w:sz w:val="32"/>
        </w:rPr>
      </w:pPr>
      <w:r>
        <w:rPr>
          <w:rFonts w:hint="eastAsia" w:ascii="仿宋" w:hAnsi="仿宋" w:eastAsia="仿宋"/>
          <w:sz w:val="32"/>
        </w:rPr>
        <w:t>(1)依法履行资阳区辖区内(除市直管中心城区范围以外)全民所有土地、矿产、森林、草原、湿地、水等自然资源资产所有者职责和国土空间用途管制职责。</w:t>
      </w:r>
    </w:p>
    <w:p>
      <w:pPr>
        <w:spacing w:line="520" w:lineRule="exact"/>
        <w:ind w:firstLine="640"/>
        <w:rPr>
          <w:rFonts w:ascii="仿宋" w:hAnsi="仿宋" w:eastAsia="仿宋"/>
          <w:sz w:val="32"/>
        </w:rPr>
      </w:pPr>
      <w:r>
        <w:rPr>
          <w:rFonts w:hint="eastAsia" w:ascii="仿宋" w:hAnsi="仿宋" w:eastAsia="仿宋"/>
          <w:sz w:val="32"/>
        </w:rPr>
        <w:t>(2)负责实施自然资源基础调查、专项调查和动态监测。负责自然资源调查监测评价成果的监督管理和信息发布。负责全区自然资源调查监测评价工作。</w:t>
      </w:r>
    </w:p>
    <w:p>
      <w:pPr>
        <w:spacing w:line="520" w:lineRule="exact"/>
        <w:ind w:firstLine="640"/>
        <w:rPr>
          <w:rFonts w:ascii="仿宋" w:hAnsi="仿宋" w:eastAsia="仿宋"/>
          <w:sz w:val="32"/>
        </w:rPr>
      </w:pPr>
      <w:r>
        <w:rPr>
          <w:rFonts w:hint="eastAsia" w:ascii="仿宋" w:hAnsi="仿宋" w:eastAsia="仿宋"/>
          <w:sz w:val="32"/>
        </w:rPr>
        <w:t>(3)负责自然资源统一确权登记工作。履行各类自然资源和不动产统一确权登记、权籍调查、不动产测绘、争议调处、成果应用的制度、标准、规范。建立健全自然资源和不动产登记信息管理基础平台。负责自然资源和不动产登记资料收集、整理、共享、汇交管理等。指导监督全区自然资源和不动产确权登记。</w:t>
      </w:r>
    </w:p>
    <w:p>
      <w:pPr>
        <w:spacing w:line="520" w:lineRule="exact"/>
        <w:ind w:firstLine="640"/>
        <w:rPr>
          <w:rFonts w:ascii="仿宋" w:hAnsi="仿宋" w:eastAsia="仿宋"/>
          <w:sz w:val="32"/>
        </w:rPr>
      </w:pPr>
      <w:r>
        <w:rPr>
          <w:rFonts w:hint="eastAsia" w:ascii="仿宋" w:hAnsi="仿宋" w:eastAsia="仿宋"/>
          <w:sz w:val="32"/>
        </w:rPr>
        <w:t>(4)负责自然资源资产有偿使用工作。负责全民所有自然资源资产统计和资产核算。编制全民所有自然资源资产负债表,拟订考核标准。负责全民所有自然资源资产划拨、出让、租赁、作价出资和土地储备工作,合理配置全民所有自然资源资产。负责自然资源资产价值评估管理。</w:t>
      </w:r>
    </w:p>
    <w:p>
      <w:pPr>
        <w:spacing w:line="520" w:lineRule="exact"/>
        <w:ind w:firstLine="640"/>
        <w:rPr>
          <w:rFonts w:ascii="仿宋" w:hAnsi="仿宋" w:eastAsia="仿宋"/>
          <w:sz w:val="32"/>
        </w:rPr>
      </w:pPr>
      <w:r>
        <w:rPr>
          <w:rFonts w:hint="eastAsia" w:ascii="仿宋" w:hAnsi="仿宋" w:eastAsia="仿宋"/>
          <w:sz w:val="32"/>
        </w:rPr>
        <w:t>(5)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pacing w:line="520" w:lineRule="exact"/>
        <w:ind w:firstLine="640"/>
        <w:rPr>
          <w:rFonts w:ascii="仿宋" w:hAnsi="仿宋" w:eastAsia="仿宋"/>
          <w:sz w:val="32"/>
        </w:rPr>
      </w:pPr>
      <w:r>
        <w:rPr>
          <w:rFonts w:hint="eastAsia" w:ascii="仿宋" w:hAnsi="仿宋" w:eastAsia="仿宋"/>
          <w:sz w:val="32"/>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建立健全和组织实施国土空间用途管制制度。承担全区城乡规划管理工作,研究拟订城乡规划政策并监督实施。组织实施土地等自然资源年度利用计划。负责土地等国土空间用途转用工作。负责土地征收征用管理。负责山体水体保护工作。</w:t>
      </w:r>
    </w:p>
    <w:p>
      <w:pPr>
        <w:spacing w:line="520" w:lineRule="exact"/>
        <w:ind w:firstLine="640"/>
        <w:rPr>
          <w:rFonts w:ascii="仿宋" w:hAnsi="仿宋" w:eastAsia="仿宋"/>
          <w:sz w:val="32"/>
        </w:rPr>
      </w:pPr>
      <w:r>
        <w:rPr>
          <w:rFonts w:hint="eastAsia" w:ascii="仿宋" w:hAnsi="仿宋" w:eastAsia="仿宋"/>
          <w:sz w:val="32"/>
        </w:rPr>
        <w:t>(7)负责统筹国土空间生态修复。牵头组织编制全区国土空间生态修复规划并实施有关生态修复工程。负责国土空间综合整治、土地整理复垦、矿山地质环境恢复治理等工作。执行生态保护补偿制度,制定合理利用社会资金进行生态修复的制度措施,并提出区级所有备选项目。</w:t>
      </w:r>
    </w:p>
    <w:p>
      <w:pPr>
        <w:spacing w:line="520" w:lineRule="exact"/>
        <w:ind w:firstLine="640"/>
        <w:rPr>
          <w:rFonts w:ascii="仿宋" w:hAnsi="仿宋" w:eastAsia="仿宋"/>
          <w:sz w:val="32"/>
        </w:rPr>
      </w:pPr>
      <w:r>
        <w:rPr>
          <w:rFonts w:hint="eastAsia" w:ascii="仿宋" w:hAnsi="仿宋" w:eastAsia="仿宋"/>
          <w:sz w:val="32"/>
        </w:rPr>
        <w:t>(8)负责组织实施最严格的耕地保护制度。执行耕地保护政策,负责耕地数量和生态保护,做好耕地质量保护有关工作。组织实施耕地保护责任目标考核和永久基本农田特殊保护。执行耕地占补平衡制度。</w:t>
      </w:r>
    </w:p>
    <w:p>
      <w:pPr>
        <w:spacing w:line="520" w:lineRule="exact"/>
        <w:ind w:firstLine="640"/>
        <w:rPr>
          <w:rFonts w:ascii="仿宋" w:hAnsi="仿宋" w:eastAsia="仿宋"/>
          <w:sz w:val="32"/>
        </w:rPr>
      </w:pPr>
      <w:r>
        <w:rPr>
          <w:rFonts w:hint="eastAsia" w:ascii="仿宋" w:hAnsi="仿宋" w:eastAsia="仿宋"/>
          <w:sz w:val="32"/>
        </w:rPr>
        <w:t>(9)负责管理</w:t>
      </w:r>
      <w:r>
        <w:rPr>
          <w:rFonts w:hint="eastAsia" w:ascii="仿宋" w:hAnsi="仿宋" w:eastAsia="仿宋"/>
          <w:sz w:val="32"/>
          <w:lang w:val="en-US" w:eastAsia="zh-CN"/>
        </w:rPr>
        <w:t>全</w:t>
      </w:r>
      <w:r>
        <w:rPr>
          <w:rFonts w:hint="eastAsia" w:ascii="仿宋" w:hAnsi="仿宋" w:eastAsia="仿宋"/>
          <w:sz w:val="32"/>
        </w:rPr>
        <w:t>区地质工作和联系辖区内地勘单位。编制全区地质勘查规划并监督检查执行情况。监督管理区级地质勘查项目。监督管理地下水过量开采及引发的地面沉降等地质问题。负责古生物化石的监督管理。</w:t>
      </w:r>
    </w:p>
    <w:p>
      <w:pPr>
        <w:spacing w:line="520" w:lineRule="exact"/>
        <w:ind w:firstLine="640"/>
        <w:rPr>
          <w:rFonts w:ascii="仿宋" w:hAnsi="仿宋" w:eastAsia="仿宋"/>
          <w:sz w:val="32"/>
        </w:rPr>
      </w:pPr>
      <w:r>
        <w:rPr>
          <w:rFonts w:hint="eastAsia" w:ascii="仿宋" w:hAnsi="仿宋" w:eastAsia="仿宋"/>
          <w:sz w:val="32"/>
        </w:rPr>
        <w:t>(10)负责地质灾害预防和治理。负责落实综合防灾减灾规划相关要求,组织编制地质灾害防治规划并组织实施。组织指导协调和监督地质灾害调查评价及隐患普查、详查、排查。指导开展群测群防、专业监测和预报预警等工作,指导开展地质灾害工程治理工作。承担地质灾害应急救援的技术支撑工作。</w:t>
      </w:r>
    </w:p>
    <w:p>
      <w:pPr>
        <w:spacing w:line="520" w:lineRule="exact"/>
        <w:ind w:firstLine="640"/>
        <w:rPr>
          <w:rFonts w:ascii="仿宋" w:hAnsi="仿宋" w:eastAsia="仿宋"/>
          <w:sz w:val="32"/>
        </w:rPr>
      </w:pPr>
      <w:r>
        <w:rPr>
          <w:rFonts w:hint="eastAsia" w:ascii="仿宋" w:hAnsi="仿宋" w:eastAsia="仿宋"/>
          <w:sz w:val="32"/>
        </w:rPr>
        <w:t>(11)负责矿产资源管理工作。负责矿产资源储量管理及矿业权管理。监督指导矿产资源合理利用和保护。</w:t>
      </w:r>
    </w:p>
    <w:p>
      <w:pPr>
        <w:spacing w:line="520" w:lineRule="exact"/>
        <w:ind w:firstLine="640"/>
        <w:rPr>
          <w:rFonts w:ascii="仿宋" w:hAnsi="仿宋" w:eastAsia="仿宋"/>
          <w:sz w:val="32"/>
        </w:rPr>
      </w:pPr>
      <w:r>
        <w:rPr>
          <w:rFonts w:hint="eastAsia" w:ascii="仿宋" w:hAnsi="仿宋" w:eastAsia="仿宋"/>
          <w:sz w:val="32"/>
        </w:rPr>
        <w:t>(12)负责测绘地理信息管理工作。负责辖区内基础测绘。负责监督管理地理信息安全和市场秩序。负责地图管理、地理信·憝公共服务工作。负责测量标志保护。</w:t>
      </w:r>
    </w:p>
    <w:p>
      <w:pPr>
        <w:spacing w:line="520" w:lineRule="exact"/>
        <w:ind w:firstLine="640"/>
        <w:rPr>
          <w:rFonts w:ascii="仿宋" w:hAnsi="仿宋" w:eastAsia="仿宋"/>
          <w:sz w:val="32"/>
        </w:rPr>
      </w:pPr>
      <w:r>
        <w:rPr>
          <w:rFonts w:hint="eastAsia" w:ascii="仿宋" w:hAnsi="仿宋" w:eastAsia="仿宋"/>
          <w:sz w:val="32"/>
        </w:rPr>
        <w:t>(13)根据区委授权,对乡(镇、街道)以及园区相关部门落实区委、区政府关于自然资源和国土空间规划重大政策、决策部署及法律法规执行情况进行督察。查处自然资源开发利用和国土空间规划及测绘违法案件。</w:t>
      </w:r>
    </w:p>
    <w:p>
      <w:pPr>
        <w:spacing w:line="520" w:lineRule="exact"/>
        <w:ind w:firstLine="640"/>
        <w:rPr>
          <w:rFonts w:ascii="仿宋" w:hAnsi="仿宋" w:eastAsia="仿宋"/>
          <w:sz w:val="32"/>
        </w:rPr>
      </w:pPr>
      <w:r>
        <w:rPr>
          <w:rFonts w:hint="eastAsia" w:ascii="仿宋" w:hAnsi="仿宋" w:eastAsia="仿宋"/>
          <w:sz w:val="32"/>
        </w:rPr>
        <w:t>(14)统一领导和管理区林业局。</w:t>
      </w:r>
    </w:p>
    <w:p>
      <w:pPr>
        <w:spacing w:line="520" w:lineRule="exact"/>
        <w:ind w:firstLine="640"/>
        <w:rPr>
          <w:rFonts w:ascii="仿宋_GB2312" w:eastAsia="仿宋_GB2312"/>
          <w:sz w:val="32"/>
          <w:szCs w:val="32"/>
        </w:rPr>
      </w:pPr>
      <w:r>
        <w:rPr>
          <w:rFonts w:hint="eastAsia" w:ascii="仿宋" w:hAnsi="仿宋" w:eastAsia="仿宋"/>
          <w:sz w:val="32"/>
        </w:rPr>
        <w:t>(15)完成区委、区政府交办的其他任务。</w:t>
      </w:r>
    </w:p>
    <w:p>
      <w:pPr>
        <w:spacing w:line="520" w:lineRule="exact"/>
        <w:ind w:firstLine="640"/>
        <w:rPr>
          <w:rFonts w:ascii="仿宋" w:hAnsi="仿宋" w:eastAsia="仿宋"/>
          <w:sz w:val="32"/>
        </w:rPr>
      </w:pPr>
      <w:r>
        <w:rPr>
          <w:rFonts w:hint="eastAsia" w:ascii="仿宋" w:hAnsi="仿宋" w:eastAsia="仿宋"/>
          <w:sz w:val="32"/>
        </w:rPr>
        <w:t>2．机构情况，</w:t>
      </w:r>
      <w:r>
        <w:rPr>
          <w:rFonts w:hint="eastAsia" w:ascii="仿宋_GB2312" w:hAnsi="仿宋" w:eastAsia="仿宋_GB2312"/>
          <w:sz w:val="32"/>
          <w:szCs w:val="32"/>
        </w:rPr>
        <w:t>包括当年变动情况及原因。</w:t>
      </w:r>
    </w:p>
    <w:p>
      <w:pPr>
        <w:spacing w:line="520" w:lineRule="exact"/>
        <w:ind w:firstLine="640"/>
        <w:rPr>
          <w:rFonts w:ascii="仿宋" w:hAnsi="仿宋" w:eastAsia="仿宋"/>
          <w:sz w:val="32"/>
        </w:rPr>
      </w:pPr>
      <w:r>
        <w:rPr>
          <w:rFonts w:hint="eastAsia" w:ascii="仿宋" w:hAnsi="仿宋" w:eastAsia="仿宋"/>
          <w:sz w:val="32"/>
        </w:rPr>
        <w:t>我局设7个内设机构及6个公益一类事业单位：</w:t>
      </w:r>
    </w:p>
    <w:p>
      <w:pPr>
        <w:spacing w:line="520" w:lineRule="exact"/>
        <w:ind w:firstLine="640"/>
        <w:rPr>
          <w:rFonts w:ascii="仿宋" w:hAnsi="仿宋" w:eastAsia="仿宋"/>
          <w:sz w:val="32"/>
        </w:rPr>
      </w:pPr>
      <w:r>
        <w:rPr>
          <w:rFonts w:hint="eastAsia" w:ascii="仿宋" w:hAnsi="仿宋" w:eastAsia="仿宋"/>
          <w:sz w:val="32"/>
        </w:rPr>
        <w:t>（1）办公室（人事股，财务股）</w:t>
      </w:r>
    </w:p>
    <w:p>
      <w:pPr>
        <w:spacing w:line="520" w:lineRule="exact"/>
        <w:ind w:firstLine="640"/>
        <w:rPr>
          <w:rFonts w:ascii="仿宋" w:hAnsi="仿宋" w:eastAsia="仿宋"/>
          <w:sz w:val="32"/>
        </w:rPr>
      </w:pPr>
      <w:r>
        <w:rPr>
          <w:rFonts w:hint="eastAsia" w:ascii="仿宋" w:hAnsi="仿宋" w:eastAsia="仿宋"/>
          <w:sz w:val="32"/>
        </w:rPr>
        <w:t>（2）法规信息综合股（档案信息股、测绘股、政务服务办公室）</w:t>
      </w:r>
    </w:p>
    <w:p>
      <w:pPr>
        <w:spacing w:line="520" w:lineRule="exact"/>
        <w:ind w:firstLine="640"/>
        <w:rPr>
          <w:rFonts w:ascii="仿宋" w:hAnsi="仿宋" w:eastAsia="仿宋"/>
          <w:sz w:val="32"/>
        </w:rPr>
      </w:pPr>
      <w:r>
        <w:rPr>
          <w:rFonts w:hint="eastAsia" w:ascii="仿宋" w:hAnsi="仿宋" w:eastAsia="仿宋"/>
          <w:sz w:val="32"/>
        </w:rPr>
        <w:t>（3）国土空间保护修复股</w:t>
      </w:r>
    </w:p>
    <w:p>
      <w:pPr>
        <w:spacing w:line="520" w:lineRule="exact"/>
        <w:ind w:firstLine="640"/>
        <w:rPr>
          <w:rFonts w:ascii="仿宋" w:hAnsi="仿宋" w:eastAsia="仿宋"/>
          <w:sz w:val="32"/>
        </w:rPr>
      </w:pPr>
      <w:r>
        <w:rPr>
          <w:rFonts w:hint="eastAsia" w:ascii="仿宋" w:hAnsi="仿宋" w:eastAsia="仿宋"/>
          <w:sz w:val="32"/>
        </w:rPr>
        <w:t>（4）国土空间规划股（自然资源规划监管股）</w:t>
      </w:r>
    </w:p>
    <w:p>
      <w:pPr>
        <w:spacing w:line="520" w:lineRule="exact"/>
        <w:ind w:firstLine="640"/>
        <w:rPr>
          <w:rFonts w:ascii="仿宋" w:hAnsi="仿宋" w:eastAsia="仿宋"/>
          <w:sz w:val="32"/>
        </w:rPr>
      </w:pPr>
      <w:r>
        <w:rPr>
          <w:rFonts w:hint="eastAsia" w:ascii="仿宋" w:hAnsi="仿宋" w:eastAsia="仿宋"/>
          <w:sz w:val="32"/>
        </w:rPr>
        <w:t>（5）国土空间用途管制股（自然资源开发利用股）</w:t>
      </w:r>
    </w:p>
    <w:p>
      <w:pPr>
        <w:spacing w:line="520" w:lineRule="exact"/>
        <w:ind w:firstLine="640"/>
        <w:rPr>
          <w:rFonts w:ascii="仿宋" w:hAnsi="仿宋" w:eastAsia="仿宋"/>
          <w:sz w:val="32"/>
        </w:rPr>
      </w:pPr>
      <w:r>
        <w:rPr>
          <w:rFonts w:hint="eastAsia" w:ascii="仿宋" w:hAnsi="仿宋" w:eastAsia="仿宋"/>
          <w:sz w:val="32"/>
        </w:rPr>
        <w:t>（6）自然资源调查监测股</w:t>
      </w:r>
    </w:p>
    <w:p>
      <w:pPr>
        <w:spacing w:line="520" w:lineRule="exact"/>
        <w:ind w:firstLine="640"/>
        <w:rPr>
          <w:rFonts w:ascii="仿宋" w:hAnsi="仿宋" w:eastAsia="仿宋"/>
          <w:sz w:val="32"/>
        </w:rPr>
      </w:pPr>
      <w:r>
        <w:rPr>
          <w:rFonts w:hint="eastAsia" w:ascii="仿宋" w:hAnsi="仿宋" w:eastAsia="仿宋"/>
          <w:sz w:val="32"/>
        </w:rPr>
        <w:t>（7）矿产资源保护监督股（地质勘查矿业权管理股）</w:t>
      </w:r>
    </w:p>
    <w:p>
      <w:pPr>
        <w:spacing w:line="520" w:lineRule="exact"/>
        <w:ind w:firstLine="640"/>
        <w:rPr>
          <w:rFonts w:ascii="仿宋" w:hAnsi="仿宋" w:eastAsia="仿宋"/>
          <w:sz w:val="32"/>
        </w:rPr>
      </w:pPr>
      <w:r>
        <w:rPr>
          <w:rFonts w:hint="eastAsia" w:ascii="仿宋" w:hAnsi="仿宋" w:eastAsia="仿宋"/>
          <w:sz w:val="32"/>
        </w:rPr>
        <w:t>（8）益阳市资阳区自然资源执法监察大队</w:t>
      </w:r>
    </w:p>
    <w:p>
      <w:pPr>
        <w:spacing w:line="520" w:lineRule="exact"/>
        <w:ind w:firstLine="640"/>
        <w:rPr>
          <w:rFonts w:ascii="仿宋" w:hAnsi="仿宋" w:eastAsia="仿宋"/>
          <w:sz w:val="32"/>
        </w:rPr>
      </w:pPr>
      <w:r>
        <w:rPr>
          <w:rFonts w:hint="eastAsia" w:ascii="仿宋" w:hAnsi="仿宋" w:eastAsia="仿宋"/>
          <w:sz w:val="32"/>
        </w:rPr>
        <w:t>（9）益阳市资阳区国土空间生态修复中心</w:t>
      </w:r>
    </w:p>
    <w:p>
      <w:pPr>
        <w:spacing w:line="520" w:lineRule="exact"/>
        <w:ind w:firstLine="640"/>
        <w:rPr>
          <w:rFonts w:ascii="仿宋" w:hAnsi="仿宋" w:eastAsia="仿宋"/>
          <w:sz w:val="32"/>
        </w:rPr>
      </w:pPr>
      <w:r>
        <w:rPr>
          <w:rFonts w:hint="eastAsia" w:ascii="仿宋" w:hAnsi="仿宋" w:eastAsia="仿宋"/>
          <w:sz w:val="32"/>
        </w:rPr>
        <w:t>（10）益阳市资阳区不动产登记中心</w:t>
      </w:r>
    </w:p>
    <w:p>
      <w:pPr>
        <w:spacing w:line="520" w:lineRule="exact"/>
        <w:ind w:firstLine="640"/>
        <w:rPr>
          <w:rFonts w:ascii="仿宋" w:hAnsi="仿宋" w:eastAsia="仿宋"/>
          <w:sz w:val="32"/>
        </w:rPr>
      </w:pPr>
      <w:r>
        <w:rPr>
          <w:rFonts w:hint="eastAsia" w:ascii="仿宋" w:hAnsi="仿宋" w:eastAsia="仿宋"/>
          <w:sz w:val="32"/>
        </w:rPr>
        <w:t>（11）益阳市资阳区征地和测绘队</w:t>
      </w:r>
    </w:p>
    <w:p>
      <w:pPr>
        <w:spacing w:line="520" w:lineRule="exact"/>
        <w:ind w:firstLine="640"/>
        <w:rPr>
          <w:rFonts w:ascii="仿宋" w:hAnsi="仿宋" w:eastAsia="仿宋"/>
          <w:sz w:val="32"/>
        </w:rPr>
      </w:pPr>
      <w:r>
        <w:rPr>
          <w:rFonts w:hint="eastAsia" w:ascii="仿宋" w:hAnsi="仿宋" w:eastAsia="仿宋"/>
          <w:sz w:val="32"/>
        </w:rPr>
        <w:t>（12）益阳市资阳区土地储备中心</w:t>
      </w:r>
    </w:p>
    <w:p>
      <w:pPr>
        <w:spacing w:line="520" w:lineRule="exact"/>
        <w:ind w:firstLine="640"/>
        <w:rPr>
          <w:rFonts w:ascii="仿宋_GB2312" w:hAnsi="仿宋" w:eastAsia="仿宋_GB2312"/>
          <w:sz w:val="32"/>
          <w:szCs w:val="32"/>
        </w:rPr>
      </w:pPr>
      <w:r>
        <w:rPr>
          <w:rFonts w:hint="eastAsia" w:ascii="仿宋" w:hAnsi="仿宋" w:eastAsia="仿宋"/>
          <w:sz w:val="32"/>
        </w:rPr>
        <w:t>（13）益阳市资阳区国土空间规划事务中心</w:t>
      </w:r>
    </w:p>
    <w:p>
      <w:pPr>
        <w:rPr>
          <w:rFonts w:ascii="仿宋_GB2312" w:hAnsi="仿宋" w:eastAsia="仿宋_GB2312"/>
          <w:sz w:val="32"/>
          <w:szCs w:val="32"/>
        </w:rPr>
      </w:pPr>
      <w:r>
        <w:rPr>
          <w:rFonts w:hint="eastAsia" w:ascii="仿宋_GB2312" w:hAnsi="仿宋" w:eastAsia="仿宋_GB2312"/>
          <w:sz w:val="32"/>
          <w:szCs w:val="32"/>
        </w:rPr>
        <w:t>3．人员情况，包括当年变动情况及原因。</w:t>
      </w:r>
    </w:p>
    <w:p>
      <w:pPr>
        <w:ind w:firstLine="640" w:firstLineChars="200"/>
        <w:rPr>
          <w:rFonts w:ascii="仿宋" w:hAnsi="仿宋" w:eastAsia="仿宋"/>
          <w:sz w:val="32"/>
        </w:rPr>
      </w:pPr>
      <w:r>
        <w:rPr>
          <w:rFonts w:hint="eastAsia" w:ascii="仿宋_GB2312" w:hAnsi="仿宋" w:eastAsia="仿宋_GB2312"/>
          <w:sz w:val="32"/>
          <w:szCs w:val="32"/>
        </w:rPr>
        <w:t>经编办核定，</w:t>
      </w:r>
      <w:r>
        <w:rPr>
          <w:rFonts w:hint="eastAsia" w:ascii="仿宋" w:hAnsi="仿宋" w:eastAsia="仿宋"/>
          <w:sz w:val="32"/>
        </w:rPr>
        <w:t>全局现有编制人数</w:t>
      </w:r>
      <w:r>
        <w:rPr>
          <w:rFonts w:hint="eastAsia" w:ascii="仿宋" w:hAnsi="仿宋" w:eastAsia="仿宋"/>
          <w:sz w:val="32"/>
          <w:lang w:val="en-US" w:eastAsia="zh-CN"/>
        </w:rPr>
        <w:t>55</w:t>
      </w:r>
      <w:r>
        <w:rPr>
          <w:rFonts w:hint="eastAsia" w:ascii="仿宋" w:hAnsi="仿宋" w:eastAsia="仿宋"/>
          <w:sz w:val="32"/>
        </w:rPr>
        <w:t>人。实有在编在岗</w:t>
      </w:r>
      <w:r>
        <w:rPr>
          <w:rFonts w:hint="eastAsia" w:ascii="仿宋" w:hAnsi="仿宋" w:eastAsia="仿宋"/>
          <w:sz w:val="32"/>
          <w:lang w:val="en-US" w:eastAsia="zh-CN"/>
        </w:rPr>
        <w:t>55</w:t>
      </w:r>
      <w:r>
        <w:rPr>
          <w:rFonts w:hint="eastAsia" w:ascii="仿宋" w:hAnsi="仿宋" w:eastAsia="仿宋"/>
          <w:sz w:val="32"/>
        </w:rPr>
        <w:t>人，其中：行政编制人员</w:t>
      </w:r>
      <w:r>
        <w:rPr>
          <w:rFonts w:hint="eastAsia" w:ascii="仿宋" w:hAnsi="仿宋" w:eastAsia="仿宋"/>
          <w:sz w:val="32"/>
          <w:lang w:val="en-US" w:eastAsia="zh-CN"/>
        </w:rPr>
        <w:t>11</w:t>
      </w:r>
      <w:r>
        <w:rPr>
          <w:rFonts w:hint="eastAsia" w:ascii="仿宋" w:hAnsi="仿宋" w:eastAsia="仿宋"/>
          <w:sz w:val="32"/>
        </w:rPr>
        <w:t>人，</w:t>
      </w:r>
      <w:r>
        <w:rPr>
          <w:rFonts w:hint="eastAsia" w:ascii="仿宋" w:hAnsi="仿宋" w:eastAsia="仿宋"/>
          <w:sz w:val="32"/>
          <w:lang w:val="en-US" w:eastAsia="zh-CN"/>
        </w:rPr>
        <w:t>参公事业人员1人，</w:t>
      </w:r>
      <w:r>
        <w:rPr>
          <w:rFonts w:hint="eastAsia" w:ascii="仿宋" w:hAnsi="仿宋" w:eastAsia="仿宋"/>
          <w:sz w:val="32"/>
        </w:rPr>
        <w:t>全额事业编制人员</w:t>
      </w:r>
      <w:r>
        <w:rPr>
          <w:rFonts w:hint="eastAsia" w:ascii="仿宋" w:hAnsi="仿宋" w:eastAsia="仿宋"/>
          <w:sz w:val="32"/>
          <w:lang w:val="en-US" w:eastAsia="zh-CN"/>
        </w:rPr>
        <w:t>38</w:t>
      </w:r>
      <w:r>
        <w:rPr>
          <w:rFonts w:hint="eastAsia" w:ascii="仿宋" w:hAnsi="仿宋" w:eastAsia="仿宋"/>
          <w:sz w:val="32"/>
        </w:rPr>
        <w:t>人，差额编制人员</w:t>
      </w:r>
      <w:r>
        <w:rPr>
          <w:rFonts w:hint="eastAsia" w:ascii="仿宋" w:hAnsi="仿宋" w:eastAsia="仿宋"/>
          <w:sz w:val="32"/>
          <w:lang w:val="en-US" w:eastAsia="zh-CN"/>
        </w:rPr>
        <w:t>5</w:t>
      </w:r>
      <w:r>
        <w:rPr>
          <w:rFonts w:hint="eastAsia" w:ascii="仿宋" w:hAnsi="仿宋" w:eastAsia="仿宋"/>
          <w:sz w:val="32"/>
        </w:rPr>
        <w:t>人。人员变化的主要原因是区内调出及新增。</w:t>
      </w:r>
    </w:p>
    <w:p>
      <w:pPr>
        <w:widowControl/>
        <w:spacing w:line="600" w:lineRule="exact"/>
        <w:ind w:firstLine="627" w:firstLineChars="196"/>
        <w:rPr>
          <w:rFonts w:eastAsia="黑体"/>
          <w:sz w:val="32"/>
          <w:szCs w:val="32"/>
        </w:rPr>
      </w:pPr>
      <w:r>
        <w:rPr>
          <w:rFonts w:eastAsia="黑体"/>
          <w:kern w:val="0"/>
          <w:sz w:val="32"/>
          <w:szCs w:val="32"/>
        </w:rPr>
        <w:t>二、</w:t>
      </w:r>
      <w:r>
        <w:rPr>
          <w:rFonts w:eastAsia="黑体"/>
          <w:sz w:val="32"/>
          <w:szCs w:val="32"/>
        </w:rPr>
        <w:t>一般公共预算支出</w:t>
      </w:r>
      <w:r>
        <w:rPr>
          <w:rFonts w:hint="eastAsia" w:eastAsia="黑体"/>
          <w:sz w:val="32"/>
          <w:szCs w:val="32"/>
        </w:rPr>
        <w:t>情况</w:t>
      </w:r>
    </w:p>
    <w:p>
      <w:pPr>
        <w:pStyle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（一）基本支出情况</w:t>
      </w:r>
    </w:p>
    <w:p>
      <w:pPr>
        <w:widowControl/>
        <w:spacing w:line="600" w:lineRule="exact"/>
        <w:ind w:firstLine="660"/>
        <w:jc w:val="left"/>
        <w:rPr>
          <w:rFonts w:eastAsia="仿宋_GB2312"/>
          <w:sz w:val="32"/>
          <w:szCs w:val="32"/>
        </w:rPr>
      </w:pPr>
      <w:r>
        <w:rPr>
          <w:rFonts w:hint="eastAsia" w:eastAsia="仿宋_GB2312"/>
          <w:sz w:val="32"/>
          <w:szCs w:val="32"/>
        </w:rPr>
        <w:t>1、</w:t>
      </w:r>
      <w:r>
        <w:rPr>
          <w:rFonts w:hint="eastAsia" w:eastAsia="仿宋_GB2312"/>
          <w:sz w:val="32"/>
          <w:szCs w:val="32"/>
          <w:lang w:eastAsia="zh-CN"/>
        </w:rPr>
        <w:t>2022年</w:t>
      </w:r>
      <w:r>
        <w:rPr>
          <w:rFonts w:hint="eastAsia" w:eastAsia="仿宋_GB2312"/>
          <w:sz w:val="32"/>
          <w:szCs w:val="32"/>
        </w:rPr>
        <w:t>资阳区自然资源局年全年基本支出</w:t>
      </w:r>
      <w:r>
        <w:rPr>
          <w:rFonts w:hint="eastAsia" w:eastAsia="仿宋_GB2312"/>
          <w:sz w:val="32"/>
          <w:szCs w:val="32"/>
          <w:lang w:val="en-US" w:eastAsia="zh-CN"/>
        </w:rPr>
        <w:t>708.41</w:t>
      </w:r>
      <w:r>
        <w:rPr>
          <w:rFonts w:hint="eastAsia" w:eastAsia="仿宋_GB2312"/>
          <w:sz w:val="32"/>
          <w:szCs w:val="32"/>
        </w:rPr>
        <w:t>万元，其中工资福利支出</w:t>
      </w:r>
      <w:r>
        <w:rPr>
          <w:rFonts w:hint="eastAsia" w:eastAsia="仿宋_GB2312"/>
          <w:sz w:val="32"/>
          <w:szCs w:val="32"/>
          <w:lang w:val="en-US" w:eastAsia="zh-CN"/>
        </w:rPr>
        <w:t>585.48</w:t>
      </w:r>
      <w:r>
        <w:rPr>
          <w:rFonts w:hint="eastAsia" w:eastAsia="仿宋_GB2312"/>
          <w:sz w:val="32"/>
          <w:szCs w:val="32"/>
        </w:rPr>
        <w:t>万元，主要包括：基本工资、津贴补贴、社会保障缴费、绩效工资、住房公积金、乡镇补贴等；商品和服务性支出</w:t>
      </w:r>
      <w:r>
        <w:rPr>
          <w:rFonts w:hint="eastAsia" w:eastAsia="仿宋_GB2312"/>
          <w:sz w:val="32"/>
          <w:szCs w:val="32"/>
          <w:lang w:val="en-US" w:eastAsia="zh-CN"/>
        </w:rPr>
        <w:t>119.36</w:t>
      </w:r>
      <w:r>
        <w:rPr>
          <w:rFonts w:hint="eastAsia" w:eastAsia="仿宋_GB2312"/>
          <w:sz w:val="32"/>
          <w:szCs w:val="32"/>
        </w:rPr>
        <w:t>万元，主要包括：办公费、印刷费、水费、电费、邮电费、差旅费、公务接待费、工会经费、福利费、其他商品和服务支出等；对个人和家庭的补助</w:t>
      </w:r>
      <w:r>
        <w:rPr>
          <w:rFonts w:hint="eastAsia" w:eastAsia="仿宋_GB2312"/>
          <w:sz w:val="32"/>
          <w:szCs w:val="32"/>
          <w:lang w:val="en-US" w:eastAsia="zh-CN"/>
        </w:rPr>
        <w:t>3.57</w:t>
      </w:r>
      <w:r>
        <w:rPr>
          <w:rFonts w:hint="eastAsia" w:eastAsia="仿宋_GB2312"/>
          <w:sz w:val="32"/>
          <w:szCs w:val="32"/>
        </w:rPr>
        <w:t>万元，主要包括：抚恤金、生活补助、奖励金、其他对个人和家庭的补助。</w:t>
      </w:r>
    </w:p>
    <w:p>
      <w:pPr>
        <w:pStyle w:val="13"/>
        <w:adjustRightInd w:val="0"/>
        <w:snapToGrid w:val="0"/>
        <w:spacing w:line="480" w:lineRule="exact"/>
        <w:ind w:firstLine="640"/>
        <w:rPr>
          <w:rFonts w:ascii="仿宋_GB2312" w:hAnsi="仿宋_GB2312" w:eastAsia="仿宋_GB2312" w:cs="仿宋_GB2312"/>
          <w:sz w:val="30"/>
          <w:szCs w:val="30"/>
        </w:rPr>
      </w:pPr>
      <w:r>
        <w:rPr>
          <w:rFonts w:hint="eastAsia" w:eastAsia="仿宋_GB2312"/>
          <w:sz w:val="32"/>
          <w:szCs w:val="32"/>
        </w:rPr>
        <w:t>2、</w:t>
      </w:r>
      <w:r>
        <w:rPr>
          <w:rFonts w:hint="eastAsia" w:ascii="仿宋_GB2312" w:hAnsi="仿宋_GB2312" w:eastAsia="仿宋_GB2312" w:cs="仿宋_GB2312"/>
          <w:sz w:val="30"/>
          <w:szCs w:val="30"/>
        </w:rPr>
        <w:t>“三公”经费使用管理情况。</w:t>
      </w:r>
    </w:p>
    <w:p>
      <w:pPr>
        <w:pStyle w:val="2"/>
      </w:pPr>
      <w:r>
        <w:rPr>
          <w:rFonts w:hint="eastAsia" w:ascii="仿宋_GB2312" w:hAnsi="仿宋_GB2312" w:eastAsia="仿宋_GB2312" w:cs="仿宋_GB2312"/>
          <w:b/>
          <w:sz w:val="30"/>
          <w:szCs w:val="30"/>
        </w:rPr>
        <w:tab/>
      </w:r>
      <w:r>
        <w:rPr>
          <w:rFonts w:hint="eastAsia" w:ascii="仿宋_GB2312" w:hAnsi="仿宋_GB2312" w:eastAsia="仿宋_GB2312" w:cs="仿宋_GB2312"/>
          <w:sz w:val="30"/>
          <w:szCs w:val="30"/>
          <w:lang w:eastAsia="zh-CN"/>
        </w:rPr>
        <w:t>2022年</w:t>
      </w:r>
      <w:r>
        <w:rPr>
          <w:rFonts w:hint="eastAsia" w:ascii="仿宋_GB2312" w:hAnsi="仿宋_GB2312" w:eastAsia="仿宋_GB2312" w:cs="仿宋_GB2312"/>
          <w:sz w:val="30"/>
          <w:szCs w:val="30"/>
        </w:rPr>
        <w:t>度</w:t>
      </w:r>
      <w:r>
        <w:rPr>
          <w:rFonts w:hint="eastAsia" w:ascii="仿宋_GB2312" w:hAnsi="仿宋_GB2312" w:eastAsia="仿宋_GB2312" w:cs="仿宋_GB2312"/>
          <w:sz w:val="30"/>
          <w:szCs w:val="30"/>
          <w:lang w:eastAsia="zh-CN"/>
        </w:rPr>
        <w:t>资阳</w:t>
      </w:r>
      <w:r>
        <w:rPr>
          <w:rFonts w:hint="eastAsia" w:ascii="仿宋_GB2312" w:hAnsi="仿宋_GB2312" w:eastAsia="仿宋_GB2312" w:cs="仿宋_GB2312"/>
          <w:sz w:val="30"/>
          <w:szCs w:val="30"/>
        </w:rPr>
        <w:t>区自然资源局“三公经费”支出</w:t>
      </w:r>
      <w:r>
        <w:rPr>
          <w:rFonts w:hint="eastAsia" w:ascii="仿宋_GB2312" w:hAnsi="仿宋_GB2312" w:eastAsia="仿宋_GB2312" w:cs="仿宋_GB2312"/>
          <w:sz w:val="30"/>
          <w:szCs w:val="30"/>
          <w:lang w:val="en-US" w:eastAsia="zh-CN"/>
        </w:rPr>
        <w:t>0.23</w:t>
      </w:r>
      <w:r>
        <w:rPr>
          <w:rFonts w:hint="eastAsia" w:ascii="仿宋_GB2312" w:hAnsi="仿宋_GB2312" w:eastAsia="仿宋_GB2312" w:cs="仿宋_GB2312"/>
          <w:sz w:val="30"/>
          <w:szCs w:val="30"/>
        </w:rPr>
        <w:t>万元，系公务接待费。</w:t>
      </w:r>
    </w:p>
    <w:p>
      <w:pPr>
        <w:widowControl/>
        <w:spacing w:line="600" w:lineRule="exact"/>
        <w:ind w:firstLine="301" w:firstLineChars="100"/>
        <w:jc w:val="left"/>
        <w:rPr>
          <w:rFonts w:eastAsia="仿宋_GB2312"/>
          <w:b/>
          <w:bCs/>
          <w:sz w:val="32"/>
          <w:szCs w:val="32"/>
        </w:rPr>
      </w:pPr>
      <w:r>
        <w:rPr>
          <w:rFonts w:hint="eastAsia" w:ascii="仿宋_GB2312" w:hAnsi="仿宋_GB2312" w:eastAsia="仿宋_GB2312" w:cs="仿宋_GB2312"/>
          <w:b/>
          <w:bCs/>
          <w:sz w:val="30"/>
          <w:szCs w:val="30"/>
        </w:rPr>
        <w:t>（二）项目支出使用管理情况</w:t>
      </w:r>
      <w:r>
        <w:rPr>
          <w:rFonts w:hint="eastAsia" w:eastAsia="仿宋_GB2312"/>
          <w:b/>
          <w:bCs/>
          <w:sz w:val="32"/>
          <w:szCs w:val="32"/>
        </w:rPr>
        <w:t xml:space="preserve"> </w:t>
      </w:r>
    </w:p>
    <w:p>
      <w:pPr>
        <w:widowControl/>
        <w:numPr>
          <w:ilvl w:val="0"/>
          <w:numId w:val="1"/>
        </w:numPr>
        <w:spacing w:line="600" w:lineRule="exact"/>
        <w:ind w:firstLine="640" w:firstLineChars="200"/>
        <w:jc w:val="left"/>
        <w:rPr>
          <w:rFonts w:eastAsia="仿宋_GB2312"/>
          <w:sz w:val="32"/>
          <w:szCs w:val="32"/>
        </w:rPr>
      </w:pPr>
      <w:r>
        <w:rPr>
          <w:rFonts w:hint="eastAsia" w:eastAsia="仿宋_GB2312"/>
          <w:sz w:val="32"/>
          <w:szCs w:val="32"/>
        </w:rPr>
        <w:t>项目支出情况</w:t>
      </w:r>
    </w:p>
    <w:p>
      <w:pPr>
        <w:widowControl/>
        <w:spacing w:line="600" w:lineRule="exact"/>
        <w:ind w:firstLine="640" w:firstLineChars="200"/>
        <w:jc w:val="left"/>
        <w:rPr>
          <w:rFonts w:eastAsia="仿宋_GB2312"/>
          <w:sz w:val="32"/>
          <w:szCs w:val="32"/>
        </w:rPr>
      </w:pPr>
      <w:r>
        <w:rPr>
          <w:rFonts w:hint="eastAsia" w:eastAsia="仿宋_GB2312"/>
          <w:sz w:val="32"/>
          <w:szCs w:val="32"/>
          <w:lang w:eastAsia="zh-CN"/>
        </w:rPr>
        <w:t>2022年</w:t>
      </w:r>
      <w:r>
        <w:rPr>
          <w:rFonts w:hint="eastAsia" w:eastAsia="仿宋_GB2312"/>
          <w:sz w:val="32"/>
          <w:szCs w:val="32"/>
        </w:rPr>
        <w:t>资阳区自然资源局年全年项目支出</w:t>
      </w:r>
      <w:r>
        <w:rPr>
          <w:rFonts w:hint="eastAsia" w:eastAsia="仿宋_GB2312"/>
          <w:sz w:val="32"/>
          <w:szCs w:val="32"/>
          <w:lang w:val="en-US" w:eastAsia="zh-CN"/>
        </w:rPr>
        <w:t>1743.89</w:t>
      </w:r>
      <w:r>
        <w:rPr>
          <w:rFonts w:hint="eastAsia" w:eastAsia="仿宋_GB2312"/>
          <w:sz w:val="32"/>
          <w:szCs w:val="32"/>
        </w:rPr>
        <w:t>万元</w:t>
      </w:r>
      <w:r>
        <w:rPr>
          <w:rFonts w:eastAsia="仿宋_GB2312"/>
          <w:sz w:val="32"/>
          <w:szCs w:val="32"/>
        </w:rPr>
        <w:t>，</w:t>
      </w:r>
      <w:r>
        <w:rPr>
          <w:rFonts w:hint="eastAsia" w:eastAsia="仿宋_GB2312"/>
          <w:sz w:val="32"/>
          <w:szCs w:val="32"/>
        </w:rPr>
        <w:t>主要项目包括：农村宅基地和集体建设用地房地一体确权登记工作经费等</w:t>
      </w:r>
      <w:r>
        <w:rPr>
          <w:rFonts w:hint="eastAsia" w:eastAsia="仿宋_GB2312"/>
          <w:sz w:val="32"/>
          <w:szCs w:val="32"/>
          <w:lang w:val="en-US" w:eastAsia="zh-CN"/>
        </w:rPr>
        <w:t>546.40</w:t>
      </w:r>
      <w:r>
        <w:rPr>
          <w:rFonts w:hint="eastAsia" w:eastAsia="仿宋_GB2312"/>
          <w:sz w:val="32"/>
          <w:szCs w:val="32"/>
        </w:rPr>
        <w:t>万元；供地计划编制、土地储备计划专项经费等</w:t>
      </w:r>
      <w:r>
        <w:rPr>
          <w:rFonts w:hint="eastAsia" w:eastAsia="仿宋_GB2312"/>
          <w:sz w:val="32"/>
          <w:szCs w:val="32"/>
          <w:lang w:val="en-US" w:eastAsia="zh-CN"/>
        </w:rPr>
        <w:t>105.86</w:t>
      </w:r>
      <w:r>
        <w:rPr>
          <w:rFonts w:hint="eastAsia" w:eastAsia="仿宋_GB2312"/>
          <w:sz w:val="32"/>
          <w:szCs w:val="32"/>
        </w:rPr>
        <w:t>万元；</w:t>
      </w:r>
      <w:r>
        <w:rPr>
          <w:rFonts w:hint="eastAsia" w:eastAsia="仿宋_GB2312"/>
          <w:sz w:val="32"/>
          <w:szCs w:val="32"/>
          <w:lang w:eastAsia="zh-CN"/>
        </w:rPr>
        <w:t>2021年市级土地整治及灾毁项目</w:t>
      </w:r>
      <w:r>
        <w:rPr>
          <w:rFonts w:hint="eastAsia" w:eastAsia="仿宋_GB2312"/>
          <w:sz w:val="32"/>
          <w:szCs w:val="32"/>
          <w:lang w:val="en-US" w:eastAsia="zh-CN"/>
        </w:rPr>
        <w:t>1026.57</w:t>
      </w:r>
      <w:r>
        <w:rPr>
          <w:rFonts w:hint="eastAsia" w:eastAsia="仿宋_GB2312"/>
          <w:sz w:val="32"/>
          <w:szCs w:val="32"/>
        </w:rPr>
        <w:t>万元；地质灾害防治项目资金</w:t>
      </w:r>
      <w:r>
        <w:rPr>
          <w:rFonts w:hint="eastAsia" w:eastAsia="仿宋_GB2312"/>
          <w:sz w:val="32"/>
          <w:szCs w:val="32"/>
          <w:lang w:val="en-US" w:eastAsia="zh-CN"/>
        </w:rPr>
        <w:t>65.05</w:t>
      </w:r>
      <w:r>
        <w:rPr>
          <w:rFonts w:hint="eastAsia" w:eastAsia="仿宋_GB2312"/>
          <w:sz w:val="32"/>
          <w:szCs w:val="32"/>
        </w:rPr>
        <w:t>万元。</w:t>
      </w:r>
    </w:p>
    <w:p>
      <w:pPr>
        <w:pStyle w:val="14"/>
        <w:spacing w:line="520" w:lineRule="exact"/>
        <w:ind w:left="420" w:leftChars="200" w:firstLine="320" w:firstLineChars="100"/>
        <w:rPr>
          <w:rFonts w:ascii="仿宋_GB2312" w:hAnsi="仿宋_GB2312" w:eastAsia="仿宋_GB2312" w:cs="仿宋_GB2312"/>
          <w:kern w:val="2"/>
          <w:sz w:val="30"/>
          <w:szCs w:val="30"/>
        </w:rPr>
      </w:pPr>
      <w:r>
        <w:rPr>
          <w:rFonts w:hint="eastAsia" w:eastAsia="仿宋_GB2312"/>
          <w:sz w:val="32"/>
          <w:szCs w:val="32"/>
        </w:rPr>
        <w:t>2、</w:t>
      </w:r>
      <w:r>
        <w:rPr>
          <w:rFonts w:hint="eastAsia" w:ascii="仿宋_GB2312" w:hAnsi="仿宋_GB2312" w:eastAsia="仿宋_GB2312" w:cs="仿宋_GB2312"/>
          <w:kern w:val="2"/>
          <w:sz w:val="30"/>
          <w:szCs w:val="30"/>
        </w:rPr>
        <w:t>项目组织情况</w:t>
      </w:r>
    </w:p>
    <w:p>
      <w:pPr>
        <w:pStyle w:val="14"/>
        <w:spacing w:line="520" w:lineRule="exact"/>
        <w:ind w:left="0"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项目在合同方面情况较好。主要表现在几个方面：一是施工方严格按规划设计图纸及施工组织设计规范施工，确保按时按量完工，并接受发包方、监理方监督，施工中遇到工程变更能及时申请，所有工程变更均通过协商达成一致意见，无法律纠纷。二是监理方切实加强项目实施过程中对资金拨付工程进度、工程质量的指导与监督，并组织好各类监理资料，确保项目顺利完工。</w:t>
      </w:r>
    </w:p>
    <w:p>
      <w:pPr>
        <w:pStyle w:val="14"/>
        <w:spacing w:line="520" w:lineRule="exact"/>
        <w:ind w:left="0"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及时组织对项目的验收。首先在施工单位提出结算申请后，经</w:t>
      </w:r>
      <w:r>
        <w:rPr>
          <w:rFonts w:hint="eastAsia" w:ascii="仿宋_GB2312" w:hAnsi="仿宋_GB2312" w:eastAsia="仿宋_GB2312" w:cs="仿宋_GB2312"/>
          <w:kern w:val="2"/>
          <w:sz w:val="30"/>
          <w:szCs w:val="30"/>
          <w:lang w:eastAsia="zh-CN"/>
        </w:rPr>
        <w:t>资阳</w:t>
      </w:r>
      <w:r>
        <w:rPr>
          <w:rFonts w:hint="eastAsia" w:ascii="仿宋_GB2312" w:hAnsi="仿宋_GB2312" w:eastAsia="仿宋_GB2312" w:cs="仿宋_GB2312"/>
          <w:kern w:val="2"/>
          <w:sz w:val="30"/>
          <w:szCs w:val="30"/>
        </w:rPr>
        <w:t>区土地开发整理复垦中心审批同意，办理项目结算，然后由有资质的中介机构对项目财务进行审计并出具财务报告，最后成立验收组对项目进行验收并出具行政验收意见。</w:t>
      </w:r>
    </w:p>
    <w:p>
      <w:pPr>
        <w:pStyle w:val="14"/>
        <w:spacing w:line="520" w:lineRule="exact"/>
        <w:ind w:left="420" w:leftChars="200" w:firstLine="300" w:firstLineChars="1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3、项目管理情况</w:t>
      </w:r>
    </w:p>
    <w:p>
      <w:pPr>
        <w:pStyle w:val="14"/>
        <w:spacing w:line="520" w:lineRule="exact"/>
        <w:ind w:left="0"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lang w:val="en-US" w:eastAsia="zh-CN"/>
        </w:rPr>
        <w:t>资阳</w:t>
      </w:r>
      <w:r>
        <w:rPr>
          <w:rFonts w:hint="eastAsia" w:ascii="仿宋_GB2312" w:hAnsi="仿宋_GB2312" w:eastAsia="仿宋_GB2312" w:cs="仿宋_GB2312"/>
          <w:kern w:val="2"/>
          <w:sz w:val="30"/>
          <w:szCs w:val="30"/>
        </w:rPr>
        <w:t>区自然资源局负责项目的招投标、开工申报、质量和安全监督申报、制定施工计划等前期准备工作；全程参与建设管理，定期组织质量和安全检查，严格工程量审核和资金拨付；完成各类统计报表的上报工作。</w:t>
      </w:r>
    </w:p>
    <w:p>
      <w:pPr>
        <w:spacing w:line="540"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xml:space="preserve"> 三、单位专项组织实施情况</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（一）专项组织情况分析</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我局根据上级有关部门对专项资金的管理、使用要求，根据业务需要和工作要求，采取机关各股室、二级机构分工、合作的办法，对有关专项工作进行组织管理。</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1、耕地开发专项、基本农田建设和保护专项由局耕保股负责组织，资阳区土地整理复垦中心配合开展工作；</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2、土地整理专项由局耕保股负责组织，资阳区土地整理复垦中心负责具体实施；</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3、土地出让专项由局地产股负责组织，资阳区土地储备中心、资阳区国土资源交易中心配合开展工作；</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4、地质灾害防治专项由局地环股负责组织，资阳区地质环境监测站负责具体实施；</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5、矿产资源整治专项由局矿产资源管理股负责组织，资阳区国土资源监察大队负责具体实施。</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（二）专项管理情况分析</w:t>
      </w:r>
    </w:p>
    <w:p>
      <w:pPr>
        <w:adjustRightInd w:val="0"/>
        <w:snapToGrid w:val="0"/>
        <w:spacing w:line="540" w:lineRule="exact"/>
        <w:ind w:firstLine="608" w:firstLineChars="203"/>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了加强对专项资金的管理，做到依法、依规、合理地安排和使用专项资金，根据上级主管部门和相关部门对专项资金的规定，我局从建立健全专项资金管理制度、资金安排、资金监督和管理、资金使用的绩效评价等方面入手，全面加强对专项资金的管理，先后制订了《关于土地开发整理项目工程款拨付程序的规定》、《关于土地开发整理项目工程变更和增加工程管理规定》、《关于印发〈关于加强资阳区环洞庭湖重大项目管理的相关规定〉的通知》、《资阳区国土资源专项资金使用管理暂行办法》等资金管理制度，从资金申请、安排、拨付、审批、监管等多方面进行管理，以确保项目资金在健全、有序的管理制度下运行。</w:t>
      </w:r>
    </w:p>
    <w:p>
      <w:pPr>
        <w:spacing w:line="540" w:lineRule="exact"/>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为了加强对专项资金的管理，有效控制项目资金的投向和使用，最大限度地发挥项目资金使用效益，我局对专项资金进行全程跟踪管理，严格按照相关的资金管理制度和财务审批程序拨付和使用资金，确保了资金安全。在账务管理上，按项目单独设立专账，做到了专款专用；在资金拨付时，全部项目资金实行财政国库集中支付，全部采用转账方式进行支付，确保了资金的安全使用；在工程款拨付上，我局由分管局长、项目承担单位负责人和现场管理人员严格按照所签定的施工合同，根据工程的施工进度严格审查、分批付款；在资金管理上，严格按照省、市有关文件规定和国家有关财纪法律、法规的规定的内容开支各项费用，随时掌握资金动态和使用范围，严格按照预算合理控制开支额度，使项目专项资金得到充分、合理、有效地使用。</w:t>
      </w:r>
    </w:p>
    <w:p>
      <w:pPr>
        <w:ind w:firstLine="640" w:firstLineChars="200"/>
        <w:rPr>
          <w:rFonts w:hint="eastAsia" w:ascii="仿宋_GB2312" w:hAnsi="仿宋" w:eastAsia="仿宋_GB2312"/>
          <w:sz w:val="32"/>
          <w:szCs w:val="32"/>
        </w:rPr>
      </w:pPr>
    </w:p>
    <w:p>
      <w:pPr>
        <w:pStyle w:val="2"/>
        <w:numPr>
          <w:ilvl w:val="0"/>
          <w:numId w:val="2"/>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部门整体支出绩效情况</w:t>
      </w:r>
    </w:p>
    <w:p>
      <w:pPr>
        <w:pStyle w:val="2"/>
        <w:numPr>
          <w:ilvl w:val="0"/>
          <w:numId w:val="3"/>
        </w:numPr>
        <w:ind w:left="63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基本支出</w:t>
      </w:r>
    </w:p>
    <w:p>
      <w:pPr>
        <w:widowControl/>
        <w:spacing w:line="600" w:lineRule="exact"/>
        <w:ind w:firstLine="660"/>
        <w:jc w:val="left"/>
        <w:rPr>
          <w:rFonts w:eastAsia="仿宋_GB2312"/>
          <w:sz w:val="32"/>
          <w:szCs w:val="32"/>
        </w:rPr>
      </w:pPr>
      <w:r>
        <w:rPr>
          <w:rFonts w:hint="eastAsia" w:ascii="仿宋_GB2312" w:hAnsi="仿宋_GB2312" w:eastAsia="仿宋_GB2312" w:cs="仿宋_GB2312"/>
          <w:b w:val="0"/>
          <w:bCs w:val="0"/>
          <w:sz w:val="32"/>
          <w:szCs w:val="32"/>
          <w:lang w:val="en-US" w:eastAsia="zh-CN"/>
        </w:rPr>
        <w:t>1、2022年资阳区自然资源局基本支出980.84万元，</w:t>
      </w:r>
      <w:r>
        <w:rPr>
          <w:rFonts w:hint="eastAsia" w:eastAsia="仿宋_GB2312"/>
          <w:sz w:val="32"/>
          <w:szCs w:val="32"/>
        </w:rPr>
        <w:t>其中工资福利支出</w:t>
      </w:r>
      <w:r>
        <w:rPr>
          <w:rFonts w:hint="eastAsia" w:eastAsia="仿宋_GB2312"/>
          <w:sz w:val="32"/>
          <w:szCs w:val="32"/>
          <w:lang w:val="en-US" w:eastAsia="zh-CN"/>
        </w:rPr>
        <w:t>663.77</w:t>
      </w:r>
      <w:r>
        <w:rPr>
          <w:rFonts w:hint="eastAsia" w:eastAsia="仿宋_GB2312"/>
          <w:sz w:val="32"/>
          <w:szCs w:val="32"/>
        </w:rPr>
        <w:t>万元，主要包括：基本工资、津贴补贴、社会保障缴费、绩效工资、住房公积金、乡镇补贴等；商品和服务性支出</w:t>
      </w:r>
      <w:r>
        <w:rPr>
          <w:rFonts w:hint="eastAsia" w:eastAsia="仿宋_GB2312"/>
          <w:sz w:val="32"/>
          <w:szCs w:val="32"/>
          <w:lang w:val="en-US" w:eastAsia="zh-CN"/>
        </w:rPr>
        <w:t>292.30</w:t>
      </w:r>
      <w:r>
        <w:rPr>
          <w:rFonts w:hint="eastAsia" w:eastAsia="仿宋_GB2312"/>
          <w:sz w:val="32"/>
          <w:szCs w:val="32"/>
        </w:rPr>
        <w:t>万元，主要包括：办公费、印刷费、水费、电费、邮电费、差旅费、公务接待费、工会经费、福利费、其他商品和服务支出等；对个人和家庭的补助</w:t>
      </w:r>
      <w:r>
        <w:rPr>
          <w:rFonts w:hint="eastAsia" w:eastAsia="仿宋_GB2312"/>
          <w:sz w:val="32"/>
          <w:szCs w:val="32"/>
          <w:lang w:val="en-US" w:eastAsia="zh-CN"/>
        </w:rPr>
        <w:t>3.57</w:t>
      </w:r>
      <w:r>
        <w:rPr>
          <w:rFonts w:hint="eastAsia" w:eastAsia="仿宋_GB2312"/>
          <w:sz w:val="32"/>
          <w:szCs w:val="32"/>
        </w:rPr>
        <w:t>万元，主要包括：抚恤金、生活补助、奖励金、其他对个人和家庭的补助</w:t>
      </w:r>
      <w:r>
        <w:rPr>
          <w:rFonts w:hint="eastAsia" w:eastAsia="仿宋_GB2312"/>
          <w:sz w:val="32"/>
          <w:szCs w:val="32"/>
          <w:lang w:eastAsia="zh-CN"/>
        </w:rPr>
        <w:t>；</w:t>
      </w:r>
      <w:r>
        <w:rPr>
          <w:rFonts w:hint="eastAsia" w:eastAsia="仿宋_GB2312"/>
          <w:sz w:val="32"/>
          <w:szCs w:val="32"/>
          <w:lang w:val="en-US" w:eastAsia="zh-CN"/>
        </w:rPr>
        <w:t>资本性支出21.21万元，系办公设备购置费</w:t>
      </w:r>
      <w:r>
        <w:rPr>
          <w:rFonts w:hint="eastAsia" w:eastAsia="仿宋_GB2312"/>
          <w:sz w:val="32"/>
          <w:szCs w:val="32"/>
        </w:rPr>
        <w:t>。</w:t>
      </w:r>
    </w:p>
    <w:p>
      <w:pPr>
        <w:pStyle w:val="13"/>
        <w:adjustRightInd w:val="0"/>
        <w:snapToGrid w:val="0"/>
        <w:spacing w:line="480" w:lineRule="exact"/>
        <w:ind w:firstLine="640"/>
        <w:rPr>
          <w:rFonts w:ascii="仿宋_GB2312" w:hAnsi="仿宋_GB2312" w:eastAsia="仿宋_GB2312" w:cs="仿宋_GB2312"/>
          <w:sz w:val="30"/>
          <w:szCs w:val="30"/>
        </w:rPr>
      </w:pPr>
      <w:r>
        <w:rPr>
          <w:rFonts w:hint="eastAsia" w:eastAsia="仿宋_GB2312"/>
          <w:sz w:val="32"/>
          <w:szCs w:val="32"/>
        </w:rPr>
        <w:t>2、</w:t>
      </w:r>
      <w:r>
        <w:rPr>
          <w:rFonts w:hint="eastAsia" w:ascii="仿宋_GB2312" w:hAnsi="仿宋_GB2312" w:eastAsia="仿宋_GB2312" w:cs="仿宋_GB2312"/>
          <w:sz w:val="30"/>
          <w:szCs w:val="30"/>
        </w:rPr>
        <w:t>“三公”经费使用管理情况。</w:t>
      </w:r>
    </w:p>
    <w:p>
      <w:pPr>
        <w:pStyle w:val="2"/>
      </w:pPr>
      <w:r>
        <w:rPr>
          <w:rFonts w:hint="eastAsia" w:ascii="仿宋_GB2312" w:hAnsi="仿宋_GB2312" w:eastAsia="仿宋_GB2312" w:cs="仿宋_GB2312"/>
          <w:b/>
          <w:sz w:val="30"/>
          <w:szCs w:val="30"/>
        </w:rPr>
        <w:tab/>
      </w:r>
      <w:r>
        <w:rPr>
          <w:rFonts w:hint="eastAsia" w:ascii="仿宋_GB2312" w:hAnsi="仿宋_GB2312" w:eastAsia="仿宋_GB2312" w:cs="仿宋_GB2312"/>
          <w:sz w:val="30"/>
          <w:szCs w:val="30"/>
          <w:lang w:eastAsia="zh-CN"/>
        </w:rPr>
        <w:t>2022年</w:t>
      </w:r>
      <w:r>
        <w:rPr>
          <w:rFonts w:hint="eastAsia" w:ascii="仿宋_GB2312" w:hAnsi="仿宋_GB2312" w:eastAsia="仿宋_GB2312" w:cs="仿宋_GB2312"/>
          <w:sz w:val="30"/>
          <w:szCs w:val="30"/>
        </w:rPr>
        <w:t>度</w:t>
      </w:r>
      <w:r>
        <w:rPr>
          <w:rFonts w:hint="eastAsia" w:ascii="仿宋_GB2312" w:hAnsi="仿宋_GB2312" w:eastAsia="仿宋_GB2312" w:cs="仿宋_GB2312"/>
          <w:sz w:val="30"/>
          <w:szCs w:val="30"/>
          <w:lang w:eastAsia="zh-CN"/>
        </w:rPr>
        <w:t>资阳</w:t>
      </w:r>
      <w:r>
        <w:rPr>
          <w:rFonts w:hint="eastAsia" w:ascii="仿宋_GB2312" w:hAnsi="仿宋_GB2312" w:eastAsia="仿宋_GB2312" w:cs="仿宋_GB2312"/>
          <w:sz w:val="30"/>
          <w:szCs w:val="30"/>
        </w:rPr>
        <w:t>区自然资源局“三公经费”支出</w:t>
      </w:r>
      <w:r>
        <w:rPr>
          <w:rFonts w:hint="eastAsia" w:ascii="仿宋_GB2312" w:hAnsi="仿宋_GB2312" w:eastAsia="仿宋_GB2312" w:cs="仿宋_GB2312"/>
          <w:sz w:val="30"/>
          <w:szCs w:val="30"/>
          <w:lang w:val="en-US" w:eastAsia="zh-CN"/>
        </w:rPr>
        <w:t>0.23</w:t>
      </w:r>
      <w:r>
        <w:rPr>
          <w:rFonts w:hint="eastAsia" w:ascii="仿宋_GB2312" w:hAnsi="仿宋_GB2312" w:eastAsia="仿宋_GB2312" w:cs="仿宋_GB2312"/>
          <w:sz w:val="30"/>
          <w:szCs w:val="30"/>
        </w:rPr>
        <w:t>万元，系公务接待费。</w:t>
      </w:r>
    </w:p>
    <w:p>
      <w:pPr>
        <w:pStyle w:val="2"/>
        <w:numPr>
          <w:ilvl w:val="0"/>
          <w:numId w:val="3"/>
        </w:numPr>
        <w:ind w:left="630" w:leftChars="0" w:firstLine="0" w:firstLine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项目支出</w:t>
      </w:r>
    </w:p>
    <w:p>
      <w:pPr>
        <w:widowControl/>
        <w:spacing w:line="600" w:lineRule="exact"/>
        <w:ind w:firstLine="640" w:firstLineChars="200"/>
        <w:jc w:val="left"/>
        <w:rPr>
          <w:rFonts w:eastAsia="仿宋_GB2312"/>
          <w:sz w:val="32"/>
          <w:szCs w:val="32"/>
        </w:rPr>
      </w:pPr>
      <w:r>
        <w:rPr>
          <w:rFonts w:hint="eastAsia" w:eastAsia="仿宋_GB2312"/>
          <w:sz w:val="32"/>
          <w:szCs w:val="32"/>
          <w:lang w:eastAsia="zh-CN"/>
        </w:rPr>
        <w:t>2022年</w:t>
      </w:r>
      <w:r>
        <w:rPr>
          <w:rFonts w:hint="eastAsia" w:eastAsia="仿宋_GB2312"/>
          <w:sz w:val="32"/>
          <w:szCs w:val="32"/>
        </w:rPr>
        <w:t>资阳区自然资源局年全年项目支出</w:t>
      </w:r>
      <w:r>
        <w:rPr>
          <w:rFonts w:hint="eastAsia" w:eastAsia="仿宋_GB2312"/>
          <w:sz w:val="32"/>
          <w:szCs w:val="32"/>
          <w:lang w:val="en-US" w:eastAsia="zh-CN"/>
        </w:rPr>
        <w:t>1831.60</w:t>
      </w:r>
      <w:r>
        <w:rPr>
          <w:rFonts w:hint="eastAsia" w:eastAsia="仿宋_GB2312"/>
          <w:sz w:val="32"/>
          <w:szCs w:val="32"/>
        </w:rPr>
        <w:t>万元</w:t>
      </w:r>
      <w:r>
        <w:rPr>
          <w:rFonts w:eastAsia="仿宋_GB2312"/>
          <w:sz w:val="32"/>
          <w:szCs w:val="32"/>
        </w:rPr>
        <w:t>，</w:t>
      </w:r>
      <w:r>
        <w:rPr>
          <w:rFonts w:hint="eastAsia" w:eastAsia="仿宋_GB2312"/>
          <w:sz w:val="32"/>
          <w:szCs w:val="32"/>
        </w:rPr>
        <w:t>主要项目包括：农村宅基地和集体建设用地房地一体确权登记工作经费等</w:t>
      </w:r>
      <w:r>
        <w:rPr>
          <w:rFonts w:hint="eastAsia" w:eastAsia="仿宋_GB2312"/>
          <w:sz w:val="32"/>
          <w:szCs w:val="32"/>
          <w:lang w:val="en-US" w:eastAsia="zh-CN"/>
        </w:rPr>
        <w:t>546.40</w:t>
      </w:r>
      <w:r>
        <w:rPr>
          <w:rFonts w:hint="eastAsia" w:eastAsia="仿宋_GB2312"/>
          <w:sz w:val="32"/>
          <w:szCs w:val="32"/>
        </w:rPr>
        <w:t>万元；供地计划编制、土地储备计划专项经费等</w:t>
      </w:r>
      <w:r>
        <w:rPr>
          <w:rFonts w:hint="eastAsia" w:eastAsia="仿宋_GB2312"/>
          <w:sz w:val="32"/>
          <w:szCs w:val="32"/>
          <w:lang w:val="en-US" w:eastAsia="zh-CN"/>
        </w:rPr>
        <w:t>105.86</w:t>
      </w:r>
      <w:r>
        <w:rPr>
          <w:rFonts w:hint="eastAsia" w:eastAsia="仿宋_GB2312"/>
          <w:sz w:val="32"/>
          <w:szCs w:val="32"/>
        </w:rPr>
        <w:t>万元；</w:t>
      </w:r>
      <w:r>
        <w:rPr>
          <w:rFonts w:hint="eastAsia" w:eastAsia="仿宋_GB2312"/>
          <w:sz w:val="32"/>
          <w:szCs w:val="32"/>
          <w:lang w:eastAsia="zh-CN"/>
        </w:rPr>
        <w:t>2021年市级土地整治及灾毁项目</w:t>
      </w:r>
      <w:r>
        <w:rPr>
          <w:rFonts w:hint="eastAsia" w:eastAsia="仿宋_GB2312"/>
          <w:sz w:val="32"/>
          <w:szCs w:val="32"/>
          <w:lang w:val="en-US" w:eastAsia="zh-CN"/>
        </w:rPr>
        <w:t>1026.57</w:t>
      </w:r>
      <w:r>
        <w:rPr>
          <w:rFonts w:hint="eastAsia" w:eastAsia="仿宋_GB2312"/>
          <w:sz w:val="32"/>
          <w:szCs w:val="32"/>
        </w:rPr>
        <w:t>万元；地质灾害防治项目资金</w:t>
      </w:r>
      <w:r>
        <w:rPr>
          <w:rFonts w:hint="eastAsia" w:eastAsia="仿宋_GB2312"/>
          <w:sz w:val="32"/>
          <w:szCs w:val="32"/>
          <w:lang w:val="en-US" w:eastAsia="zh-CN"/>
        </w:rPr>
        <w:t>65.05</w:t>
      </w:r>
      <w:r>
        <w:rPr>
          <w:rFonts w:hint="eastAsia" w:eastAsia="仿宋_GB2312"/>
          <w:sz w:val="32"/>
          <w:szCs w:val="32"/>
        </w:rPr>
        <w:t>万元</w:t>
      </w:r>
      <w:r>
        <w:rPr>
          <w:rFonts w:hint="eastAsia" w:eastAsia="仿宋_GB2312"/>
          <w:sz w:val="32"/>
          <w:szCs w:val="32"/>
          <w:lang w:eastAsia="zh-CN"/>
        </w:rPr>
        <w:t>；矿山地质勘查工作经费</w:t>
      </w:r>
      <w:r>
        <w:rPr>
          <w:rFonts w:hint="eastAsia" w:eastAsia="仿宋_GB2312"/>
          <w:sz w:val="32"/>
          <w:szCs w:val="32"/>
          <w:lang w:val="en-US" w:eastAsia="zh-CN"/>
        </w:rPr>
        <w:t>87.71万元</w:t>
      </w:r>
      <w:r>
        <w:rPr>
          <w:rFonts w:hint="eastAsia" w:eastAsia="仿宋_GB2312"/>
          <w:sz w:val="32"/>
          <w:szCs w:val="32"/>
        </w:rPr>
        <w:t>。</w:t>
      </w:r>
    </w:p>
    <w:p>
      <w:pPr>
        <w:pStyle w:val="2"/>
        <w:numPr>
          <w:ilvl w:val="0"/>
          <w:numId w:val="0"/>
        </w:numPr>
        <w:ind w:left="630" w:leftChars="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（三）整体绩效情况</w:t>
      </w:r>
    </w:p>
    <w:p>
      <w:pPr>
        <w:ind w:firstLine="640" w:firstLineChars="200"/>
        <w:rPr>
          <w:rFonts w:hint="eastAsia" w:ascii="仿宋_GB2312" w:hAnsi="仿宋" w:eastAsia="仿宋_GB2312" w:cs="仿宋"/>
          <w:sz w:val="32"/>
          <w:szCs w:val="32"/>
        </w:rPr>
      </w:pPr>
      <w:bookmarkStart w:id="0" w:name="YS060103"/>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社会效益</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保护与合理利用土地、矿产资源等自然资源，保持全</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土地利用的良性循环，确保全</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耕地、建设用地的动态平衡。</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经济效益</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土地收益效果显著且稳定增长，矿产资源交易市场规范且得到合理开发利用。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生态效益</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耕地得到严格保护，通过土地整理使农田水利设施得到明显改善，通过地质灾害防治和治理，消除了地质灾害隐患，同时使受灾区及时得到了有效治理，保证了人民群众的生命和财产安全。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可持续影响</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合理开发和利用土地、矿产资源，节约、集约利用土地，优化配置和合理利用了国土、矿产资源，耕地得到严格保护，保证了农民的切身利益，通过土地整理，改善了农民的生产和生活条件，通过地质灾害防治和治理，消除了地质灾害隐患，同时使受灾区及时得到了有效治理，保证了人民群众的生命和财产安全。</w:t>
      </w:r>
    </w:p>
    <w:bookmarkEnd w:id="0"/>
    <w:p>
      <w:pPr>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五、存在的主要问题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1、预算编制工作有待细化。预算编制不够明确和细化，预算编制的合理性需要提高，预算执行力度还要进一步加强。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both"/>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2、公用经费控制有一定难度，基本为刚性支出。</w:t>
      </w:r>
    </w:p>
    <w:p>
      <w:pPr>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3、实际操作过程中，预算执行难度大，实际支出难以完全按照年初预算执行。</w:t>
      </w:r>
    </w:p>
    <w:p>
      <w:pPr>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六、改进措施和有关建议</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1、开源节流，以优质服务提高经营服务性收费收入，同时严格控制非生产性支出。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2、建议</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财政将我局干部职工全部纳入财政全额预算，增加财政预算拨款。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3、加强预算管理，进一步细化预算支出科目，严格按</w:t>
      </w:r>
      <w:bookmarkStart w:id="1" w:name="_GoBack"/>
      <w:bookmarkEnd w:id="1"/>
      <w:r>
        <w:rPr>
          <w:rFonts w:hint="eastAsia" w:ascii="仿宋_GB2312" w:hAnsi="仿宋" w:eastAsia="仿宋_GB2312" w:cs="仿宋"/>
          <w:sz w:val="32"/>
          <w:szCs w:val="32"/>
        </w:rPr>
        <w:t>照年初预算控制支出。</w:t>
      </w:r>
    </w:p>
    <w:p>
      <w:pPr>
        <w:pStyle w:val="2"/>
        <w:rPr>
          <w:rFonts w:hint="eastAsia" w:ascii="仿宋_GB2312" w:hAnsi="仿宋" w:eastAsia="仿宋_GB2312" w:cs="仿宋"/>
          <w:sz w:val="32"/>
          <w:szCs w:val="32"/>
        </w:rPr>
      </w:pPr>
    </w:p>
    <w:p>
      <w:pPr>
        <w:widowControl/>
        <w:spacing w:line="600" w:lineRule="exact"/>
        <w:ind w:firstLine="640" w:firstLineChars="200"/>
        <w:jc w:val="left"/>
        <w:rPr>
          <w:rFonts w:ascii="Times New Roman" w:hAnsi="Times New Roman" w:eastAsia="仿宋_GB2312" w:cs="Times New Roman"/>
          <w:sz w:val="32"/>
          <w:szCs w:val="32"/>
        </w:rPr>
      </w:pPr>
      <w:r>
        <w:rPr>
          <w:rFonts w:hint="eastAsia" w:ascii="仿宋_GB2312" w:hAnsi="仿宋" w:eastAsia="仿宋_GB2312" w:cs="仿宋"/>
          <w:sz w:val="32"/>
          <w:szCs w:val="32"/>
          <w:lang w:val="en-US" w:eastAsia="zh-CN"/>
        </w:rPr>
        <w:t>附件：</w:t>
      </w:r>
      <w:r>
        <w:rPr>
          <w:rFonts w:ascii="Times New Roman" w:hAnsi="Times New Roman" w:eastAsia="仿宋_GB2312" w:cs="Times New Roman"/>
          <w:sz w:val="32"/>
          <w:szCs w:val="32"/>
        </w:rPr>
        <w:t>1、部门整体支出绩效评价基础数据表</w:t>
      </w:r>
    </w:p>
    <w:p>
      <w:pPr>
        <w:pStyle w:val="2"/>
        <w:ind w:firstLine="1600" w:firstLineChars="500"/>
        <w:rPr>
          <w:rFonts w:hint="eastAsia" w:ascii="仿宋_GB2312" w:hAnsi="仿宋" w:eastAsia="仿宋_GB2312" w:cs="仿宋"/>
          <w:sz w:val="32"/>
          <w:szCs w:val="32"/>
          <w:lang w:val="en-US" w:eastAsia="zh-CN"/>
        </w:rPr>
      </w:pPr>
      <w:r>
        <w:rPr>
          <w:rFonts w:ascii="Times New Roman" w:hAnsi="Times New Roman" w:eastAsia="仿宋_GB2312" w:cs="Times New Roman"/>
          <w:sz w:val="32"/>
          <w:szCs w:val="32"/>
        </w:rPr>
        <w:t>2、部门整体支出绩效自评表</w:t>
      </w:r>
    </w:p>
    <w:p>
      <w:pPr>
        <w:jc w:val="both"/>
        <w:rPr>
          <w:rFonts w:hint="default" w:eastAsia="宋体"/>
          <w:lang w:val="en-US" w:eastAsia="zh-CN"/>
        </w:rPr>
      </w:pPr>
      <w:r>
        <w:br w:type="page"/>
      </w:r>
    </w:p>
    <w:tbl>
      <w:tblPr>
        <w:tblStyle w:val="7"/>
        <w:tblW w:w="9847" w:type="dxa"/>
        <w:tblInd w:w="-654" w:type="dxa"/>
        <w:tblLayout w:type="fixed"/>
        <w:tblCellMar>
          <w:top w:w="0" w:type="dxa"/>
          <w:left w:w="0" w:type="dxa"/>
          <w:bottom w:w="0" w:type="dxa"/>
          <w:right w:w="0" w:type="dxa"/>
        </w:tblCellMar>
      </w:tblPr>
      <w:tblGrid>
        <w:gridCol w:w="4495"/>
        <w:gridCol w:w="830"/>
        <w:gridCol w:w="1305"/>
        <w:gridCol w:w="581"/>
        <w:gridCol w:w="848"/>
        <w:gridCol w:w="848"/>
        <w:gridCol w:w="940"/>
      </w:tblGrid>
      <w:tr>
        <w:tblPrEx>
          <w:tblCellMar>
            <w:top w:w="0" w:type="dxa"/>
            <w:left w:w="0" w:type="dxa"/>
            <w:bottom w:w="0" w:type="dxa"/>
            <w:right w:w="0" w:type="dxa"/>
          </w:tblCellMar>
        </w:tblPrEx>
        <w:trPr>
          <w:trHeight w:val="420" w:hRule="atLeast"/>
        </w:trPr>
        <w:tc>
          <w:tcPr>
            <w:tcW w:w="4495"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Calibri" w:hAnsi="Calibri" w:eastAsia="黑体" w:cs="宋体"/>
                <w:color w:val="000000"/>
                <w:kern w:val="0"/>
                <w:sz w:val="32"/>
                <w:szCs w:val="32"/>
              </w:rPr>
              <w:t>1</w:t>
            </w:r>
          </w:p>
        </w:tc>
        <w:tc>
          <w:tcPr>
            <w:tcW w:w="830"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1305"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581"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848"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848"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940"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r>
      <w:tr>
        <w:tblPrEx>
          <w:tblCellMar>
            <w:top w:w="0" w:type="dxa"/>
            <w:left w:w="0" w:type="dxa"/>
            <w:bottom w:w="0" w:type="dxa"/>
            <w:right w:w="0" w:type="dxa"/>
          </w:tblCellMar>
        </w:tblPrEx>
        <w:trPr>
          <w:trHeight w:val="465" w:hRule="atLeast"/>
        </w:trPr>
        <w:tc>
          <w:tcPr>
            <w:tcW w:w="9847" w:type="dxa"/>
            <w:gridSpan w:val="7"/>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rPr>
                <w:rFonts w:ascii="Calibri" w:hAnsi="Calibri" w:cs="宋体"/>
                <w:color w:val="000000"/>
                <w:kern w:val="0"/>
                <w:sz w:val="36"/>
                <w:szCs w:val="36"/>
              </w:rPr>
            </w:pPr>
            <w:r>
              <w:rPr>
                <w:rFonts w:ascii="Calibri" w:hAnsi="Calibri" w:cs="宋体"/>
                <w:color w:val="000000"/>
                <w:kern w:val="0"/>
                <w:sz w:val="36"/>
                <w:szCs w:val="36"/>
              </w:rPr>
              <w:t>2022</w:t>
            </w:r>
            <w:r>
              <w:rPr>
                <w:rFonts w:hint="eastAsia" w:ascii="方正小标宋_GBK" w:hAnsi="Calibri" w:eastAsia="方正小标宋_GBK" w:cs="宋体"/>
                <w:color w:val="000000"/>
                <w:kern w:val="0"/>
                <w:sz w:val="36"/>
                <w:szCs w:val="36"/>
              </w:rPr>
              <w:t>年度部门整体支出绩效评价基础数据表</w:t>
            </w:r>
          </w:p>
        </w:tc>
      </w:tr>
      <w:tr>
        <w:tblPrEx>
          <w:tblCellMar>
            <w:top w:w="0" w:type="dxa"/>
            <w:left w:w="0" w:type="dxa"/>
            <w:bottom w:w="0" w:type="dxa"/>
            <w:right w:w="0" w:type="dxa"/>
          </w:tblCellMar>
        </w:tblPrEx>
        <w:trPr>
          <w:trHeight w:val="300" w:hRule="atLeast"/>
        </w:trPr>
        <w:tc>
          <w:tcPr>
            <w:tcW w:w="44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财政供养人员情况（人）</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编制数</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2022</w:t>
            </w:r>
            <w:r>
              <w:rPr>
                <w:rFonts w:hint="eastAsia" w:ascii="仿宋_GB2312" w:hAnsi="Times New Roman" w:eastAsia="仿宋_GB2312" w:cs="Times New Roman"/>
                <w:b/>
                <w:bCs/>
                <w:color w:val="000000"/>
                <w:kern w:val="0"/>
                <w:sz w:val="20"/>
                <w:szCs w:val="20"/>
              </w:rPr>
              <w:t>年实际在职人数</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控制率</w:t>
            </w:r>
          </w:p>
        </w:tc>
      </w:tr>
      <w:tr>
        <w:tblPrEx>
          <w:tblCellMar>
            <w:top w:w="0" w:type="dxa"/>
            <w:left w:w="0" w:type="dxa"/>
            <w:bottom w:w="0" w:type="dxa"/>
            <w:right w:w="0" w:type="dxa"/>
          </w:tblCellMar>
        </w:tblPrEx>
        <w:trPr>
          <w:trHeight w:val="300" w:hRule="atLeast"/>
        </w:trPr>
        <w:tc>
          <w:tcPr>
            <w:tcW w:w="4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55</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85.94%</w:t>
            </w:r>
          </w:p>
        </w:tc>
      </w:tr>
      <w:tr>
        <w:tblPrEx>
          <w:tblCellMar>
            <w:top w:w="0" w:type="dxa"/>
            <w:left w:w="0" w:type="dxa"/>
            <w:bottom w:w="0" w:type="dxa"/>
            <w:right w:w="0" w:type="dxa"/>
          </w:tblCellMar>
        </w:tblPrEx>
        <w:trPr>
          <w:trHeight w:val="44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经费控制情况（万元）</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2021</w:t>
            </w:r>
            <w:r>
              <w:rPr>
                <w:rFonts w:hint="eastAsia" w:ascii="仿宋_GB2312" w:hAnsi="Times New Roman" w:eastAsia="仿宋_GB2312" w:cs="Times New Roman"/>
                <w:b/>
                <w:bCs/>
                <w:color w:val="000000"/>
                <w:kern w:val="0"/>
                <w:sz w:val="20"/>
                <w:szCs w:val="20"/>
              </w:rPr>
              <w:t>年决算数</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2022</w:t>
            </w:r>
            <w:r>
              <w:rPr>
                <w:rFonts w:hint="eastAsia" w:ascii="仿宋_GB2312" w:hAnsi="Times New Roman" w:eastAsia="仿宋_GB2312" w:cs="Times New Roman"/>
                <w:b/>
                <w:bCs/>
                <w:color w:val="000000"/>
                <w:kern w:val="0"/>
                <w:sz w:val="20"/>
                <w:szCs w:val="20"/>
              </w:rPr>
              <w:t>年预算数</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2022</w:t>
            </w:r>
            <w:r>
              <w:rPr>
                <w:rFonts w:hint="eastAsia" w:ascii="仿宋_GB2312" w:hAnsi="Times New Roman" w:eastAsia="仿宋_GB2312" w:cs="Times New Roman"/>
                <w:b/>
                <w:bCs/>
                <w:color w:val="000000"/>
                <w:kern w:val="0"/>
                <w:sz w:val="20"/>
                <w:szCs w:val="20"/>
              </w:rPr>
              <w:t>年决算数</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支出总额</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1998.16</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759.38</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2812.44</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918.05</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497.88</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980.84</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其中：公用经费</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280.07</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47.76</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313.51</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1080.11</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261.5</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1831.6</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其中：</w:t>
            </w:r>
            <w:r>
              <w:rPr>
                <w:rFonts w:ascii="Times New Roman" w:hAnsi="Times New Roman" w:cs="Times New Roman"/>
                <w:color w:val="000000"/>
                <w:kern w:val="0"/>
                <w:sz w:val="20"/>
                <w:szCs w:val="20"/>
              </w:rPr>
              <w:t>1</w:t>
            </w:r>
            <w:r>
              <w:rPr>
                <w:rFonts w:hint="eastAsia" w:ascii="仿宋_GB2312" w:hAnsi="Times New Roman" w:eastAsia="仿宋_GB2312" w:cs="Times New Roman"/>
                <w:color w:val="000000"/>
                <w:kern w:val="0"/>
                <w:sz w:val="20"/>
                <w:szCs w:val="20"/>
              </w:rPr>
              <w:t>、运行维护经费</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7.44</w:t>
            </w:r>
          </w:p>
        </w:tc>
        <w:tc>
          <w:tcPr>
            <w:tcW w:w="1429" w:type="dxa"/>
            <w:gridSpan w:val="2"/>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8.91</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w:t>
            </w:r>
            <w:r>
              <w:rPr>
                <w:rFonts w:hint="eastAsia" w:ascii="仿宋_GB2312" w:hAnsi="Times New Roman" w:eastAsia="仿宋_GB2312" w:cs="Times New Roman"/>
                <w:color w:val="000000"/>
                <w:kern w:val="0"/>
                <w:sz w:val="20"/>
                <w:szCs w:val="20"/>
              </w:rPr>
              <w:t>、专项资金</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1072.67</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1822.69</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农村房屋不动产登记</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79.86</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不动产登记存量数据整合和统计分析专项经费等</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45</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2021</w:t>
            </w:r>
            <w:r>
              <w:rPr>
                <w:rFonts w:hint="eastAsia" w:ascii="宋体" w:hAnsi="宋体" w:cs="Times New Roman"/>
                <w:color w:val="000000"/>
                <w:kern w:val="0"/>
                <w:sz w:val="20"/>
                <w:szCs w:val="20"/>
              </w:rPr>
              <w:t>年自然资源保护和利用专项资金</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r>
              <w:rPr>
                <w:rFonts w:hint="eastAsia" w:ascii="宋体" w:hAnsi="宋体" w:cs="Times New Roman"/>
                <w:color w:val="000000"/>
                <w:kern w:val="0"/>
                <w:sz w:val="20"/>
                <w:szCs w:val="20"/>
              </w:rPr>
              <w:t>年市级农村房地一体确权登记颁证补助资金</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22.56</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r>
              <w:rPr>
                <w:rFonts w:hint="eastAsia" w:ascii="宋体" w:hAnsi="宋体" w:cs="Times New Roman"/>
                <w:color w:val="000000"/>
                <w:kern w:val="0"/>
                <w:sz w:val="20"/>
                <w:szCs w:val="20"/>
              </w:rPr>
              <w:t>年多规合一村庄规划试点项目资金等</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77.4</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2018</w:t>
            </w:r>
            <w:r>
              <w:rPr>
                <w:rFonts w:hint="eastAsia" w:ascii="宋体" w:hAnsi="宋体" w:cs="Times New Roman"/>
                <w:color w:val="000000"/>
                <w:kern w:val="0"/>
                <w:sz w:val="20"/>
                <w:szCs w:val="20"/>
              </w:rPr>
              <w:t>年第二批地质灾害综合防治体系建设项目资金等</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147.38</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2020</w:t>
            </w:r>
            <w:r>
              <w:rPr>
                <w:rFonts w:hint="eastAsia" w:ascii="宋体" w:hAnsi="宋体" w:cs="Times New Roman"/>
                <w:color w:val="000000"/>
                <w:kern w:val="0"/>
                <w:sz w:val="20"/>
                <w:szCs w:val="20"/>
              </w:rPr>
              <w:t>年第一批市级土地综合整治及灾毁项目资金</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625</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供地计划编制、土地储备计划专项经费等</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96.96</w:t>
            </w:r>
          </w:p>
        </w:tc>
      </w:tr>
      <w:tr>
        <w:tblPrEx>
          <w:tblCellMar>
            <w:top w:w="0" w:type="dxa"/>
            <w:left w:w="0" w:type="dxa"/>
            <w:bottom w:w="0" w:type="dxa"/>
            <w:right w:w="0" w:type="dxa"/>
          </w:tblCellMar>
        </w:tblPrEx>
        <w:trPr>
          <w:trHeight w:val="48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其中：农村宅基地和集体建设用地房地一体确权登记工作经费等</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546.4</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2021</w:t>
            </w:r>
            <w:r>
              <w:rPr>
                <w:rFonts w:hint="eastAsia" w:ascii="宋体" w:hAnsi="宋体" w:cs="Times New Roman"/>
                <w:color w:val="000000"/>
                <w:kern w:val="0"/>
                <w:sz w:val="20"/>
                <w:szCs w:val="20"/>
              </w:rPr>
              <w:t>年市级土地整治及灾毁项目</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1026.57</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1000" w:firstLineChars="500"/>
              <w:jc w:val="both"/>
              <w:rPr>
                <w:rFonts w:ascii="宋体" w:hAnsi="宋体" w:cs="宋体"/>
                <w:color w:val="000000"/>
                <w:kern w:val="0"/>
                <w:sz w:val="20"/>
                <w:szCs w:val="20"/>
              </w:rPr>
            </w:pPr>
            <w:r>
              <w:rPr>
                <w:rFonts w:hint="eastAsia" w:ascii="宋体" w:hAnsi="宋体" w:cs="宋体"/>
                <w:color w:val="000000"/>
                <w:kern w:val="0"/>
                <w:sz w:val="20"/>
                <w:szCs w:val="20"/>
              </w:rPr>
              <w:t xml:space="preserve">     地质灾害防治项目资金</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65.47</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65.05</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ind w:firstLine="1000" w:firstLineChars="500"/>
              <w:jc w:val="both"/>
              <w:rPr>
                <w:rFonts w:ascii="宋体" w:hAnsi="宋体" w:cs="宋体"/>
                <w:color w:val="000000"/>
                <w:kern w:val="0"/>
                <w:sz w:val="20"/>
                <w:szCs w:val="20"/>
              </w:rPr>
            </w:pPr>
            <w:r>
              <w:rPr>
                <w:rFonts w:hint="eastAsia" w:ascii="宋体" w:hAnsi="宋体" w:cs="宋体"/>
                <w:color w:val="000000"/>
                <w:kern w:val="0"/>
                <w:sz w:val="20"/>
                <w:szCs w:val="20"/>
              </w:rPr>
              <w:t xml:space="preserve">     矿山地质勘查工作经费</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87.71</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三公经费</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1</w:t>
            </w:r>
            <w:r>
              <w:rPr>
                <w:rFonts w:hint="eastAsia" w:ascii="仿宋_GB2312" w:hAnsi="Times New Roman" w:eastAsia="仿宋_GB2312" w:cs="Times New Roman"/>
                <w:color w:val="000000"/>
                <w:kern w:val="0"/>
                <w:sz w:val="20"/>
                <w:szCs w:val="20"/>
              </w:rPr>
              <w:t>、公务用车购置和维护经费</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其中：公车购置</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公车运行维护</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0</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2</w:t>
            </w:r>
            <w:r>
              <w:rPr>
                <w:rFonts w:hint="eastAsia" w:ascii="仿宋_GB2312" w:hAnsi="Times New Roman" w:eastAsia="仿宋_GB2312" w:cs="Times New Roman"/>
                <w:color w:val="000000"/>
                <w:kern w:val="0"/>
                <w:sz w:val="20"/>
                <w:szCs w:val="20"/>
              </w:rPr>
              <w:t>、出国经费</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3</w:t>
            </w:r>
            <w:r>
              <w:rPr>
                <w:rFonts w:hint="eastAsia" w:ascii="仿宋_GB2312" w:hAnsi="Times New Roman" w:eastAsia="仿宋_GB2312" w:cs="Times New Roman"/>
                <w:color w:val="000000"/>
                <w:kern w:val="0"/>
                <w:sz w:val="20"/>
                <w:szCs w:val="20"/>
              </w:rPr>
              <w:t>、公务接待</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0.85</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2</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0.23</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政府采购金额</w:t>
            </w:r>
          </w:p>
        </w:tc>
        <w:tc>
          <w:tcPr>
            <w:tcW w:w="213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42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楼堂馆所控制情况</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批复规模</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实际规模（㎡）</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规模控制率</w:t>
            </w:r>
          </w:p>
        </w:tc>
        <w:tc>
          <w:tcPr>
            <w:tcW w:w="8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预算投资（万元）</w:t>
            </w:r>
          </w:p>
        </w:tc>
        <w:tc>
          <w:tcPr>
            <w:tcW w:w="84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实际投资（万元）</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投资概算控制率</w:t>
            </w: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r>
              <w:rPr>
                <w:rFonts w:ascii="Times New Roman" w:hAnsi="Times New Roman" w:eastAsia="仿宋_GB2312" w:cs="Times New Roman"/>
                <w:color w:val="000000"/>
                <w:kern w:val="0"/>
                <w:sz w:val="20"/>
                <w:szCs w:val="20"/>
              </w:rPr>
              <w:t>2021</w:t>
            </w:r>
            <w:r>
              <w:rPr>
                <w:rFonts w:hint="eastAsia" w:ascii="仿宋_GB2312" w:hAnsi="宋体" w:eastAsia="仿宋_GB2312" w:cs="宋体"/>
                <w:color w:val="000000"/>
                <w:kern w:val="0"/>
                <w:sz w:val="20"/>
                <w:szCs w:val="20"/>
              </w:rPr>
              <w:t>年完工项目）</w:t>
            </w: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w:t>
            </w: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0"/>
                <w:szCs w:val="20"/>
              </w:rPr>
            </w:pPr>
          </w:p>
        </w:tc>
        <w:tc>
          <w:tcPr>
            <w:tcW w:w="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c>
          <w:tcPr>
            <w:tcW w:w="13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c>
          <w:tcPr>
            <w:tcW w:w="5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c>
          <w:tcPr>
            <w:tcW w:w="8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c>
          <w:tcPr>
            <w:tcW w:w="84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360" w:hRule="atLeast"/>
        </w:trPr>
        <w:tc>
          <w:tcPr>
            <w:tcW w:w="4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厉行节约保障措施</w:t>
            </w:r>
          </w:p>
        </w:tc>
        <w:tc>
          <w:tcPr>
            <w:tcW w:w="5352"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640" w:hRule="atLeast"/>
        </w:trPr>
        <w:tc>
          <w:tcPr>
            <w:tcW w:w="9847" w:type="dxa"/>
            <w:gridSpan w:val="7"/>
            <w:tcBorders>
              <w:top w:val="nil"/>
              <w:left w:val="nil"/>
              <w:bottom w:val="nil"/>
              <w:right w:val="nil"/>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说明：</w:t>
            </w:r>
            <w:r>
              <w:rPr>
                <w:rFonts w:ascii="Calibri" w:hAnsi="Calibri" w:eastAsia="仿宋_GB2312" w:cs="宋体"/>
                <w:color w:val="000000"/>
                <w:kern w:val="0"/>
                <w:sz w:val="20"/>
                <w:szCs w:val="20"/>
              </w:rPr>
              <w:t>“</w:t>
            </w:r>
            <w:r>
              <w:rPr>
                <w:rFonts w:hint="eastAsia" w:ascii="仿宋_GB2312" w:hAnsi="宋体" w:eastAsia="仿宋_GB2312" w:cs="宋体"/>
                <w:color w:val="000000"/>
                <w:kern w:val="0"/>
                <w:sz w:val="20"/>
                <w:szCs w:val="20"/>
              </w:rPr>
              <w:t>公用经费</w:t>
            </w:r>
            <w:r>
              <w:rPr>
                <w:rFonts w:ascii="Calibri" w:hAnsi="Calibri" w:eastAsia="仿宋_GB2312" w:cs="宋体"/>
                <w:color w:val="000000"/>
                <w:kern w:val="0"/>
                <w:sz w:val="20"/>
                <w:szCs w:val="20"/>
              </w:rPr>
              <w:t>”</w:t>
            </w:r>
            <w:r>
              <w:rPr>
                <w:rFonts w:hint="eastAsia" w:ascii="仿宋_GB2312" w:hAnsi="宋体" w:eastAsia="仿宋_GB2312" w:cs="宋体"/>
                <w:color w:val="000000"/>
                <w:kern w:val="0"/>
                <w:sz w:val="20"/>
                <w:szCs w:val="20"/>
              </w:rPr>
              <w:t>填报基本支出中的一般商品和服务支出。</w:t>
            </w:r>
            <w:r>
              <w:rPr>
                <w:rFonts w:ascii="Calibri" w:hAnsi="Calibri" w:eastAsia="仿宋_GB2312" w:cs="宋体"/>
                <w:color w:val="000000"/>
                <w:kern w:val="0"/>
                <w:sz w:val="20"/>
                <w:szCs w:val="20"/>
              </w:rPr>
              <w:t>“</w:t>
            </w:r>
            <w:r>
              <w:rPr>
                <w:rFonts w:hint="eastAsia" w:ascii="仿宋_GB2312" w:hAnsi="宋体" w:eastAsia="仿宋_GB2312" w:cs="宋体"/>
                <w:color w:val="000000"/>
                <w:kern w:val="0"/>
                <w:sz w:val="20"/>
                <w:szCs w:val="20"/>
              </w:rPr>
              <w:t>项目支出</w:t>
            </w:r>
            <w:r>
              <w:rPr>
                <w:rFonts w:ascii="Calibri" w:hAnsi="Calibri" w:eastAsia="仿宋_GB2312" w:cs="宋体"/>
                <w:color w:val="000000"/>
                <w:kern w:val="0"/>
                <w:sz w:val="20"/>
                <w:szCs w:val="20"/>
              </w:rPr>
              <w:t>”</w:t>
            </w:r>
            <w:r>
              <w:rPr>
                <w:rFonts w:hint="eastAsia" w:ascii="仿宋_GB2312" w:hAnsi="宋体" w:eastAsia="仿宋_GB2312" w:cs="宋体"/>
                <w:color w:val="000000"/>
                <w:kern w:val="0"/>
                <w:sz w:val="20"/>
                <w:szCs w:val="20"/>
              </w:rPr>
              <w:t>需要填报基本支出以外的所有项目支出情况，“运行维护经费”填报项目支出中用于人员类和公用运转类的支出。</w:t>
            </w:r>
          </w:p>
        </w:tc>
      </w:tr>
      <w:tr>
        <w:tblPrEx>
          <w:tblCellMar>
            <w:top w:w="0" w:type="dxa"/>
            <w:left w:w="0" w:type="dxa"/>
            <w:bottom w:w="0" w:type="dxa"/>
            <w:right w:w="0" w:type="dxa"/>
          </w:tblCellMar>
        </w:tblPrEx>
        <w:trPr>
          <w:trHeight w:val="960" w:hRule="atLeast"/>
        </w:trPr>
        <w:tc>
          <w:tcPr>
            <w:tcW w:w="9847" w:type="dxa"/>
            <w:gridSpan w:val="7"/>
            <w:tcBorders>
              <w:top w:val="nil"/>
              <w:left w:val="nil"/>
              <w:bottom w:val="nil"/>
              <w:right w:val="nil"/>
            </w:tcBorders>
            <w:shd w:val="clear" w:color="auto" w:fill="auto"/>
            <w:noWrap/>
            <w:tcMar>
              <w:top w:w="15" w:type="dxa"/>
              <w:left w:w="15" w:type="dxa"/>
              <w:bottom w:w="0" w:type="dxa"/>
              <w:right w:w="15" w:type="dxa"/>
            </w:tcMar>
            <w:vAlign w:val="center"/>
          </w:tcPr>
          <w:p>
            <w:pPr>
              <w:widowControl/>
              <w:jc w:val="both"/>
              <w:rPr>
                <w:rFonts w:ascii="宋体" w:hAnsi="宋体" w:cs="宋体"/>
                <w:color w:val="000000"/>
                <w:kern w:val="0"/>
                <w:sz w:val="22"/>
                <w:szCs w:val="22"/>
              </w:rPr>
            </w:pPr>
            <w:r>
              <w:rPr>
                <w:rFonts w:hint="eastAsia" w:ascii="仿宋_GB2312" w:hAnsi="宋体" w:eastAsia="仿宋_GB2312" w:cs="宋体"/>
                <w:color w:val="000000"/>
                <w:kern w:val="0"/>
                <w:sz w:val="22"/>
                <w:szCs w:val="22"/>
              </w:rPr>
              <w:t>填表人：</w:t>
            </w:r>
            <w:r>
              <w:rPr>
                <w:rFonts w:ascii="Calibri" w:hAnsi="Calibri" w:eastAsia="仿宋_GB2312" w:cs="宋体"/>
                <w:color w:val="000000"/>
                <w:kern w:val="0"/>
                <w:sz w:val="22"/>
                <w:szCs w:val="22"/>
              </w:rPr>
              <w:t xml:space="preserve">        </w:t>
            </w:r>
            <w:r>
              <w:rPr>
                <w:rFonts w:hint="eastAsia" w:ascii="Calibri" w:hAnsi="Calibri" w:eastAsia="仿宋_GB2312" w:cs="宋体"/>
                <w:color w:val="000000"/>
                <w:kern w:val="0"/>
                <w:sz w:val="22"/>
                <w:szCs w:val="22"/>
                <w:lang w:val="en-US" w:eastAsia="zh-CN"/>
              </w:rPr>
              <w:t xml:space="preserve">  </w:t>
            </w:r>
            <w:r>
              <w:rPr>
                <w:rFonts w:hint="eastAsia" w:ascii="仿宋_GB2312" w:hAnsi="宋体" w:eastAsia="仿宋_GB2312" w:cs="宋体"/>
                <w:color w:val="000000"/>
                <w:kern w:val="0"/>
                <w:sz w:val="22"/>
                <w:szCs w:val="22"/>
              </w:rPr>
              <w:t>填报日期：</w:t>
            </w:r>
            <w:r>
              <w:rPr>
                <w:rFonts w:ascii="Calibri" w:hAnsi="Calibri" w:eastAsia="仿宋_GB2312" w:cs="宋体"/>
                <w:color w:val="000000"/>
                <w:kern w:val="0"/>
                <w:sz w:val="22"/>
                <w:szCs w:val="22"/>
              </w:rPr>
              <w:t xml:space="preserve">              </w:t>
            </w:r>
            <w:r>
              <w:rPr>
                <w:rFonts w:hint="eastAsia" w:ascii="仿宋_GB2312" w:hAnsi="宋体" w:eastAsia="仿宋_GB2312" w:cs="宋体"/>
                <w:color w:val="000000"/>
                <w:kern w:val="0"/>
                <w:sz w:val="22"/>
                <w:szCs w:val="22"/>
              </w:rPr>
              <w:t>联系电话：</w:t>
            </w:r>
            <w:r>
              <w:rPr>
                <w:rFonts w:ascii="Calibri" w:hAnsi="Calibri" w:eastAsia="仿宋_GB2312" w:cs="宋体"/>
                <w:color w:val="000000"/>
                <w:kern w:val="0"/>
                <w:sz w:val="22"/>
                <w:szCs w:val="22"/>
              </w:rPr>
              <w:t xml:space="preserve">           </w:t>
            </w:r>
            <w:r>
              <w:rPr>
                <w:rFonts w:hint="eastAsia" w:ascii="仿宋_GB2312" w:hAnsi="宋体" w:eastAsia="仿宋_GB2312" w:cs="宋体"/>
                <w:color w:val="000000"/>
                <w:kern w:val="0"/>
                <w:sz w:val="22"/>
                <w:szCs w:val="22"/>
              </w:rPr>
              <w:t>单位负责人签字：</w:t>
            </w:r>
          </w:p>
        </w:tc>
      </w:tr>
    </w:tbl>
    <w:p>
      <w:r>
        <w:br w:type="page"/>
      </w:r>
    </w:p>
    <w:tbl>
      <w:tblPr>
        <w:tblStyle w:val="7"/>
        <w:tblW w:w="9780" w:type="dxa"/>
        <w:tblInd w:w="-669" w:type="dxa"/>
        <w:tblLayout w:type="fixed"/>
        <w:tblCellMar>
          <w:top w:w="0" w:type="dxa"/>
          <w:left w:w="0" w:type="dxa"/>
          <w:bottom w:w="0" w:type="dxa"/>
          <w:right w:w="0" w:type="dxa"/>
        </w:tblCellMar>
      </w:tblPr>
      <w:tblGrid>
        <w:gridCol w:w="1604"/>
        <w:gridCol w:w="834"/>
        <w:gridCol w:w="625"/>
        <w:gridCol w:w="888"/>
        <w:gridCol w:w="36"/>
        <w:gridCol w:w="1690"/>
        <w:gridCol w:w="1516"/>
        <w:gridCol w:w="480"/>
        <w:gridCol w:w="630"/>
        <w:gridCol w:w="1477"/>
      </w:tblGrid>
      <w:tr>
        <w:tblPrEx>
          <w:tblCellMar>
            <w:top w:w="0" w:type="dxa"/>
            <w:left w:w="0" w:type="dxa"/>
            <w:bottom w:w="0" w:type="dxa"/>
            <w:right w:w="0" w:type="dxa"/>
          </w:tblCellMar>
        </w:tblPrEx>
        <w:trPr>
          <w:trHeight w:val="405" w:hRule="atLeast"/>
        </w:trPr>
        <w:tc>
          <w:tcPr>
            <w:tcW w:w="1604"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Times New Roman" w:hAnsi="Times New Roman" w:eastAsia="黑体" w:cs="Times New Roman"/>
                <w:color w:val="000000"/>
                <w:kern w:val="0"/>
                <w:sz w:val="32"/>
                <w:szCs w:val="32"/>
              </w:rPr>
              <w:t>2</w:t>
            </w:r>
          </w:p>
        </w:tc>
        <w:tc>
          <w:tcPr>
            <w:tcW w:w="834"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625"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888"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36"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1690"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1516"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c>
          <w:tcPr>
            <w:tcW w:w="480"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rPr>
                <w:rFonts w:ascii="宋体" w:hAnsi="宋体" w:cs="宋体"/>
                <w:color w:val="000000"/>
                <w:kern w:val="0"/>
                <w:sz w:val="22"/>
                <w:szCs w:val="22"/>
              </w:rPr>
            </w:pPr>
          </w:p>
        </w:tc>
        <w:tc>
          <w:tcPr>
            <w:tcW w:w="630"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rPr>
                <w:rFonts w:ascii="宋体" w:hAnsi="宋体" w:cs="宋体"/>
                <w:color w:val="000000"/>
                <w:kern w:val="0"/>
                <w:sz w:val="22"/>
                <w:szCs w:val="22"/>
              </w:rPr>
            </w:pPr>
          </w:p>
        </w:tc>
        <w:tc>
          <w:tcPr>
            <w:tcW w:w="1477" w:type="dxa"/>
            <w:tcBorders>
              <w:top w:val="nil"/>
              <w:left w:val="nil"/>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color w:val="000000"/>
                <w:kern w:val="0"/>
                <w:sz w:val="22"/>
                <w:szCs w:val="22"/>
              </w:rPr>
            </w:pPr>
          </w:p>
        </w:tc>
      </w:tr>
      <w:tr>
        <w:tblPrEx>
          <w:tblCellMar>
            <w:top w:w="0" w:type="dxa"/>
            <w:left w:w="0" w:type="dxa"/>
            <w:bottom w:w="0" w:type="dxa"/>
            <w:right w:w="0" w:type="dxa"/>
          </w:tblCellMar>
        </w:tblPrEx>
        <w:trPr>
          <w:trHeight w:val="465" w:hRule="atLeast"/>
        </w:trPr>
        <w:tc>
          <w:tcPr>
            <w:tcW w:w="978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widowControl/>
              <w:jc w:val="center"/>
              <w:rPr>
                <w:rFonts w:ascii="Times New Roman" w:hAnsi="Times New Roman" w:cs="Times New Roman"/>
                <w:color w:val="000000"/>
                <w:kern w:val="0"/>
                <w:sz w:val="36"/>
                <w:szCs w:val="36"/>
              </w:rPr>
            </w:pPr>
            <w:r>
              <w:rPr>
                <w:rFonts w:ascii="Times New Roman" w:hAnsi="Times New Roman" w:cs="Times New Roman"/>
                <w:color w:val="000000"/>
                <w:kern w:val="0"/>
                <w:sz w:val="36"/>
                <w:szCs w:val="36"/>
              </w:rPr>
              <w:t>2022</w:t>
            </w:r>
            <w:r>
              <w:rPr>
                <w:rFonts w:hint="eastAsia" w:ascii="方正小标宋_GBK" w:hAnsi="Times New Roman" w:eastAsia="方正小标宋_GBK" w:cs="Times New Roman"/>
                <w:color w:val="000000"/>
                <w:kern w:val="0"/>
                <w:sz w:val="36"/>
                <w:szCs w:val="36"/>
              </w:rPr>
              <w:t>年度部门整体支出绩效自评表</w:t>
            </w:r>
          </w:p>
        </w:tc>
      </w:tr>
      <w:tr>
        <w:tblPrEx>
          <w:tblCellMar>
            <w:top w:w="0" w:type="dxa"/>
            <w:left w:w="0" w:type="dxa"/>
            <w:bottom w:w="0" w:type="dxa"/>
            <w:right w:w="0" w:type="dxa"/>
          </w:tblCellMar>
        </w:tblPrEx>
        <w:trPr>
          <w:trHeight w:val="300" w:hRule="atLeast"/>
        </w:trPr>
        <w:tc>
          <w:tcPr>
            <w:tcW w:w="16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预算部门</w:t>
            </w:r>
          </w:p>
        </w:tc>
        <w:tc>
          <w:tcPr>
            <w:tcW w:w="8176"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益阳市资阳区自然资源局</w:t>
            </w:r>
          </w:p>
        </w:tc>
      </w:tr>
      <w:tr>
        <w:tblPrEx>
          <w:tblCellMar>
            <w:top w:w="0" w:type="dxa"/>
            <w:left w:w="0" w:type="dxa"/>
            <w:bottom w:w="0" w:type="dxa"/>
            <w:right w:w="0" w:type="dxa"/>
          </w:tblCellMar>
        </w:tblPrEx>
        <w:trPr>
          <w:trHeight w:val="300" w:hRule="atLeast"/>
        </w:trPr>
        <w:tc>
          <w:tcPr>
            <w:tcW w:w="16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年度预算申请（万元）</w:t>
            </w:r>
          </w:p>
        </w:tc>
        <w:tc>
          <w:tcPr>
            <w:tcW w:w="1459"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年度资金总额</w:t>
            </w:r>
          </w:p>
        </w:tc>
        <w:tc>
          <w:tcPr>
            <w:tcW w:w="888" w:type="dxa"/>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年初预算数</w:t>
            </w:r>
          </w:p>
        </w:tc>
        <w:tc>
          <w:tcPr>
            <w:tcW w:w="172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全年预算数</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全年执行数</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分值</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执行率</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得分</w:t>
            </w:r>
          </w:p>
        </w:tc>
      </w:tr>
      <w:tr>
        <w:tblPrEx>
          <w:tblCellMar>
            <w:top w:w="0" w:type="dxa"/>
            <w:left w:w="0" w:type="dxa"/>
            <w:bottom w:w="0" w:type="dxa"/>
            <w:right w:w="0" w:type="dxa"/>
          </w:tblCellMar>
        </w:tblPrEx>
        <w:trPr>
          <w:trHeight w:val="30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4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759.38</w:t>
            </w:r>
          </w:p>
        </w:tc>
        <w:tc>
          <w:tcPr>
            <w:tcW w:w="1726"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2812.44</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2812.44</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r>
              <w:rPr>
                <w:rFonts w:hint="eastAsia" w:ascii="仿宋_GB2312" w:hAnsi="Times New Roman" w:eastAsia="仿宋_GB2312" w:cs="Times New Roman"/>
                <w:color w:val="000000"/>
                <w:kern w:val="0"/>
                <w:sz w:val="20"/>
                <w:szCs w:val="20"/>
              </w:rPr>
              <w:t>分</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r>
      <w:tr>
        <w:tblPrEx>
          <w:tblCellMar>
            <w:top w:w="0" w:type="dxa"/>
            <w:left w:w="0" w:type="dxa"/>
            <w:bottom w:w="0" w:type="dxa"/>
            <w:right w:w="0" w:type="dxa"/>
          </w:tblCellMar>
        </w:tblPrEx>
        <w:trPr>
          <w:trHeight w:val="30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按收入性质分：</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按支出性质分：</w:t>
            </w:r>
          </w:p>
        </w:tc>
      </w:tr>
      <w:tr>
        <w:tblPrEx>
          <w:tblCellMar>
            <w:top w:w="0" w:type="dxa"/>
            <w:left w:w="0" w:type="dxa"/>
            <w:bottom w:w="0" w:type="dxa"/>
            <w:right w:w="0" w:type="dxa"/>
          </w:tblCellMar>
        </w:tblPrEx>
        <w:trPr>
          <w:trHeight w:val="30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其中：</w:t>
            </w:r>
            <w:r>
              <w:rPr>
                <w:rFonts w:ascii="Times New Roman" w:hAnsi="Times New Roman" w:cs="Times New Roman"/>
                <w:color w:val="000000"/>
                <w:kern w:val="0"/>
                <w:sz w:val="20"/>
                <w:szCs w:val="20"/>
              </w:rPr>
              <w:t xml:space="preserve">  </w:t>
            </w:r>
            <w:r>
              <w:rPr>
                <w:rFonts w:hint="eastAsia" w:ascii="仿宋_GB2312" w:hAnsi="Times New Roman" w:eastAsia="仿宋_GB2312" w:cs="Times New Roman"/>
                <w:color w:val="000000"/>
                <w:kern w:val="0"/>
                <w:sz w:val="20"/>
                <w:szCs w:val="20"/>
              </w:rPr>
              <w:t>一般公共预算：</w:t>
            </w:r>
            <w:r>
              <w:rPr>
                <w:rFonts w:ascii="Times New Roman" w:hAnsi="Times New Roman" w:cs="Times New Roman"/>
                <w:color w:val="000000"/>
                <w:kern w:val="0"/>
                <w:sz w:val="20"/>
                <w:szCs w:val="20"/>
              </w:rPr>
              <w:t>2452.30</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其中：基本支出：980.84</w:t>
            </w:r>
          </w:p>
        </w:tc>
      </w:tr>
      <w:tr>
        <w:tblPrEx>
          <w:tblCellMar>
            <w:top w:w="0" w:type="dxa"/>
            <w:left w:w="0" w:type="dxa"/>
            <w:bottom w:w="0" w:type="dxa"/>
            <w:right w:w="0" w:type="dxa"/>
          </w:tblCellMar>
        </w:tblPrEx>
        <w:trPr>
          <w:trHeight w:val="30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政府性基金拨款：0</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ind w:firstLine="600" w:firstLineChars="3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项目支出：1831.60</w:t>
            </w:r>
          </w:p>
        </w:tc>
      </w:tr>
      <w:tr>
        <w:tblPrEx>
          <w:tblCellMar>
            <w:top w:w="0" w:type="dxa"/>
            <w:left w:w="0" w:type="dxa"/>
            <w:bottom w:w="0" w:type="dxa"/>
            <w:right w:w="0" w:type="dxa"/>
          </w:tblCellMar>
        </w:tblPrEx>
        <w:trPr>
          <w:trHeight w:val="30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纳入专户管理的非税收入拨款：0</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0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其他资金：360.14</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p>
        </w:tc>
      </w:tr>
      <w:tr>
        <w:tblPrEx>
          <w:tblCellMar>
            <w:top w:w="0" w:type="dxa"/>
            <w:left w:w="0" w:type="dxa"/>
            <w:bottom w:w="0" w:type="dxa"/>
            <w:right w:w="0" w:type="dxa"/>
          </w:tblCellMar>
        </w:tblPrEx>
        <w:trPr>
          <w:trHeight w:val="300" w:hRule="atLeast"/>
        </w:trPr>
        <w:tc>
          <w:tcPr>
            <w:tcW w:w="16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年度总体目标</w:t>
            </w: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预期目标</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实际完成情况　</w:t>
            </w:r>
          </w:p>
        </w:tc>
      </w:tr>
      <w:tr>
        <w:tblPrEx>
          <w:tblCellMar>
            <w:top w:w="0" w:type="dxa"/>
            <w:left w:w="0" w:type="dxa"/>
            <w:bottom w:w="0" w:type="dxa"/>
            <w:right w:w="0" w:type="dxa"/>
          </w:tblCellMar>
        </w:tblPrEx>
        <w:trPr>
          <w:trHeight w:val="102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07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全年预算申请到位和下达数量在95%以上，三公经费变动率≤0；社会效益、经济效益、生态效益、可持续影响和社会公众满意度达到预期目标；</w:t>
            </w:r>
          </w:p>
        </w:tc>
        <w:tc>
          <w:tcPr>
            <w:tcW w:w="4103"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全年预算申请到位和下达数量在95%以上，三公经费变动率≤0；社会效益、经济效益、生态效益、可持续影响和社会公众满意度达到预期目标。</w:t>
            </w:r>
          </w:p>
        </w:tc>
      </w:tr>
      <w:tr>
        <w:tblPrEx>
          <w:tblCellMar>
            <w:top w:w="0" w:type="dxa"/>
            <w:left w:w="0" w:type="dxa"/>
            <w:bottom w:w="0" w:type="dxa"/>
            <w:right w:w="0" w:type="dxa"/>
          </w:tblCellMar>
        </w:tblPrEx>
        <w:trPr>
          <w:trHeight w:val="240" w:hRule="atLeast"/>
        </w:trPr>
        <w:tc>
          <w:tcPr>
            <w:tcW w:w="16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绩效指标</w:t>
            </w: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一级指标</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二级指标</w:t>
            </w:r>
          </w:p>
        </w:tc>
        <w:tc>
          <w:tcPr>
            <w:tcW w:w="924"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三级指标</w:t>
            </w:r>
          </w:p>
        </w:tc>
        <w:tc>
          <w:tcPr>
            <w:tcW w:w="16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年度指标值</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both"/>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实际完成值</w:t>
            </w:r>
          </w:p>
        </w:tc>
        <w:tc>
          <w:tcPr>
            <w:tcW w:w="4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分值</w:t>
            </w:r>
          </w:p>
        </w:tc>
        <w:tc>
          <w:tcPr>
            <w:tcW w:w="6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得分</w:t>
            </w:r>
          </w:p>
        </w:tc>
        <w:tc>
          <w:tcPr>
            <w:tcW w:w="14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偏差原因分析及改进措施</w:t>
            </w:r>
          </w:p>
        </w:tc>
      </w:tr>
      <w:tr>
        <w:tblPrEx>
          <w:tblCellMar>
            <w:top w:w="0" w:type="dxa"/>
            <w:left w:w="0" w:type="dxa"/>
            <w:bottom w:w="0" w:type="dxa"/>
            <w:right w:w="0" w:type="dxa"/>
          </w:tblCellMar>
        </w:tblPrEx>
        <w:trPr>
          <w:trHeight w:val="24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24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5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产出指标(50分)</w:t>
            </w: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数量指标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w:t>
            </w:r>
            <w:r>
              <w:rPr>
                <w:rFonts w:ascii="Times New Roman" w:hAnsi="Times New Roman" w:eastAsia="仿宋_GB2312" w:cs="Times New Roman"/>
                <w:color w:val="000000"/>
                <w:kern w:val="0"/>
                <w:sz w:val="20"/>
                <w:szCs w:val="20"/>
              </w:rPr>
              <w:t>1</w:t>
            </w:r>
            <w:r>
              <w:rPr>
                <w:rFonts w:hint="eastAsia" w:ascii="仿宋_GB2312" w:hAnsi="宋体" w:eastAsia="仿宋_GB2312" w:cs="宋体"/>
                <w:color w:val="000000"/>
                <w:kern w:val="0"/>
                <w:sz w:val="20"/>
                <w:szCs w:val="20"/>
              </w:rPr>
              <w:t>：财政供养人员控制率</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516" w:type="dxa"/>
            <w:tcBorders>
              <w:top w:val="single" w:color="000000" w:sz="4" w:space="0"/>
              <w:left w:val="single" w:color="000000" w:sz="4" w:space="0"/>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72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w:t>
            </w:r>
            <w:r>
              <w:rPr>
                <w:rFonts w:ascii="Times New Roman" w:hAnsi="Times New Roman" w:eastAsia="仿宋_GB2312" w:cs="Times New Roman"/>
                <w:color w:val="000000"/>
                <w:kern w:val="0"/>
                <w:sz w:val="20"/>
                <w:szCs w:val="20"/>
              </w:rPr>
              <w:t>2</w:t>
            </w:r>
            <w:r>
              <w:rPr>
                <w:rFonts w:hint="eastAsia" w:ascii="仿宋_GB2312" w:hAnsi="宋体" w:eastAsia="仿宋_GB2312" w:cs="宋体"/>
                <w:color w:val="000000"/>
                <w:kern w:val="0"/>
                <w:sz w:val="20"/>
                <w:szCs w:val="20"/>
              </w:rPr>
              <w:t>：“三公经费”变动率</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w:t>
            </w:r>
          </w:p>
        </w:tc>
        <w:tc>
          <w:tcPr>
            <w:tcW w:w="1516" w:type="dxa"/>
            <w:tcBorders>
              <w:top w:val="single" w:color="000000" w:sz="4" w:space="0"/>
              <w:left w:val="single" w:color="000000" w:sz="4" w:space="0"/>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完成0.23万元，比上年减少0.62万元</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5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指标3：年度耕地恢复</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1700亩</w:t>
            </w:r>
          </w:p>
        </w:tc>
        <w:tc>
          <w:tcPr>
            <w:tcW w:w="1516" w:type="dxa"/>
            <w:tcBorders>
              <w:top w:val="single" w:color="000000" w:sz="4" w:space="0"/>
              <w:left w:val="single" w:color="000000" w:sz="4" w:space="0"/>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2039.8</w:t>
            </w:r>
            <w:r>
              <w:rPr>
                <w:rFonts w:hint="eastAsia" w:ascii="宋体" w:hAnsi="宋体" w:cs="Segoe UI"/>
                <w:color w:val="333333"/>
                <w:kern w:val="0"/>
                <w:sz w:val="20"/>
                <w:szCs w:val="20"/>
              </w:rPr>
              <w:t>亩</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5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指标4：永久基本农田保护</w:t>
            </w:r>
          </w:p>
        </w:tc>
        <w:tc>
          <w:tcPr>
            <w:tcW w:w="1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both"/>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30.12万亩</w:t>
            </w:r>
          </w:p>
        </w:tc>
        <w:tc>
          <w:tcPr>
            <w:tcW w:w="1516" w:type="dxa"/>
            <w:tcBorders>
              <w:top w:val="single" w:color="000000" w:sz="4" w:space="0"/>
              <w:left w:val="single" w:color="000000" w:sz="4" w:space="0"/>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33.1963</w:t>
            </w:r>
            <w:r>
              <w:rPr>
                <w:rFonts w:hint="eastAsia" w:ascii="宋体" w:hAnsi="宋体" w:cs="Segoe UI"/>
                <w:color w:val="333333"/>
                <w:kern w:val="0"/>
                <w:sz w:val="20"/>
                <w:szCs w:val="20"/>
              </w:rPr>
              <w:t>万亩</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5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质量指标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w:t>
            </w:r>
            <w:r>
              <w:rPr>
                <w:rFonts w:ascii="Times New Roman" w:hAnsi="Times New Roman" w:eastAsia="仿宋_GB2312" w:cs="Times New Roman"/>
                <w:color w:val="000000"/>
                <w:kern w:val="0"/>
                <w:sz w:val="20"/>
                <w:szCs w:val="20"/>
              </w:rPr>
              <w:t>1</w:t>
            </w:r>
            <w:r>
              <w:rPr>
                <w:rFonts w:hint="eastAsia" w:ascii="仿宋_GB2312" w:hAnsi="宋体" w:eastAsia="仿宋_GB2312" w:cs="宋体"/>
                <w:color w:val="000000"/>
                <w:kern w:val="0"/>
                <w:sz w:val="20"/>
                <w:szCs w:val="20"/>
              </w:rPr>
              <w:t>：三公经费控制率</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5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w:t>
            </w:r>
            <w:r>
              <w:rPr>
                <w:rFonts w:ascii="Times New Roman" w:hAnsi="Times New Roman" w:eastAsia="仿宋_GB2312" w:cs="Times New Roman"/>
                <w:color w:val="000000"/>
                <w:kern w:val="0"/>
                <w:sz w:val="20"/>
                <w:szCs w:val="20"/>
              </w:rPr>
              <w:t>2</w:t>
            </w:r>
            <w:r>
              <w:rPr>
                <w:rFonts w:hint="eastAsia" w:ascii="仿宋_GB2312" w:hAnsi="宋体" w:eastAsia="仿宋_GB2312" w:cs="宋体"/>
                <w:color w:val="000000"/>
                <w:kern w:val="0"/>
                <w:sz w:val="20"/>
                <w:szCs w:val="20"/>
              </w:rPr>
              <w:t>：政府采购执行率</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5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w:t>
            </w:r>
            <w:r>
              <w:rPr>
                <w:rFonts w:ascii="Times New Roman" w:hAnsi="Times New Roman" w:eastAsia="仿宋_GB2312" w:cs="Times New Roman"/>
                <w:color w:val="000000"/>
                <w:kern w:val="0"/>
                <w:sz w:val="20"/>
                <w:szCs w:val="20"/>
              </w:rPr>
              <w:t>2</w:t>
            </w:r>
            <w:r>
              <w:rPr>
                <w:rFonts w:hint="eastAsia" w:ascii="仿宋_GB2312" w:hAnsi="宋体" w:eastAsia="仿宋_GB2312" w:cs="宋体"/>
                <w:color w:val="000000"/>
                <w:kern w:val="0"/>
                <w:sz w:val="20"/>
                <w:szCs w:val="20"/>
              </w:rPr>
              <w:t>：固定资产利用率</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4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时效指标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指标</w:t>
            </w:r>
            <w:r>
              <w:rPr>
                <w:rFonts w:ascii="Times New Roman" w:hAnsi="Times New Roman" w:eastAsia="仿宋_GB2312" w:cs="Times New Roman"/>
                <w:color w:val="000000"/>
                <w:kern w:val="0"/>
                <w:sz w:val="20"/>
                <w:szCs w:val="20"/>
              </w:rPr>
              <w:t>1</w:t>
            </w:r>
            <w:r>
              <w:rPr>
                <w:rFonts w:hint="eastAsia" w:ascii="仿宋_GB2312" w:hAnsi="宋体" w:eastAsia="仿宋_GB2312" w:cs="宋体"/>
                <w:color w:val="000000"/>
                <w:kern w:val="0"/>
                <w:sz w:val="20"/>
                <w:szCs w:val="20"/>
              </w:rPr>
              <w:t>：专项资金到位率</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95%以上，结余不超过上年结转</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285"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成本指标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全面推进农村集体土地确权登记工作</w:t>
            </w:r>
          </w:p>
        </w:tc>
        <w:tc>
          <w:tcPr>
            <w:tcW w:w="1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285"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效益指标（40分）</w:t>
            </w: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经济效益指标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积极争取财政资金实行 预算进度管理，提高财务收支透明度</w:t>
            </w:r>
          </w:p>
        </w:tc>
        <w:tc>
          <w:tcPr>
            <w:tcW w:w="1690"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r>
      <w:tr>
        <w:tblPrEx>
          <w:tblCellMar>
            <w:top w:w="0" w:type="dxa"/>
            <w:left w:w="0" w:type="dxa"/>
            <w:bottom w:w="0" w:type="dxa"/>
            <w:right w:w="0" w:type="dxa"/>
          </w:tblCellMar>
        </w:tblPrEx>
        <w:trPr>
          <w:trHeight w:val="285"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社会效益指标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促进区域经济的发展、促进社会进步。</w:t>
            </w:r>
          </w:p>
        </w:tc>
        <w:tc>
          <w:tcPr>
            <w:tcW w:w="1690"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r>
      <w:tr>
        <w:tblPrEx>
          <w:tblCellMar>
            <w:top w:w="0" w:type="dxa"/>
            <w:left w:w="0" w:type="dxa"/>
            <w:bottom w:w="0" w:type="dxa"/>
            <w:right w:w="0" w:type="dxa"/>
          </w:tblCellMar>
        </w:tblPrEx>
        <w:trPr>
          <w:trHeight w:val="12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生态效益指标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人民的居住环境有所改善，保护生态环境相互协调，促进农业和农村经济持续发展</w:t>
            </w:r>
          </w:p>
        </w:tc>
        <w:tc>
          <w:tcPr>
            <w:tcW w:w="1690"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4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可持续影响指标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土地、矿山市场向着良好、有序的方向发展</w:t>
            </w:r>
          </w:p>
        </w:tc>
        <w:tc>
          <w:tcPr>
            <w:tcW w:w="1690"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480" w:hRule="atLeast"/>
        </w:trPr>
        <w:tc>
          <w:tcPr>
            <w:tcW w:w="16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p>
        </w:tc>
        <w:tc>
          <w:tcPr>
            <w:tcW w:w="6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服务对象满意度指标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为区域经济保驾护航，提高国土资源建设和国土民生建设</w:t>
            </w:r>
          </w:p>
        </w:tc>
        <w:tc>
          <w:tcPr>
            <w:tcW w:w="1690" w:type="dxa"/>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1516" w:type="dxa"/>
            <w:tcBorders>
              <w:top w:val="single" w:color="000000" w:sz="4" w:space="0"/>
              <w:left w:val="nil"/>
              <w:bottom w:val="single" w:color="000000" w:sz="4" w:space="0"/>
              <w:right w:val="nil"/>
            </w:tcBorders>
            <w:shd w:val="clear" w:color="auto" w:fill="FFFFFF"/>
            <w:tcMar>
              <w:top w:w="15" w:type="dxa"/>
              <w:left w:w="15" w:type="dxa"/>
              <w:bottom w:w="0" w:type="dxa"/>
              <w:right w:w="15" w:type="dxa"/>
            </w:tcMar>
            <w:vAlign w:val="center"/>
          </w:tcPr>
          <w:p>
            <w:pPr>
              <w:widowControl/>
              <w:jc w:val="center"/>
              <w:rPr>
                <w:rFonts w:ascii="Segoe UI" w:hAnsi="Segoe UI" w:cs="Segoe UI"/>
                <w:color w:val="333333"/>
                <w:kern w:val="0"/>
                <w:sz w:val="20"/>
                <w:szCs w:val="20"/>
              </w:rPr>
            </w:pPr>
            <w:r>
              <w:rPr>
                <w:rFonts w:ascii="Segoe UI" w:hAnsi="Segoe UI" w:cs="Segoe UI"/>
                <w:color w:val="333333"/>
                <w:kern w:val="0"/>
                <w:sz w:val="20"/>
                <w:szCs w:val="20"/>
              </w:rPr>
              <w:t>100%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w:t>
            </w:r>
          </w:p>
        </w:tc>
      </w:tr>
      <w:tr>
        <w:tblPrEx>
          <w:tblCellMar>
            <w:top w:w="0" w:type="dxa"/>
            <w:left w:w="0" w:type="dxa"/>
            <w:bottom w:w="0" w:type="dxa"/>
            <w:right w:w="0" w:type="dxa"/>
          </w:tblCellMar>
        </w:tblPrEx>
        <w:trPr>
          <w:trHeight w:val="300" w:hRule="atLeast"/>
        </w:trPr>
        <w:tc>
          <w:tcPr>
            <w:tcW w:w="7193"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总分</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w:t>
            </w: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left"/>
              <w:rPr>
                <w:rFonts w:ascii="仿宋_GB2312" w:hAnsi="宋体" w:eastAsia="仿宋_GB2312" w:cs="宋体"/>
                <w:color w:val="000000"/>
                <w:kern w:val="0"/>
                <w:sz w:val="20"/>
                <w:szCs w:val="20"/>
              </w:rPr>
            </w:pPr>
          </w:p>
        </w:tc>
      </w:tr>
      <w:tr>
        <w:tblPrEx>
          <w:tblCellMar>
            <w:top w:w="0" w:type="dxa"/>
            <w:left w:w="0" w:type="dxa"/>
            <w:bottom w:w="0" w:type="dxa"/>
            <w:right w:w="0" w:type="dxa"/>
          </w:tblCellMar>
        </w:tblPrEx>
        <w:trPr>
          <w:trHeight w:val="900" w:hRule="atLeast"/>
        </w:trPr>
        <w:tc>
          <w:tcPr>
            <w:tcW w:w="978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widowControl/>
              <w:ind w:firstLine="210" w:firstLineChars="100"/>
              <w:jc w:val="both"/>
              <w:rPr>
                <w:rFonts w:ascii="宋体" w:hAnsi="宋体" w:cs="宋体"/>
                <w:color w:val="000000"/>
                <w:kern w:val="0"/>
                <w:sz w:val="22"/>
                <w:szCs w:val="22"/>
              </w:rPr>
            </w:pPr>
            <w:r>
              <w:rPr>
                <w:rFonts w:hint="eastAsia" w:ascii="仿宋_GB2312" w:hAnsi="宋体" w:eastAsia="仿宋_GB2312" w:cs="宋体"/>
                <w:color w:val="000000"/>
                <w:kern w:val="0"/>
                <w:sz w:val="21"/>
                <w:szCs w:val="21"/>
              </w:rPr>
              <w:t>填表人：</w:t>
            </w:r>
            <w:r>
              <w:rPr>
                <w:rFonts w:ascii="Times New Roman" w:hAnsi="Times New Roman" w:eastAsia="仿宋_GB2312" w:cs="Times New Roman"/>
                <w:color w:val="000000"/>
                <w:kern w:val="0"/>
                <w:sz w:val="21"/>
                <w:szCs w:val="21"/>
              </w:rPr>
              <w:t xml:space="preserve">          </w:t>
            </w:r>
            <w:r>
              <w:rPr>
                <w:rFonts w:hint="eastAsia" w:ascii="仿宋_GB2312" w:hAnsi="宋体" w:eastAsia="仿宋_GB2312" w:cs="宋体"/>
                <w:color w:val="000000"/>
                <w:kern w:val="0"/>
                <w:sz w:val="21"/>
                <w:szCs w:val="21"/>
              </w:rPr>
              <w:t>填报日期：</w:t>
            </w:r>
            <w:r>
              <w:rPr>
                <w:rFonts w:ascii="Times New Roman" w:hAnsi="Times New Roman" w:eastAsia="仿宋_GB2312" w:cs="Times New Roman"/>
                <w:color w:val="000000"/>
                <w:kern w:val="0"/>
                <w:sz w:val="21"/>
                <w:szCs w:val="21"/>
              </w:rPr>
              <w:t xml:space="preserve">             </w:t>
            </w:r>
            <w:r>
              <w:rPr>
                <w:rFonts w:hint="eastAsia" w:ascii="仿宋_GB2312" w:hAnsi="宋体" w:eastAsia="仿宋_GB2312" w:cs="宋体"/>
                <w:color w:val="000000"/>
                <w:kern w:val="0"/>
                <w:sz w:val="21"/>
                <w:szCs w:val="21"/>
              </w:rPr>
              <w:t>联系电话：</w:t>
            </w:r>
            <w:r>
              <w:rPr>
                <w:rFonts w:ascii="Times New Roman" w:hAnsi="Times New Roman" w:eastAsia="仿宋_GB2312" w:cs="Times New Roman"/>
                <w:color w:val="000000"/>
                <w:kern w:val="0"/>
                <w:sz w:val="21"/>
                <w:szCs w:val="21"/>
              </w:rPr>
              <w:t xml:space="preserve">             </w:t>
            </w:r>
            <w:r>
              <w:rPr>
                <w:rFonts w:hint="eastAsia" w:ascii="仿宋_GB2312" w:hAnsi="宋体" w:eastAsia="仿宋_GB2312" w:cs="宋体"/>
                <w:color w:val="000000"/>
                <w:kern w:val="0"/>
                <w:sz w:val="21"/>
                <w:szCs w:val="21"/>
              </w:rPr>
              <w:t>单位负责人签字：</w:t>
            </w:r>
          </w:p>
        </w:tc>
      </w:tr>
    </w:tbl>
    <w:p>
      <w:pPr>
        <w:pStyle w:val="2"/>
        <w:ind w:left="0" w:leftChars="0" w:firstLine="0" w:firstLineChars="0"/>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27065"/>
    <w:multiLevelType w:val="singleLevel"/>
    <w:tmpl w:val="96A27065"/>
    <w:lvl w:ilvl="0" w:tentative="0">
      <w:start w:val="4"/>
      <w:numFmt w:val="chineseCounting"/>
      <w:suff w:val="nothing"/>
      <w:lvlText w:val="%1、"/>
      <w:lvlJc w:val="left"/>
      <w:rPr>
        <w:rFonts w:hint="eastAsia"/>
      </w:rPr>
    </w:lvl>
  </w:abstractNum>
  <w:abstractNum w:abstractNumId="1">
    <w:nsid w:val="A0EC9995"/>
    <w:multiLevelType w:val="singleLevel"/>
    <w:tmpl w:val="A0EC9995"/>
    <w:lvl w:ilvl="0" w:tentative="0">
      <w:start w:val="1"/>
      <w:numFmt w:val="chineseCounting"/>
      <w:suff w:val="nothing"/>
      <w:lvlText w:val="（%1）"/>
      <w:lvlJc w:val="left"/>
      <w:pPr>
        <w:ind w:left="630" w:leftChars="0" w:firstLine="0" w:firstLineChars="0"/>
      </w:pPr>
      <w:rPr>
        <w:rFonts w:hint="eastAsia"/>
      </w:rPr>
    </w:lvl>
  </w:abstractNum>
  <w:abstractNum w:abstractNumId="2">
    <w:nsid w:val="3A8FD4F7"/>
    <w:multiLevelType w:val="singleLevel"/>
    <w:tmpl w:val="3A8FD4F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GRhNTgwY2VkN2ZjZGM1NTljODQwMGEyNmVkOTgifQ=="/>
  </w:docVars>
  <w:rsids>
    <w:rsidRoot w:val="00BC2454"/>
    <w:rsid w:val="000134A5"/>
    <w:rsid w:val="000233E7"/>
    <w:rsid w:val="00027B23"/>
    <w:rsid w:val="00062693"/>
    <w:rsid w:val="00072CAE"/>
    <w:rsid w:val="000954F2"/>
    <w:rsid w:val="000A1B1E"/>
    <w:rsid w:val="000A4FB3"/>
    <w:rsid w:val="000A6A48"/>
    <w:rsid w:val="000D0004"/>
    <w:rsid w:val="000D0140"/>
    <w:rsid w:val="000D35EB"/>
    <w:rsid w:val="000D5D9A"/>
    <w:rsid w:val="000E2286"/>
    <w:rsid w:val="000E4453"/>
    <w:rsid w:val="000F3198"/>
    <w:rsid w:val="00101AAC"/>
    <w:rsid w:val="00110561"/>
    <w:rsid w:val="00121F55"/>
    <w:rsid w:val="001413C9"/>
    <w:rsid w:val="00144889"/>
    <w:rsid w:val="00147E06"/>
    <w:rsid w:val="00154526"/>
    <w:rsid w:val="00163804"/>
    <w:rsid w:val="00175807"/>
    <w:rsid w:val="001758A7"/>
    <w:rsid w:val="0019235B"/>
    <w:rsid w:val="00194427"/>
    <w:rsid w:val="001A18E2"/>
    <w:rsid w:val="001A721B"/>
    <w:rsid w:val="001B6BDD"/>
    <w:rsid w:val="001D2631"/>
    <w:rsid w:val="001D3C87"/>
    <w:rsid w:val="001E3B40"/>
    <w:rsid w:val="001F4E0D"/>
    <w:rsid w:val="00201924"/>
    <w:rsid w:val="00207A80"/>
    <w:rsid w:val="002151D0"/>
    <w:rsid w:val="00236ED5"/>
    <w:rsid w:val="00256FEC"/>
    <w:rsid w:val="002700B7"/>
    <w:rsid w:val="00271133"/>
    <w:rsid w:val="0027246C"/>
    <w:rsid w:val="00286DA8"/>
    <w:rsid w:val="00290056"/>
    <w:rsid w:val="002905FA"/>
    <w:rsid w:val="00296EFB"/>
    <w:rsid w:val="002B47E5"/>
    <w:rsid w:val="002C1C29"/>
    <w:rsid w:val="002E2DF4"/>
    <w:rsid w:val="002F31D5"/>
    <w:rsid w:val="00304C6D"/>
    <w:rsid w:val="00304D0F"/>
    <w:rsid w:val="00307858"/>
    <w:rsid w:val="00316AE5"/>
    <w:rsid w:val="00322A51"/>
    <w:rsid w:val="00324951"/>
    <w:rsid w:val="00333DBF"/>
    <w:rsid w:val="003423BB"/>
    <w:rsid w:val="003444DA"/>
    <w:rsid w:val="003524FF"/>
    <w:rsid w:val="0035770F"/>
    <w:rsid w:val="00363FF2"/>
    <w:rsid w:val="00365838"/>
    <w:rsid w:val="00372432"/>
    <w:rsid w:val="00376B1B"/>
    <w:rsid w:val="00383111"/>
    <w:rsid w:val="003857FA"/>
    <w:rsid w:val="003916A3"/>
    <w:rsid w:val="003A31C9"/>
    <w:rsid w:val="003A42FE"/>
    <w:rsid w:val="003E3DCB"/>
    <w:rsid w:val="003E534A"/>
    <w:rsid w:val="003F653F"/>
    <w:rsid w:val="004108FD"/>
    <w:rsid w:val="00435745"/>
    <w:rsid w:val="004440F0"/>
    <w:rsid w:val="00452E9A"/>
    <w:rsid w:val="00464006"/>
    <w:rsid w:val="00473194"/>
    <w:rsid w:val="00485A8E"/>
    <w:rsid w:val="00491A17"/>
    <w:rsid w:val="00496454"/>
    <w:rsid w:val="004B2663"/>
    <w:rsid w:val="004C5E39"/>
    <w:rsid w:val="004D5466"/>
    <w:rsid w:val="004D6774"/>
    <w:rsid w:val="004D7D60"/>
    <w:rsid w:val="004F5CA4"/>
    <w:rsid w:val="005051A6"/>
    <w:rsid w:val="005104CC"/>
    <w:rsid w:val="005215FE"/>
    <w:rsid w:val="00524830"/>
    <w:rsid w:val="0052530A"/>
    <w:rsid w:val="00531162"/>
    <w:rsid w:val="00531DD5"/>
    <w:rsid w:val="00542242"/>
    <w:rsid w:val="005462E4"/>
    <w:rsid w:val="00546626"/>
    <w:rsid w:val="00546C88"/>
    <w:rsid w:val="005632B1"/>
    <w:rsid w:val="005654BC"/>
    <w:rsid w:val="00567BFC"/>
    <w:rsid w:val="005736B2"/>
    <w:rsid w:val="00575385"/>
    <w:rsid w:val="00582581"/>
    <w:rsid w:val="005928E1"/>
    <w:rsid w:val="00592C76"/>
    <w:rsid w:val="0059518B"/>
    <w:rsid w:val="005977DB"/>
    <w:rsid w:val="00597989"/>
    <w:rsid w:val="005D4C83"/>
    <w:rsid w:val="005D53AF"/>
    <w:rsid w:val="005E0246"/>
    <w:rsid w:val="005F34D9"/>
    <w:rsid w:val="005F746B"/>
    <w:rsid w:val="00620C3E"/>
    <w:rsid w:val="00635F8C"/>
    <w:rsid w:val="00642D9B"/>
    <w:rsid w:val="00656925"/>
    <w:rsid w:val="00664785"/>
    <w:rsid w:val="006829E3"/>
    <w:rsid w:val="00690F30"/>
    <w:rsid w:val="006A0518"/>
    <w:rsid w:val="006C044E"/>
    <w:rsid w:val="006C26FE"/>
    <w:rsid w:val="006C42C5"/>
    <w:rsid w:val="006D3CE3"/>
    <w:rsid w:val="006D6C07"/>
    <w:rsid w:val="006F29DE"/>
    <w:rsid w:val="006F392E"/>
    <w:rsid w:val="006F3E14"/>
    <w:rsid w:val="00722414"/>
    <w:rsid w:val="00733A55"/>
    <w:rsid w:val="007417DD"/>
    <w:rsid w:val="00744D13"/>
    <w:rsid w:val="00751C8A"/>
    <w:rsid w:val="007567CE"/>
    <w:rsid w:val="00785FDB"/>
    <w:rsid w:val="007B64E2"/>
    <w:rsid w:val="007B792C"/>
    <w:rsid w:val="007C0383"/>
    <w:rsid w:val="007D15B0"/>
    <w:rsid w:val="007D675E"/>
    <w:rsid w:val="007D73A4"/>
    <w:rsid w:val="00801D5A"/>
    <w:rsid w:val="00805420"/>
    <w:rsid w:val="00832049"/>
    <w:rsid w:val="00832400"/>
    <w:rsid w:val="00835517"/>
    <w:rsid w:val="008425D2"/>
    <w:rsid w:val="0084726C"/>
    <w:rsid w:val="00863198"/>
    <w:rsid w:val="0086706E"/>
    <w:rsid w:val="00881B25"/>
    <w:rsid w:val="00891390"/>
    <w:rsid w:val="008917DA"/>
    <w:rsid w:val="0089540C"/>
    <w:rsid w:val="008A1CC2"/>
    <w:rsid w:val="008A7184"/>
    <w:rsid w:val="008B5E7A"/>
    <w:rsid w:val="008C6F02"/>
    <w:rsid w:val="008D6EC9"/>
    <w:rsid w:val="008F70F3"/>
    <w:rsid w:val="00902154"/>
    <w:rsid w:val="00903EA7"/>
    <w:rsid w:val="00912710"/>
    <w:rsid w:val="009159E5"/>
    <w:rsid w:val="00915F95"/>
    <w:rsid w:val="009172AD"/>
    <w:rsid w:val="00920C9E"/>
    <w:rsid w:val="00923B27"/>
    <w:rsid w:val="00926348"/>
    <w:rsid w:val="00933847"/>
    <w:rsid w:val="0095158F"/>
    <w:rsid w:val="0095388A"/>
    <w:rsid w:val="009563A0"/>
    <w:rsid w:val="0096208A"/>
    <w:rsid w:val="00972EA0"/>
    <w:rsid w:val="00976E5C"/>
    <w:rsid w:val="00977604"/>
    <w:rsid w:val="0098179F"/>
    <w:rsid w:val="0099618B"/>
    <w:rsid w:val="009A1061"/>
    <w:rsid w:val="009C2250"/>
    <w:rsid w:val="009C3610"/>
    <w:rsid w:val="009C3E74"/>
    <w:rsid w:val="009E29E8"/>
    <w:rsid w:val="009F04FA"/>
    <w:rsid w:val="009F32F4"/>
    <w:rsid w:val="009F505C"/>
    <w:rsid w:val="009F6459"/>
    <w:rsid w:val="00A13DF3"/>
    <w:rsid w:val="00A34272"/>
    <w:rsid w:val="00A46BC4"/>
    <w:rsid w:val="00A52D3F"/>
    <w:rsid w:val="00A55E85"/>
    <w:rsid w:val="00A721A2"/>
    <w:rsid w:val="00A742DE"/>
    <w:rsid w:val="00A8345B"/>
    <w:rsid w:val="00A93BD6"/>
    <w:rsid w:val="00AB32C7"/>
    <w:rsid w:val="00AC7F2B"/>
    <w:rsid w:val="00AF6D8E"/>
    <w:rsid w:val="00B02C7B"/>
    <w:rsid w:val="00B1697E"/>
    <w:rsid w:val="00B2338E"/>
    <w:rsid w:val="00B24444"/>
    <w:rsid w:val="00B41533"/>
    <w:rsid w:val="00B466F8"/>
    <w:rsid w:val="00B5626D"/>
    <w:rsid w:val="00B611E3"/>
    <w:rsid w:val="00B61DEB"/>
    <w:rsid w:val="00B63F9B"/>
    <w:rsid w:val="00B65489"/>
    <w:rsid w:val="00B66686"/>
    <w:rsid w:val="00B70D77"/>
    <w:rsid w:val="00B756BD"/>
    <w:rsid w:val="00BA1C1F"/>
    <w:rsid w:val="00BC2454"/>
    <w:rsid w:val="00BC2A62"/>
    <w:rsid w:val="00BC6343"/>
    <w:rsid w:val="00BC6754"/>
    <w:rsid w:val="00BD376E"/>
    <w:rsid w:val="00BD3938"/>
    <w:rsid w:val="00BD4E35"/>
    <w:rsid w:val="00BE1948"/>
    <w:rsid w:val="00BE395E"/>
    <w:rsid w:val="00BF0C20"/>
    <w:rsid w:val="00C0470D"/>
    <w:rsid w:val="00C057A5"/>
    <w:rsid w:val="00C137E0"/>
    <w:rsid w:val="00C145A5"/>
    <w:rsid w:val="00C22583"/>
    <w:rsid w:val="00C23FA6"/>
    <w:rsid w:val="00C252CD"/>
    <w:rsid w:val="00C332E7"/>
    <w:rsid w:val="00C57763"/>
    <w:rsid w:val="00C80394"/>
    <w:rsid w:val="00CB50EF"/>
    <w:rsid w:val="00CC7F67"/>
    <w:rsid w:val="00CD575E"/>
    <w:rsid w:val="00CF32D3"/>
    <w:rsid w:val="00D04DD6"/>
    <w:rsid w:val="00D24A93"/>
    <w:rsid w:val="00D26186"/>
    <w:rsid w:val="00D41B08"/>
    <w:rsid w:val="00D43A65"/>
    <w:rsid w:val="00D45450"/>
    <w:rsid w:val="00D50F48"/>
    <w:rsid w:val="00D71F74"/>
    <w:rsid w:val="00D74734"/>
    <w:rsid w:val="00D747CA"/>
    <w:rsid w:val="00D83FFB"/>
    <w:rsid w:val="00D854EC"/>
    <w:rsid w:val="00D92485"/>
    <w:rsid w:val="00D954BA"/>
    <w:rsid w:val="00DA19BA"/>
    <w:rsid w:val="00DA603F"/>
    <w:rsid w:val="00DB0E3D"/>
    <w:rsid w:val="00DC1DC4"/>
    <w:rsid w:val="00DC36CD"/>
    <w:rsid w:val="00DC3DC4"/>
    <w:rsid w:val="00DC656B"/>
    <w:rsid w:val="00DD0F33"/>
    <w:rsid w:val="00DD1866"/>
    <w:rsid w:val="00DE6379"/>
    <w:rsid w:val="00DE745B"/>
    <w:rsid w:val="00DF1485"/>
    <w:rsid w:val="00E01BD3"/>
    <w:rsid w:val="00E07CDB"/>
    <w:rsid w:val="00E1120B"/>
    <w:rsid w:val="00E14B50"/>
    <w:rsid w:val="00E27DAD"/>
    <w:rsid w:val="00E34AA8"/>
    <w:rsid w:val="00E3791B"/>
    <w:rsid w:val="00E424DD"/>
    <w:rsid w:val="00E50D2E"/>
    <w:rsid w:val="00E510A6"/>
    <w:rsid w:val="00E562D4"/>
    <w:rsid w:val="00E718D2"/>
    <w:rsid w:val="00E74AA2"/>
    <w:rsid w:val="00E90628"/>
    <w:rsid w:val="00E97818"/>
    <w:rsid w:val="00EA7407"/>
    <w:rsid w:val="00EB0775"/>
    <w:rsid w:val="00EB181E"/>
    <w:rsid w:val="00EB6422"/>
    <w:rsid w:val="00EC4AFC"/>
    <w:rsid w:val="00ED107F"/>
    <w:rsid w:val="00ED666A"/>
    <w:rsid w:val="00EE4C33"/>
    <w:rsid w:val="00F1211D"/>
    <w:rsid w:val="00F13E58"/>
    <w:rsid w:val="00F32297"/>
    <w:rsid w:val="00F37148"/>
    <w:rsid w:val="00F45E6B"/>
    <w:rsid w:val="00F80651"/>
    <w:rsid w:val="00F9003E"/>
    <w:rsid w:val="00F902BC"/>
    <w:rsid w:val="00F913AD"/>
    <w:rsid w:val="00FA3DDB"/>
    <w:rsid w:val="00FB5BF2"/>
    <w:rsid w:val="00FB74E9"/>
    <w:rsid w:val="00FC23B3"/>
    <w:rsid w:val="00FC4209"/>
    <w:rsid w:val="00FC7161"/>
    <w:rsid w:val="00FD0463"/>
    <w:rsid w:val="00FD3B70"/>
    <w:rsid w:val="00FD7D79"/>
    <w:rsid w:val="0790000C"/>
    <w:rsid w:val="0C9C0BEB"/>
    <w:rsid w:val="0CE70368"/>
    <w:rsid w:val="0F7D4C5B"/>
    <w:rsid w:val="13D50BA1"/>
    <w:rsid w:val="15213234"/>
    <w:rsid w:val="179B5CE4"/>
    <w:rsid w:val="196071E6"/>
    <w:rsid w:val="196A6F71"/>
    <w:rsid w:val="1DB533D4"/>
    <w:rsid w:val="1F3657BE"/>
    <w:rsid w:val="1F3B57CE"/>
    <w:rsid w:val="207F411A"/>
    <w:rsid w:val="22A55D97"/>
    <w:rsid w:val="25081C61"/>
    <w:rsid w:val="29453E0B"/>
    <w:rsid w:val="29483952"/>
    <w:rsid w:val="29EA1216"/>
    <w:rsid w:val="2D782E07"/>
    <w:rsid w:val="2F2D7712"/>
    <w:rsid w:val="2F8F1C8A"/>
    <w:rsid w:val="32ED1A08"/>
    <w:rsid w:val="337E0CCA"/>
    <w:rsid w:val="34A63A12"/>
    <w:rsid w:val="34AA333F"/>
    <w:rsid w:val="34EE31D8"/>
    <w:rsid w:val="35E434D3"/>
    <w:rsid w:val="36515E63"/>
    <w:rsid w:val="37051E9D"/>
    <w:rsid w:val="37B15652"/>
    <w:rsid w:val="37EF4FD5"/>
    <w:rsid w:val="390446C7"/>
    <w:rsid w:val="39455658"/>
    <w:rsid w:val="3AA10115"/>
    <w:rsid w:val="3AAB4326"/>
    <w:rsid w:val="3B5543C1"/>
    <w:rsid w:val="3B6623D9"/>
    <w:rsid w:val="3C0C1349"/>
    <w:rsid w:val="3C172A73"/>
    <w:rsid w:val="3D45528A"/>
    <w:rsid w:val="40DB3FD6"/>
    <w:rsid w:val="43772E14"/>
    <w:rsid w:val="43E07A25"/>
    <w:rsid w:val="44B77481"/>
    <w:rsid w:val="45AC419A"/>
    <w:rsid w:val="46577958"/>
    <w:rsid w:val="48F347FC"/>
    <w:rsid w:val="49003BA5"/>
    <w:rsid w:val="4A266DE0"/>
    <w:rsid w:val="543B0855"/>
    <w:rsid w:val="557D4383"/>
    <w:rsid w:val="55E07612"/>
    <w:rsid w:val="59B44408"/>
    <w:rsid w:val="600E1FDF"/>
    <w:rsid w:val="61AF5C0F"/>
    <w:rsid w:val="6273286E"/>
    <w:rsid w:val="669E7FD2"/>
    <w:rsid w:val="67B850C4"/>
    <w:rsid w:val="6BF870E6"/>
    <w:rsid w:val="6DC41FF3"/>
    <w:rsid w:val="6E015381"/>
    <w:rsid w:val="6FA62125"/>
    <w:rsid w:val="70B60C8E"/>
    <w:rsid w:val="71E71E9A"/>
    <w:rsid w:val="74C74B98"/>
    <w:rsid w:val="74EA6F0C"/>
    <w:rsid w:val="78253BF5"/>
    <w:rsid w:val="785B04AF"/>
    <w:rsid w:val="79D2038B"/>
    <w:rsid w:val="7BA1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qFormat/>
    <w:uiPriority w:val="0"/>
    <w:pPr>
      <w:ind w:firstLine="315"/>
    </w:pPr>
    <w:rPr>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ascii="Calibri" w:hAnsi="Calibri"/>
      <w:kern w:val="0"/>
      <w:sz w:val="24"/>
      <w:szCs w:val="22"/>
    </w:rPr>
  </w:style>
  <w:style w:type="character" w:styleId="9">
    <w:name w:val="page number"/>
    <w:basedOn w:val="8"/>
    <w:qFormat/>
    <w:uiPriority w:val="0"/>
  </w:style>
  <w:style w:type="character" w:styleId="10">
    <w:name w:val="Hyperlink"/>
    <w:basedOn w:val="8"/>
    <w:uiPriority w:val="0"/>
    <w:rPr>
      <w:color w:val="0000FF"/>
      <w:u w:val="single"/>
    </w:rPr>
  </w:style>
  <w:style w:type="character" w:customStyle="1" w:styleId="11">
    <w:name w:val="页眉 Char"/>
    <w:link w:val="5"/>
    <w:qFormat/>
    <w:uiPriority w:val="0"/>
    <w:rPr>
      <w:kern w:val="2"/>
      <w:sz w:val="18"/>
      <w:szCs w:val="18"/>
    </w:rPr>
  </w:style>
  <w:style w:type="paragraph" w:styleId="12">
    <w:name w:val="List Paragraph"/>
    <w:basedOn w:val="1"/>
    <w:qFormat/>
    <w:uiPriority w:val="99"/>
    <w:pPr>
      <w:ind w:firstLine="420" w:firstLineChars="200"/>
    </w:pPr>
    <w:rPr>
      <w:rFonts w:ascii="Calibri" w:hAnsi="Calibri"/>
      <w:szCs w:val="22"/>
    </w:rPr>
  </w:style>
  <w:style w:type="paragraph" w:customStyle="1" w:styleId="13">
    <w:name w:val="列表段落1"/>
    <w:basedOn w:val="1"/>
    <w:qFormat/>
    <w:uiPriority w:val="34"/>
    <w:pPr>
      <w:ind w:firstLine="420" w:firstLineChars="200"/>
    </w:pPr>
    <w:rPr>
      <w:szCs w:val="22"/>
    </w:rPr>
  </w:style>
  <w:style w:type="paragraph" w:customStyle="1" w:styleId="14">
    <w:name w:val="0"/>
    <w:basedOn w:val="1"/>
    <w:qFormat/>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6262</Words>
  <Characters>6816</Characters>
  <Lines>5</Lines>
  <Paragraphs>13</Paragraphs>
  <TotalTime>0</TotalTime>
  <ScaleCrop>false</ScaleCrop>
  <LinksUpToDate>false</LinksUpToDate>
  <CharactersWithSpaces>6830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2016-08-31T07:17:00Z</dcterms:created>
  <dc:creator>Administrator</dc:creator>
  <cp:lastModifiedBy>曹艳</cp:lastModifiedBy>
  <cp:lastPrinted>2020-01-03T06:09:00Z</cp:lastPrinted>
  <dcterms:modified xsi:type="dcterms:W3CDTF">2023-09-13T09:35:03Z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74FB7A5BD17A436C9608889EC6ED4BBB_13</vt:lpwstr>
  </property>
</Properties>
</file>