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bookmarkStart w:id="0" w:name="_GoBack"/>
      <w:bookmarkEnd w:id="0"/>
    </w:p>
    <w:p>
      <w:pPr>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2022年度地灾防治工作</w:t>
      </w:r>
      <w:r>
        <w:rPr>
          <w:rFonts w:hint="eastAsia" w:ascii="Times New Roman" w:hAnsi="Times New Roman" w:eastAsia="方正小标宋_GBK" w:cs="Times New Roman"/>
          <w:sz w:val="36"/>
          <w:szCs w:val="36"/>
          <w:lang w:eastAsia="zh-CN"/>
        </w:rPr>
        <w:t>项目资金</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adjustRightInd w:val="0"/>
        <w:spacing w:line="600" w:lineRule="exact"/>
        <w:ind w:right="641"/>
        <w:rPr>
          <w:rFonts w:ascii="Times New Roman" w:hAnsi="Times New Roman" w:eastAsia="仿宋_GB2312" w:cs="Times New Roman"/>
          <w:sz w:val="32"/>
          <w:szCs w:val="32"/>
        </w:rPr>
      </w:pPr>
    </w:p>
    <w:p>
      <w:pPr>
        <w:adjustRightInd w:val="0"/>
        <w:snapToGrid w:val="0"/>
        <w:spacing w:line="60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632" w:firstLineChars="200"/>
        <w:jc w:val="both"/>
        <w:textAlignment w:val="center"/>
        <w:rPr>
          <w:rFonts w:ascii="Times New Roman" w:hAnsi="Times New Roman" w:eastAsia="仿宋_GB2312" w:cs="Times New Roman"/>
          <w:sz w:val="32"/>
          <w:szCs w:val="32"/>
        </w:rPr>
      </w:pPr>
      <w:r>
        <w:rPr>
          <w:rFonts w:hint="eastAsia" w:ascii="仿宋_GB2312" w:hAnsi="仿宋" w:eastAsia="仿宋_GB2312" w:cs="Times New Roman"/>
          <w:kern w:val="2"/>
          <w:sz w:val="32"/>
          <w:szCs w:val="32"/>
          <w:lang w:val="en-US" w:eastAsia="zh-CN" w:bidi="ar-SA"/>
        </w:rPr>
        <w:t>我局地灾防治工作主要是督促、指导全区地质灾害隐患点的日常巡排查、监测工作，组织、协调全区地质灾害隐患点应急处置工作，经费开支主要用于群测群防员工作经费和区国土资源局地质灾害隐患点巡查经费开支。 </w:t>
      </w:r>
    </w:p>
    <w:p>
      <w:pPr>
        <w:numPr>
          <w:ilvl w:val="0"/>
          <w:numId w:val="1"/>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绩效自评工作开展情况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（一）绩效评价目的、对象和范围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本次绩效评价是针对</w:t>
      </w:r>
      <w:r>
        <w:rPr>
          <w:rFonts w:hint="eastAsia" w:ascii="Times New Roman" w:hAnsi="Times New Roman" w:cs="Times New Roman"/>
          <w:kern w:val="2"/>
          <w:sz w:val="32"/>
          <w:szCs w:val="32"/>
          <w:lang w:val="en-US" w:eastAsia="zh-CN" w:bidi="ar-SA"/>
        </w:rPr>
        <w:t>地质灾害防治工作</w:t>
      </w:r>
      <w:r>
        <w:rPr>
          <w:rFonts w:hint="eastAsia" w:ascii="Times New Roman" w:hAnsi="Times New Roman" w:eastAsia="仿宋_GB2312" w:cs="Times New Roman"/>
          <w:kern w:val="2"/>
          <w:sz w:val="32"/>
          <w:szCs w:val="32"/>
          <w:lang w:val="en-US" w:eastAsia="zh-CN" w:bidi="ar-SA"/>
        </w:rPr>
        <w:t>项目资金工作进行，通过此次评价工作，客观反映出项目资金利用情况以和项目执行情况等。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（二）绩效评价原则、评价指标体系、评价方法、评价标准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照项目初期制定的绩效目标申报表中的相关内容，按一定的评价程序，运用科学的评价方法、按照产出、效益、满意度等一级指标及层层分解的二、三级指标和年度指标值等评价的内容和标准对评价对象的项目资金执行率、产出情况、效益情况和满意度情况等进行客观公正地考核和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（三）绩效评价工作过程。</w:t>
      </w:r>
    </w:p>
    <w:p>
      <w:pPr>
        <w:numPr>
          <w:ilvl w:val="0"/>
          <w:numId w:val="0"/>
        </w:numPr>
        <w:adjustRightInd w:val="0"/>
        <w:snapToGrid w:val="0"/>
        <w:spacing w:line="600" w:lineRule="exact"/>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依据项目初期设定的考核指标对照项目实际完成情况进行衡量打分，从而获得本项目的实际分数。</w:t>
      </w:r>
    </w:p>
    <w:p>
      <w:pPr>
        <w:numPr>
          <w:ilvl w:val="0"/>
          <w:numId w:val="0"/>
        </w:numPr>
        <w:adjustRightInd w:val="0"/>
        <w:snapToGrid w:val="0"/>
        <w:spacing w:line="600" w:lineRule="exact"/>
        <w:rPr>
          <w:rFonts w:hint="eastAsia" w:ascii="Times New Roman" w:hAnsi="Times New Roman" w:eastAsia="黑体" w:cs="Times New Roman"/>
          <w:sz w:val="32"/>
          <w:szCs w:val="32"/>
          <w:lang w:eastAsia="zh-CN"/>
        </w:rPr>
      </w:pPr>
    </w:p>
    <w:p>
      <w:p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综合评价结论</w:t>
      </w:r>
    </w:p>
    <w:p>
      <w:pPr>
        <w:adjustRightInd w:val="0"/>
        <w:snapToGrid w:val="0"/>
        <w:spacing w:line="600" w:lineRule="exact"/>
        <w:ind w:firstLine="632" w:firstLineChars="200"/>
        <w:rPr>
          <w:rFonts w:hint="eastAsia" w:ascii="Times New Roman" w:hAnsi="Times New Roman" w:eastAsia="仿宋_GB2312" w:cs="Times New Roman"/>
          <w:sz w:val="32"/>
          <w:szCs w:val="32"/>
          <w:lang w:eastAsia="zh-CN"/>
        </w:rPr>
      </w:pPr>
      <w:r>
        <w:rPr>
          <w:rFonts w:hint="eastAsia" w:ascii="仿宋_GB2312" w:hAnsi="仿宋" w:eastAsia="仿宋_GB2312" w:cs="Times New Roman"/>
          <w:kern w:val="2"/>
          <w:sz w:val="32"/>
          <w:szCs w:val="32"/>
          <w:lang w:val="en-US" w:eastAsia="zh-CN" w:bidi="ar-SA"/>
        </w:rPr>
        <w:t>按年初设立的项目申报表的相关内容进行绩效评价，</w:t>
      </w:r>
      <w:r>
        <w:rPr>
          <w:rFonts w:hint="eastAsia" w:ascii="仿宋_GB2312" w:hAnsi="仿宋" w:cs="Times New Roman"/>
          <w:kern w:val="2"/>
          <w:sz w:val="32"/>
          <w:szCs w:val="32"/>
          <w:lang w:val="en-US" w:eastAsia="zh-CN" w:bidi="ar-SA"/>
        </w:rPr>
        <w:t>评价等级为优秀，评价分数为99分</w:t>
      </w:r>
      <w:r>
        <w:rPr>
          <w:rFonts w:hint="eastAsia" w:ascii="仿宋_GB2312" w:hAnsi="仿宋"/>
          <w:szCs w:val="32"/>
        </w:rPr>
        <w:t>。</w:t>
      </w:r>
    </w:p>
    <w:p>
      <w:pPr>
        <w:numPr>
          <w:ilvl w:val="0"/>
          <w:numId w:val="2"/>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绩效目标实现情况分析</w:t>
      </w:r>
    </w:p>
    <w:p>
      <w:pPr>
        <w:widowControl/>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（一）项目资金使用及管理情况</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1、</w:t>
      </w:r>
      <w:r>
        <w:rPr>
          <w:rFonts w:ascii="Times New Roman" w:hAnsi="Times New Roman" w:eastAsia="仿宋_GB2312" w:cs="Times New Roman"/>
          <w:sz w:val="32"/>
          <w:szCs w:val="32"/>
        </w:rPr>
        <w:t>项目资金安排落实、总投入等情况分析。</w:t>
      </w:r>
    </w:p>
    <w:p>
      <w:pPr>
        <w:adjustRightInd w:val="0"/>
        <w:snapToGrid w:val="0"/>
        <w:spacing w:line="600" w:lineRule="exact"/>
        <w:ind w:firstLine="592" w:firstLineChars="200"/>
        <w:rPr>
          <w:rFonts w:ascii="Times New Roman" w:hAnsi="Times New Roman" w:eastAsia="仿宋_GB2312" w:cs="Times New Roman"/>
          <w:sz w:val="32"/>
          <w:szCs w:val="32"/>
        </w:rPr>
      </w:pPr>
      <w:r>
        <w:rPr>
          <w:rFonts w:hint="eastAsia" w:ascii="仿宋" w:hAnsi="仿宋" w:eastAsia="仿宋" w:cs="仿宋"/>
          <w:sz w:val="30"/>
          <w:szCs w:val="30"/>
          <w:lang w:val="en-US" w:eastAsia="zh-CN"/>
        </w:rPr>
        <w:t>项目完成投资20.00万元，实际支付金额20.00万元，项目结余资金0.00万元。</w:t>
      </w:r>
    </w:p>
    <w:p>
      <w:pPr>
        <w:numPr>
          <w:ilvl w:val="0"/>
          <w:numId w:val="3"/>
        </w:numPr>
        <w:adjustRightInd w:val="0"/>
        <w:snapToGrid w:val="0"/>
        <w:spacing w:line="6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项目资金实际使用情况分析。</w:t>
      </w:r>
    </w:p>
    <w:p>
      <w:pPr>
        <w:numPr>
          <w:ilvl w:val="0"/>
          <w:numId w:val="0"/>
        </w:numPr>
        <w:adjustRightInd w:val="0"/>
        <w:snapToGrid w:val="0"/>
        <w:spacing w:line="600" w:lineRule="exact"/>
        <w:ind w:firstLine="592" w:firstLineChars="200"/>
        <w:rPr>
          <w:rFonts w:ascii="Times New Roman" w:hAnsi="Times New Roman" w:eastAsia="仿宋_GB2312" w:cs="Times New Roman"/>
          <w:sz w:val="32"/>
          <w:szCs w:val="32"/>
        </w:rPr>
      </w:pPr>
      <w:r>
        <w:rPr>
          <w:rFonts w:hint="eastAsia" w:ascii="仿宋" w:hAnsi="仿宋" w:eastAsia="仿宋" w:cs="仿宋"/>
          <w:sz w:val="30"/>
          <w:szCs w:val="30"/>
          <w:lang w:eastAsia="zh-CN"/>
        </w:rPr>
        <w:t>区自然资源局</w:t>
      </w:r>
      <w:r>
        <w:rPr>
          <w:rFonts w:hint="eastAsia" w:ascii="仿宋" w:hAnsi="仿宋" w:eastAsia="仿宋" w:cs="仿宋"/>
          <w:sz w:val="30"/>
          <w:szCs w:val="30"/>
        </w:rPr>
        <w:t>高度重视</w:t>
      </w:r>
      <w:r>
        <w:rPr>
          <w:rFonts w:hint="eastAsia" w:ascii="Times New Roman" w:hAnsi="Times New Roman" w:cs="Times New Roman"/>
          <w:sz w:val="32"/>
          <w:szCs w:val="32"/>
          <w:lang w:val="en-US" w:eastAsia="zh-CN"/>
        </w:rPr>
        <w:t>地质灾害防治工作</w:t>
      </w:r>
      <w:r>
        <w:rPr>
          <w:rFonts w:hint="eastAsia" w:ascii="Times New Roman" w:hAnsi="Times New Roman" w:eastAsia="仿宋_GB2312" w:cs="Times New Roman"/>
          <w:sz w:val="32"/>
          <w:szCs w:val="32"/>
        </w:rPr>
        <w:t>评价</w:t>
      </w:r>
      <w:r>
        <w:rPr>
          <w:rFonts w:hint="eastAsia" w:ascii="仿宋" w:hAnsi="仿宋" w:eastAsia="仿宋" w:cs="仿宋"/>
          <w:color w:val="auto"/>
          <w:sz w:val="30"/>
          <w:szCs w:val="30"/>
          <w:lang w:val="en-US" w:eastAsia="zh-CN"/>
        </w:rPr>
        <w:t>项目</w:t>
      </w:r>
      <w:r>
        <w:rPr>
          <w:rFonts w:hint="eastAsia" w:ascii="仿宋" w:hAnsi="仿宋" w:eastAsia="仿宋" w:cs="仿宋"/>
          <w:color w:val="auto"/>
          <w:sz w:val="30"/>
          <w:szCs w:val="30"/>
        </w:rPr>
        <w:t>管理</w:t>
      </w:r>
      <w:r>
        <w:rPr>
          <w:rFonts w:hint="eastAsia" w:ascii="仿宋" w:hAnsi="仿宋" w:eastAsia="仿宋" w:cs="仿宋"/>
          <w:sz w:val="30"/>
          <w:szCs w:val="30"/>
        </w:rPr>
        <w:t>工作，严格按照“专账核算、</w:t>
      </w:r>
      <w:r>
        <w:rPr>
          <w:rFonts w:hint="eastAsia" w:ascii="仿宋" w:hAnsi="仿宋" w:eastAsia="仿宋" w:cs="仿宋"/>
          <w:sz w:val="30"/>
          <w:szCs w:val="30"/>
          <w:lang w:val="en-US" w:eastAsia="zh-CN"/>
        </w:rPr>
        <w:t>专款专</w:t>
      </w:r>
      <w:r>
        <w:rPr>
          <w:rFonts w:hint="eastAsia" w:ascii="仿宋" w:hAnsi="仿宋" w:eastAsia="仿宋" w:cs="仿宋"/>
          <w:sz w:val="30"/>
          <w:szCs w:val="30"/>
        </w:rPr>
        <w:t>用”的财务制度进行管理，明确专职会计人员核算项目资金，确保项目资金使用规范。</w:t>
      </w:r>
    </w:p>
    <w:p>
      <w:pPr>
        <w:numPr>
          <w:ilvl w:val="0"/>
          <w:numId w:val="3"/>
        </w:numPr>
        <w:adjustRightInd w:val="0"/>
        <w:snapToGrid w:val="0"/>
        <w:spacing w:line="600" w:lineRule="exact"/>
        <w:ind w:left="0" w:leftChars="0"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项目资金管理情况分析，主要包括管理制度、办法的制订及执行情况。</w:t>
      </w:r>
    </w:p>
    <w:p>
      <w:pPr>
        <w:pStyle w:val="2"/>
        <w:keepNext w:val="0"/>
        <w:keepLines w:val="0"/>
        <w:pageBreakBefore w:val="0"/>
        <w:widowControl w:val="0"/>
        <w:kinsoku/>
        <w:wordWrap/>
        <w:topLinePunct w:val="0"/>
        <w:bidi w:val="0"/>
        <w:adjustRightInd/>
        <w:snapToGrid/>
        <w:spacing w:line="540" w:lineRule="exact"/>
        <w:textAlignment w:val="auto"/>
        <w:rPr>
          <w:rFonts w:ascii="Times New Roman" w:hAnsi="Times New Roman" w:eastAsia="仿宋_GB2312" w:cs="Times New Roman"/>
          <w:sz w:val="32"/>
          <w:szCs w:val="32"/>
        </w:rPr>
      </w:pPr>
      <w:r>
        <w:rPr>
          <w:rFonts w:hint="eastAsia" w:ascii="仿宋" w:hAnsi="仿宋" w:eastAsia="仿宋" w:cs="仿宋"/>
          <w:sz w:val="30"/>
          <w:szCs w:val="30"/>
        </w:rPr>
        <w:t>为加强</w:t>
      </w:r>
      <w:r>
        <w:rPr>
          <w:rFonts w:hint="eastAsia" w:ascii="仿宋" w:hAnsi="仿宋" w:eastAsia="仿宋" w:cs="仿宋"/>
          <w:sz w:val="30"/>
          <w:szCs w:val="30"/>
          <w:lang w:val="en-US" w:eastAsia="zh-CN"/>
        </w:rPr>
        <w:t>项目</w:t>
      </w:r>
      <w:r>
        <w:rPr>
          <w:rFonts w:hint="eastAsia" w:ascii="仿宋" w:hAnsi="仿宋" w:eastAsia="仿宋" w:cs="仿宋"/>
          <w:sz w:val="30"/>
          <w:szCs w:val="30"/>
        </w:rPr>
        <w:t>资金的管理，</w:t>
      </w:r>
      <w:r>
        <w:rPr>
          <w:rFonts w:hint="eastAsia" w:ascii="仿宋" w:hAnsi="仿宋" w:eastAsia="仿宋" w:cs="仿宋"/>
          <w:sz w:val="30"/>
          <w:szCs w:val="30"/>
          <w:lang w:val="en-US" w:eastAsia="zh-CN"/>
        </w:rPr>
        <w:t>明确了资金管理要求，项目资金的支付均由</w:t>
      </w:r>
      <w:r>
        <w:rPr>
          <w:rFonts w:hint="eastAsia" w:ascii="Times New Roman" w:hAnsi="Times New Roman" w:eastAsia="仿宋_GB2312" w:cs="Times New Roman"/>
          <w:kern w:val="2"/>
          <w:sz w:val="32"/>
          <w:szCs w:val="32"/>
          <w:lang w:val="en-US" w:eastAsia="zh-CN" w:bidi="ar-SA"/>
        </w:rPr>
        <w:t>财政直接支付给服务单位，且做到了专帐管理、专款专用。财务上由局财务股负责管理，财务执行情况良好，项目资金管理到位。</w:t>
      </w:r>
    </w:p>
    <w:p>
      <w:pPr>
        <w:numPr>
          <w:ilvl w:val="0"/>
          <w:numId w:val="0"/>
        </w:numPr>
        <w:adjustRightInd w:val="0"/>
        <w:snapToGrid w:val="0"/>
        <w:spacing w:line="600" w:lineRule="exact"/>
        <w:rPr>
          <w:rFonts w:ascii="Times New Roman" w:hAnsi="Times New Roman" w:eastAsia="仿宋_GB2312" w:cs="Times New Roman"/>
          <w:sz w:val="32"/>
          <w:szCs w:val="32"/>
        </w:rPr>
      </w:pPr>
    </w:p>
    <w:p>
      <w:pPr>
        <w:widowControl/>
        <w:numPr>
          <w:ilvl w:val="0"/>
          <w:numId w:val="4"/>
        </w:numPr>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总体绩效目标完成情况分析</w:t>
      </w:r>
    </w:p>
    <w:p>
      <w:pPr>
        <w:widowControl/>
        <w:numPr>
          <w:ilvl w:val="0"/>
          <w:numId w:val="0"/>
        </w:numPr>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Times New Roman" w:hAnsi="Times New Roman" w:cs="Times New Roman"/>
          <w:kern w:val="2"/>
          <w:sz w:val="32"/>
          <w:szCs w:val="32"/>
          <w:lang w:val="en-US" w:eastAsia="zh-CN" w:bidi="ar-SA"/>
        </w:rPr>
        <w:t>该</w:t>
      </w:r>
      <w:r>
        <w:rPr>
          <w:rFonts w:hint="eastAsia" w:ascii="Times New Roman" w:hAnsi="Times New Roman" w:eastAsia="仿宋_GB2312" w:cs="Times New Roman"/>
          <w:kern w:val="2"/>
          <w:sz w:val="32"/>
          <w:szCs w:val="32"/>
          <w:lang w:val="en-US" w:eastAsia="zh-CN" w:bidi="ar-SA"/>
        </w:rPr>
        <w:t>项目目标清晰，项目决策有理有据，项目资金到位及时、分配合理，相关项目管理制度健全，并严格按照规定内容组织实施，各个项目保质保量的推进，达到项目预期效果。</w:t>
      </w:r>
    </w:p>
    <w:p>
      <w:pPr>
        <w:widowControl/>
        <w:spacing w:line="600" w:lineRule="exact"/>
        <w:ind w:firstLine="632" w:firstLineChars="200"/>
        <w:jc w:val="both"/>
        <w:rPr>
          <w:rFonts w:hint="default"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（三）绩效指标完成情况分析</w:t>
      </w:r>
    </w:p>
    <w:p>
      <w:pPr>
        <w:widowControl/>
        <w:numPr>
          <w:ilvl w:val="0"/>
          <w:numId w:val="0"/>
        </w:numPr>
        <w:spacing w:line="600" w:lineRule="exact"/>
        <w:ind w:firstLine="632"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按时保质保量完成了我局地灾防治地灾巡查工作，确保全</w:t>
      </w:r>
      <w:r>
        <w:rPr>
          <w:rFonts w:hint="eastAsia" w:ascii="Times New Roman" w:hAnsi="Times New Roman" w:cs="Times New Roman"/>
          <w:kern w:val="2"/>
          <w:sz w:val="32"/>
          <w:szCs w:val="32"/>
          <w:lang w:val="en-US" w:eastAsia="zh-CN" w:bidi="ar-SA"/>
        </w:rPr>
        <w:t>区</w:t>
      </w:r>
      <w:r>
        <w:rPr>
          <w:rFonts w:hint="eastAsia" w:ascii="Times New Roman" w:hAnsi="Times New Roman" w:eastAsia="仿宋_GB2312" w:cs="Times New Roman"/>
          <w:kern w:val="2"/>
          <w:sz w:val="32"/>
          <w:szCs w:val="32"/>
          <w:lang w:val="en-US" w:eastAsia="zh-CN" w:bidi="ar-SA"/>
        </w:rPr>
        <w:t>地灾隐患点零安全事故发生，地灾隐患点涉及群众财产零损失，很好维护了社会稳定。</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无</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numPr>
          <w:ilvl w:val="0"/>
          <w:numId w:val="0"/>
        </w:numPr>
        <w:adjustRightInd w:val="0"/>
        <w:snapToGrid w:val="0"/>
        <w:spacing w:line="600" w:lineRule="exact"/>
        <w:ind w:left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未公开</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numPr>
          <w:ilvl w:val="0"/>
          <w:numId w:val="0"/>
        </w:numPr>
        <w:adjustRightInd w:val="0"/>
        <w:snapToGrid w:val="0"/>
        <w:spacing w:line="600" w:lineRule="exact"/>
        <w:ind w:left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无</w:t>
      </w:r>
    </w:p>
    <w:p>
      <w:pPr>
        <w:widowControl/>
        <w:spacing w:line="600" w:lineRule="exact"/>
        <w:ind w:firstLine="645"/>
        <w:jc w:val="left"/>
        <w:rPr>
          <w:rFonts w:hint="eastAsia" w:ascii="Times New Roman" w:hAnsi="Times New Roman" w:cs="Times New Roman"/>
          <w:sz w:val="32"/>
          <w:szCs w:val="32"/>
          <w:lang w:eastAsia="zh-CN"/>
        </w:rPr>
      </w:pPr>
    </w:p>
    <w:p>
      <w:pPr>
        <w:widowControl/>
        <w:spacing w:line="600" w:lineRule="exact"/>
        <w:ind w:firstLine="645"/>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r>
        <w:br w:type="page"/>
      </w:r>
    </w:p>
    <w:tbl>
      <w:tblPr>
        <w:tblStyle w:val="7"/>
        <w:tblW w:w="0" w:type="auto"/>
        <w:tblInd w:w="0" w:type="dxa"/>
        <w:tblLayout w:type="autofit"/>
        <w:tblCellMar>
          <w:top w:w="0" w:type="dxa"/>
          <w:left w:w="0" w:type="dxa"/>
          <w:bottom w:w="0" w:type="dxa"/>
          <w:right w:w="0" w:type="dxa"/>
        </w:tblCellMar>
      </w:tblPr>
      <w:tblGrid>
        <w:gridCol w:w="880"/>
        <w:gridCol w:w="946"/>
        <w:gridCol w:w="559"/>
        <w:gridCol w:w="594"/>
        <w:gridCol w:w="1236"/>
        <w:gridCol w:w="1236"/>
        <w:gridCol w:w="1236"/>
        <w:gridCol w:w="1236"/>
        <w:gridCol w:w="1746"/>
      </w:tblGrid>
      <w:tr>
        <w:tblPrEx>
          <w:tblCellMar>
            <w:top w:w="0" w:type="dxa"/>
            <w:left w:w="0" w:type="dxa"/>
            <w:bottom w:w="0" w:type="dxa"/>
            <w:right w:w="0" w:type="dxa"/>
          </w:tblCellMar>
        </w:tblPrEx>
        <w:trPr>
          <w:trHeight w:val="465" w:hRule="atLeast"/>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2022年度项目支出绩效自评表</w:t>
            </w:r>
          </w:p>
        </w:tc>
      </w:tr>
      <w:tr>
        <w:tblPrEx>
          <w:tblCellMar>
            <w:top w:w="0" w:type="dxa"/>
            <w:left w:w="0" w:type="dxa"/>
            <w:bottom w:w="0" w:type="dxa"/>
            <w:right w:w="0"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项目名称</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地质灾害防治工作</w:t>
            </w:r>
          </w:p>
        </w:tc>
      </w:tr>
      <w:tr>
        <w:tblPrEx>
          <w:tblCellMar>
            <w:top w:w="0" w:type="dxa"/>
            <w:left w:w="0" w:type="dxa"/>
            <w:bottom w:w="0" w:type="dxa"/>
            <w:right w:w="0"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主管部门</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益阳市资阳区自然资源局</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实施单位</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项目资金（万元）</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年度资金总额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年初预算数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全年预算数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全年执行数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执行率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r>
      <w:tr>
        <w:tblPrEx>
          <w:tblCellMar>
            <w:top w:w="0" w:type="dxa"/>
            <w:left w:w="0" w:type="dxa"/>
            <w:bottom w:w="0" w:type="dxa"/>
            <w:right w:w="0"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其中：当年财政拨款　</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上年结转资金　</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其他资金</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年度总体目标</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预期目标</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实际完成情况　</w:t>
            </w:r>
          </w:p>
        </w:tc>
      </w:tr>
      <w:tr>
        <w:tblPrEx>
          <w:tblCellMar>
            <w:top w:w="0" w:type="dxa"/>
            <w:left w:w="0" w:type="dxa"/>
            <w:bottom w:w="0" w:type="dxa"/>
            <w:right w:w="0" w:type="dxa"/>
          </w:tblCellMar>
        </w:tblPrEx>
        <w:trPr>
          <w:trHeight w:val="7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地质灾害隐患点的日常巡排查、监测工作，组织、协调全区地质灾害隐患点应急治理　</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地质灾害隐患点的日常巡排查58次、监测隐患点8处，地质灾害隐患点应急治理6处　</w:t>
            </w:r>
          </w:p>
        </w:tc>
      </w:tr>
      <w:tr>
        <w:tblPrEx>
          <w:tblCellMar>
            <w:top w:w="0" w:type="dxa"/>
            <w:left w:w="0" w:type="dxa"/>
            <w:bottom w:w="0" w:type="dxa"/>
            <w:right w:w="0" w:type="dxa"/>
          </w:tblCellMar>
        </w:tblPrEx>
        <w:trPr>
          <w:trHeight w:val="300" w:hRule="atLeast"/>
        </w:trPr>
        <w:tc>
          <w:tcPr>
            <w:tcW w:w="0" w:type="auto"/>
            <w:vMerge w:val="restart"/>
            <w:tcBorders>
              <w:top w:val="single" w:color="auto" w:sz="4" w:space="0"/>
              <w:left w:val="single" w:color="auto" w:sz="4" w:space="0"/>
              <w:bottom w:val="nil"/>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绩效指标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二级指标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三级指标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年度指标值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偏差原因分析及改进措施</w:t>
            </w:r>
          </w:p>
        </w:tc>
      </w:tr>
      <w:tr>
        <w:tblPrEx>
          <w:tblCellMar>
            <w:top w:w="0" w:type="dxa"/>
            <w:left w:w="0" w:type="dxa"/>
            <w:bottom w:w="0" w:type="dxa"/>
            <w:right w:w="0" w:type="dxa"/>
          </w:tblCellMar>
        </w:tblPrEx>
        <w:trPr>
          <w:trHeight w:val="27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27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产出指标(50分)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数量指标</w:t>
            </w:r>
          </w:p>
        </w:tc>
        <w:tc>
          <w:tcPr>
            <w:tcW w:w="0" w:type="auto"/>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完成地质灾害专业监测点建设</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实施地质灾害综合治理项目</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地质灾害培训、宣传覆盖率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质量指标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：基层防灾能力建设项目合格率</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&gt;=95%</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时效指标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：地灾防治项目完成率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成本指标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：成本节约率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效益指标（40分）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经济效益指标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核销地质灾害隐患数量</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加强与气象、水利部门合作，完善短信预警平台</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提高</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社会效益指标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完成地灾隐患点治理</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提高</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截止目前我区已全面开展地质灾害综合治理除隐患行动，全区共有地质灾害隐患点7处，均为实施工程治理。截止目前6个地质灾害治理工程已全部完成方案编制，进场施工6个，完工6个；</w:t>
            </w: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监测预警区地质灾害防范能力</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提升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生态效益指标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：改善当地生态环境</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较明显</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可持续影响指标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 提升基层地质灾害防灾能力和重点隐患防控能力</w:t>
            </w: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较明显</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6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服务对象满意度指标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指标</w:t>
            </w:r>
            <w:r>
              <w:rPr>
                <w:rFonts w:ascii="Times New Roman" w:hAnsi="Times New Roman" w:eastAsia="仿宋_GB2312" w:cs="Times New Roman"/>
                <w:color w:val="000000"/>
                <w:kern w:val="0"/>
                <w:sz w:val="21"/>
                <w:szCs w:val="21"/>
              </w:rPr>
              <w:t>1</w:t>
            </w:r>
            <w:r>
              <w:rPr>
                <w:rFonts w:hint="eastAsia" w:ascii="Times New Roman" w:hAnsi="Times New Roman" w:eastAsia="仿宋_GB2312" w:cs="Times New Roman"/>
                <w:color w:val="000000"/>
                <w:kern w:val="0"/>
                <w:sz w:val="21"/>
                <w:szCs w:val="21"/>
              </w:rPr>
              <w:t>：实施区群众防灾减灾参与度</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总分</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100</w:t>
            </w:r>
            <w:r>
              <w:rPr>
                <w:rFonts w:hint="eastAsia" w:ascii="Times New Roman" w:hAnsi="Times New Roman" w:eastAsia="仿宋_GB2312" w:cs="Times New Roman"/>
                <w:color w:val="000000"/>
                <w:kern w:val="0"/>
                <w:sz w:val="21"/>
                <w:szCs w:val="21"/>
              </w:rPr>
              <w:t>分</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99</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900" w:hRule="atLeast"/>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填表人：</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填报日期：</w:t>
            </w:r>
            <w:r>
              <w:rPr>
                <w:rFonts w:hint="eastAsia" w:ascii="Times New Roman" w:hAnsi="Times New Roman" w:cs="Times New Roman"/>
                <w:color w:val="000000"/>
                <w:kern w:val="0"/>
                <w:sz w:val="21"/>
                <w:szCs w:val="21"/>
                <w:lang w:val="en-US" w:eastAsia="zh-CN"/>
              </w:rPr>
              <w:t xml:space="preserve">             </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联系电话：</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单位负责人签字：</w:t>
            </w:r>
          </w:p>
        </w:tc>
      </w:tr>
    </w:tbl>
    <w:p/>
    <w:sectPr>
      <w:footerReference r:id="rId3" w:type="default"/>
      <w:footerReference r:id="rId4" w:type="even"/>
      <w:pgSz w:w="11907" w:h="16840"/>
      <w:pgMar w:top="2041" w:right="1134" w:bottom="1871" w:left="1134" w:header="851" w:footer="130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5"/>
      <w:rPr>
        <w:rStyle w:val="9"/>
        <w:rFonts w:hint="eastAsia"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3</w:t>
    </w:r>
    <w:r>
      <w:rPr>
        <w:rFonts w:ascii="宋体" w:hAnsi="宋体" w:eastAsia="宋体"/>
        <w:sz w:val="28"/>
      </w:rPr>
      <w:fldChar w:fldCharType="end"/>
    </w:r>
    <w:r>
      <w:rPr>
        <w:rStyle w:val="9"/>
        <w:rFonts w:hint="eastAsia" w:ascii="宋体" w:hAnsi="宋体" w:eastAsia="宋体"/>
        <w:sz w:val="28"/>
      </w:rPr>
      <w:t>—</w:t>
    </w:r>
  </w:p>
  <w:p>
    <w:pPr>
      <w:pStyle w:val="4"/>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35"/>
      <w:rPr>
        <w:rStyle w:val="9"/>
        <w:rFonts w:hint="eastAsia" w:ascii="宋体" w:hAnsi="宋体" w:eastAsia="宋体"/>
        <w:sz w:val="28"/>
      </w:rPr>
    </w:pPr>
    <w:r>
      <w:rPr>
        <w:rStyle w:val="9"/>
        <w:rFonts w:hint="eastAsia" w:ascii="宋体" w:hAnsi="宋体" w:eastAsia="宋体"/>
        <w:sz w:val="28"/>
      </w:rPr>
      <w:t>—</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4</w:t>
    </w:r>
    <w:r>
      <w:rPr>
        <w:rFonts w:ascii="宋体" w:hAnsi="宋体" w:eastAsia="宋体"/>
        <w:sz w:val="28"/>
      </w:rPr>
      <w:fldChar w:fldCharType="end"/>
    </w:r>
    <w:r>
      <w:rPr>
        <w:rStyle w:val="9"/>
        <w:rFonts w:hint="eastAsia" w:ascii="宋体" w:hAnsi="宋体" w:eastAsia="宋体"/>
        <w:sz w:val="28"/>
      </w:rPr>
      <w:t>—</w:t>
    </w:r>
  </w:p>
  <w:p>
    <w:pPr>
      <w:pStyle w:val="4"/>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F3460"/>
    <w:multiLevelType w:val="singleLevel"/>
    <w:tmpl w:val="B35F3460"/>
    <w:lvl w:ilvl="0" w:tentative="0">
      <w:start w:val="2"/>
      <w:numFmt w:val="chineseCounting"/>
      <w:suff w:val="nothing"/>
      <w:lvlText w:val="%1、"/>
      <w:lvlJc w:val="left"/>
      <w:rPr>
        <w:rFonts w:hint="eastAsia"/>
      </w:rPr>
    </w:lvl>
  </w:abstractNum>
  <w:abstractNum w:abstractNumId="1">
    <w:nsid w:val="BCCF2C08"/>
    <w:multiLevelType w:val="singleLevel"/>
    <w:tmpl w:val="BCCF2C08"/>
    <w:lvl w:ilvl="0" w:tentative="0">
      <w:start w:val="4"/>
      <w:numFmt w:val="chineseCounting"/>
      <w:suff w:val="nothing"/>
      <w:lvlText w:val="%1、"/>
      <w:lvlJc w:val="left"/>
      <w:rPr>
        <w:rFonts w:hint="eastAsia"/>
      </w:rPr>
    </w:lvl>
  </w:abstractNum>
  <w:abstractNum w:abstractNumId="2">
    <w:nsid w:val="C7C21574"/>
    <w:multiLevelType w:val="singleLevel"/>
    <w:tmpl w:val="C7C21574"/>
    <w:lvl w:ilvl="0" w:tentative="0">
      <w:start w:val="2"/>
      <w:numFmt w:val="decimal"/>
      <w:suff w:val="nothing"/>
      <w:lvlText w:val="%1、"/>
      <w:lvlJc w:val="left"/>
    </w:lvl>
  </w:abstractNum>
  <w:abstractNum w:abstractNumId="3">
    <w:nsid w:val="2A3FCB0C"/>
    <w:multiLevelType w:val="singleLevel"/>
    <w:tmpl w:val="2A3FCB0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GRhNTgwY2VkN2ZjZGM1NTljODQwMGEyNmVkOTgifQ=="/>
  </w:docVars>
  <w:rsids>
    <w:rsidRoot w:val="0803007E"/>
    <w:rsid w:val="0803007E"/>
    <w:rsid w:val="16DC201B"/>
    <w:rsid w:val="34993154"/>
    <w:rsid w:val="6C0E78EC"/>
    <w:rsid w:val="6D94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line="520" w:lineRule="exact"/>
      <w:ind w:left="0" w:leftChars="0" w:firstLine="1032" w:firstLineChars="200"/>
    </w:pPr>
    <w:rPr>
      <w:rFonts w:ascii="宋体" w:hAnsi="宋体" w:eastAsia="仿宋" w:cs="宋体"/>
      <w:kern w:val="21"/>
      <w:szCs w:val="28"/>
      <w:lang w:val="zh-CN" w:bidi="zh-CN"/>
    </w:rPr>
  </w:style>
  <w:style w:type="paragraph" w:styleId="3">
    <w:name w:val="Body Text Indent"/>
    <w:basedOn w:val="1"/>
    <w:qFormat/>
    <w:uiPriority w:val="0"/>
    <w:pPr>
      <w:ind w:firstLine="632"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spacing w:before="100" w:beforeAutospacing="1" w:after="0"/>
      <w:ind w:left="0" w:firstLine="420" w:firstLine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629</Characters>
  <Lines>0</Lines>
  <Paragraphs>0</Paragraphs>
  <TotalTime>2</TotalTime>
  <ScaleCrop>false</ScaleCrop>
  <LinksUpToDate>false</LinksUpToDate>
  <CharactersWithSpaces>629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2023-04-18T03:46:00Z</dcterms:created>
  <dc:creator>疯狂的树叶</dc:creator>
  <cp:lastModifiedBy>曹艳</cp:lastModifiedBy>
  <dcterms:modified xsi:type="dcterms:W3CDTF">2023-09-13T09:41:35Z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CBD3057762E347E0B3A6730B282FD21E_13</vt:lpwstr>
  </property>
</Properties>
</file>