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hAnsi="黑体" w:eastAsia="黑体"/>
          <w:b/>
          <w:sz w:val="44"/>
          <w:szCs w:val="44"/>
        </w:rPr>
      </w:pPr>
      <w:r>
        <w:rPr>
          <w:rFonts w:hint="eastAsia" w:ascii="黑体" w:hAnsi="黑体" w:eastAsia="黑体"/>
          <w:b/>
          <w:sz w:val="44"/>
          <w:szCs w:val="44"/>
        </w:rPr>
        <w:t>资阳区科技局202</w:t>
      </w:r>
      <w:r>
        <w:rPr>
          <w:rFonts w:hint="eastAsia" w:ascii="黑体" w:hAnsi="黑体" w:eastAsia="黑体"/>
          <w:b/>
          <w:sz w:val="44"/>
          <w:szCs w:val="44"/>
          <w:lang w:val="en-US" w:eastAsia="zh-CN"/>
        </w:rPr>
        <w:t>2</w:t>
      </w:r>
      <w:r>
        <w:rPr>
          <w:rFonts w:hint="eastAsia" w:ascii="黑体" w:hAnsi="黑体" w:eastAsia="黑体"/>
          <w:b/>
          <w:sz w:val="44"/>
          <w:szCs w:val="44"/>
        </w:rPr>
        <w:t>年度部门整体支出绩效</w:t>
      </w:r>
    </w:p>
    <w:p>
      <w:pPr>
        <w:jc w:val="center"/>
        <w:rPr>
          <w:rFonts w:hint="eastAsia" w:ascii="黑体" w:hAnsi="黑体" w:eastAsia="黑体"/>
          <w:b/>
          <w:sz w:val="44"/>
          <w:szCs w:val="44"/>
        </w:rPr>
      </w:pPr>
      <w:r>
        <w:rPr>
          <w:rFonts w:hint="eastAsia" w:ascii="黑体" w:hAnsi="黑体" w:eastAsia="黑体"/>
          <w:b/>
          <w:sz w:val="44"/>
          <w:szCs w:val="44"/>
        </w:rPr>
        <w:t>评价报告</w:t>
      </w:r>
    </w:p>
    <w:p>
      <w:pPr>
        <w:pStyle w:val="2"/>
      </w:pP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为切实做好202</w:t>
      </w:r>
      <w:r>
        <w:rPr>
          <w:rFonts w:hint="eastAsia" w:ascii="仿宋_GB2312" w:hAnsi="宋体" w:eastAsia="仿宋_GB2312" w:cs="仿宋_GB2312"/>
          <w:color w:val="333333"/>
          <w:sz w:val="32"/>
          <w:szCs w:val="32"/>
          <w:shd w:val="clear" w:color="auto" w:fill="FFFFFF"/>
          <w:lang w:val="en-US" w:eastAsia="zh-CN"/>
        </w:rPr>
        <w:t>2</w:t>
      </w:r>
      <w:r>
        <w:rPr>
          <w:rFonts w:hint="eastAsia" w:ascii="仿宋_GB2312" w:hAnsi="宋体" w:eastAsia="仿宋_GB2312" w:cs="仿宋_GB2312"/>
          <w:color w:val="333333"/>
          <w:sz w:val="32"/>
          <w:szCs w:val="32"/>
          <w:shd w:val="clear" w:color="auto" w:fill="FFFFFF"/>
        </w:rPr>
        <w:t>年度预算绩效自评工作，提高财政资金使用效益，根据</w:t>
      </w:r>
      <w:r>
        <w:rPr>
          <w:rFonts w:hint="eastAsia" w:ascii="仿宋_GB2312" w:hAnsi="宋体" w:eastAsia="仿宋_GB2312" w:cs="仿宋_GB2312"/>
          <w:color w:val="333333"/>
          <w:sz w:val="32"/>
          <w:szCs w:val="32"/>
          <w:shd w:val="clear" w:color="auto" w:fill="FFFFFF"/>
          <w:lang w:eastAsia="zh-CN"/>
        </w:rPr>
        <w:t>益阳市资阳区财政局《关于开展</w:t>
      </w:r>
      <w:r>
        <w:rPr>
          <w:rFonts w:hint="eastAsia" w:ascii="仿宋_GB2312" w:hAnsi="宋体" w:eastAsia="仿宋_GB2312" w:cs="仿宋_GB2312"/>
          <w:color w:val="333333"/>
          <w:sz w:val="32"/>
          <w:szCs w:val="32"/>
          <w:shd w:val="clear" w:color="auto" w:fill="FFFFFF"/>
          <w:lang w:val="en-US" w:eastAsia="zh-CN"/>
        </w:rPr>
        <w:t>2022年度部门绩效自评工作的通知》（益资财[2023]4号）</w:t>
      </w:r>
      <w:r>
        <w:rPr>
          <w:rFonts w:hint="eastAsia" w:ascii="仿宋_GB2312" w:hAnsi="宋体" w:eastAsia="仿宋_GB2312" w:cs="仿宋_GB2312"/>
          <w:color w:val="333333"/>
          <w:sz w:val="32"/>
          <w:szCs w:val="32"/>
          <w:shd w:val="clear" w:color="auto" w:fill="FFFFFF"/>
          <w:lang w:eastAsia="zh-CN"/>
        </w:rPr>
        <w:t>等相关</w:t>
      </w:r>
      <w:r>
        <w:rPr>
          <w:rFonts w:hint="eastAsia" w:ascii="仿宋_GB2312" w:hAnsi="宋体" w:eastAsia="仿宋_GB2312" w:cs="仿宋_GB2312"/>
          <w:color w:val="333333"/>
          <w:sz w:val="32"/>
          <w:szCs w:val="32"/>
          <w:shd w:val="clear" w:color="auto" w:fill="FFFFFF"/>
        </w:rPr>
        <w:t>文件要求，结合科技局工作实际，现将我局整体支出绩效自评结果报告如下：</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一、基本情况</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（一）单位职能概述</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1、贯彻创新驱动发展战略和创新引领开放崛起战略，拟定全区科技发展、引进国内外智力规划和政策并组织实施。</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2、统筹推进全区创新体系建设和科技体制改革，会同有关部门健全技术创新激励机制。优化科研体系建设，指导科研机构改革发展，推动企业科技创新能力建设，承担推进科技军民融合发展相关工作。拟订科学普及和科学传播规划等。</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3、会同有关部门提出优化资源配置科技资源的政策措施建议，推动多元化科技投入体系建设，协调管理区级科技计划（专项、基金等）并监督实施。</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4、负责区级科技项目的组织编制和管理实施，协调基础研究和应用基础研究，统筹关键共性技术、前沿引领技术、现代工程技术、颠覆性技术研发和创新，牵头组织重大技术攻关和成果应用示范。</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5、统筹区域科技创新基地建设，拟订科技创新基地建设规划并监督实施，牵头组织科技创新平台建设，推动科研条件保障建设和科技资源开放共享。</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6、组织拟订高新技术发展及产业化、科技促进农业农村和社会发展的规划、政策和措施。组织开展重点领域技术发展需求分析，提出重大任务并监督实施。</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7、牵头区级技术转移体系建设，拟订科技成果转移转化和促进产学研结合的相关政策措施并推动实施。指导科技服务业、技术市场、科技金融结合和科技中介组织发展。</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8、负责科技监督评价体系建设，组织科技体制改革，统筹科研诚信建设。指导全区科技保密工作。</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9、拟订科技对外交往与创新能力开放合作的规划、政策和措施，组织开展国际和区域科技合作和科技人才交流工作。</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10、负责引进国外和国内智力工作。拟订引进国内外专家规划并组织实施，推动建立国内外科学家、团队吸引集聚机制和国内外专家联系服务机制，协调管理出国（境）培训工作。</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11、会同有关部门拟订科技人才队伍建设规划和制度，建立健全科技人才评价和激励机制，组织实施科技人才计划，推动高端科技创新人才队伍建设。</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12、完成区委、区政府交办的其他任务。</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（二）机构及人员情况</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ascii="仿宋_GB2312" w:hAnsi="宋体" w:eastAsia="仿宋_GB2312" w:cs="仿宋_GB2312"/>
          <w:color w:val="333333"/>
          <w:sz w:val="32"/>
          <w:szCs w:val="32"/>
          <w:shd w:val="clear" w:color="auto" w:fill="FFFFFF"/>
        </w:rPr>
        <w:t>根据编委核定文</w:t>
      </w:r>
      <w:r>
        <w:rPr>
          <w:rFonts w:hint="eastAsia" w:ascii="仿宋_GB2312" w:hAnsi="宋体" w:eastAsia="仿宋_GB2312" w:cs="仿宋_GB2312"/>
          <w:color w:val="333333"/>
          <w:sz w:val="32"/>
          <w:szCs w:val="32"/>
          <w:shd w:val="clear" w:color="auto" w:fill="FFFFFF"/>
        </w:rPr>
        <w:t>件</w:t>
      </w:r>
      <w:r>
        <w:rPr>
          <w:rFonts w:ascii="仿宋_GB2312" w:hAnsi="宋体" w:eastAsia="仿宋_GB2312" w:cs="仿宋_GB2312"/>
          <w:color w:val="333333"/>
          <w:sz w:val="32"/>
          <w:szCs w:val="32"/>
          <w:shd w:val="clear" w:color="auto" w:fill="FFFFFF"/>
        </w:rPr>
        <w:t>，我局内设机构</w:t>
      </w:r>
      <w:r>
        <w:rPr>
          <w:rFonts w:hint="eastAsia" w:ascii="仿宋_GB2312" w:hAnsi="宋体" w:eastAsia="仿宋_GB2312" w:cs="仿宋_GB2312"/>
          <w:color w:val="333333"/>
          <w:sz w:val="32"/>
          <w:szCs w:val="32"/>
          <w:shd w:val="clear" w:color="auto" w:fill="FFFFFF"/>
        </w:rPr>
        <w:t>4</w:t>
      </w:r>
      <w:r>
        <w:rPr>
          <w:rFonts w:ascii="仿宋_GB2312" w:hAnsi="宋体" w:eastAsia="仿宋_GB2312" w:cs="仿宋_GB2312"/>
          <w:color w:val="333333"/>
          <w:sz w:val="32"/>
          <w:szCs w:val="32"/>
          <w:shd w:val="clear" w:color="auto" w:fill="FFFFFF"/>
        </w:rPr>
        <w:t>个，所属事业单位</w:t>
      </w:r>
      <w:r>
        <w:rPr>
          <w:rFonts w:hint="eastAsia" w:ascii="仿宋_GB2312" w:hAnsi="宋体" w:eastAsia="仿宋_GB2312" w:cs="仿宋_GB2312"/>
          <w:color w:val="333333"/>
          <w:sz w:val="32"/>
          <w:szCs w:val="32"/>
          <w:shd w:val="clear" w:color="auto" w:fill="FFFFFF"/>
        </w:rPr>
        <w:t>2</w:t>
      </w:r>
      <w:r>
        <w:rPr>
          <w:rFonts w:ascii="仿宋_GB2312" w:hAnsi="宋体" w:eastAsia="仿宋_GB2312" w:cs="仿宋_GB2312"/>
          <w:color w:val="333333"/>
          <w:sz w:val="32"/>
          <w:szCs w:val="32"/>
          <w:shd w:val="clear" w:color="auto" w:fill="FFFFFF"/>
        </w:rPr>
        <w:t>个，全部纳入20</w:t>
      </w:r>
      <w:r>
        <w:rPr>
          <w:rFonts w:hint="eastAsia" w:ascii="仿宋_GB2312" w:hAnsi="宋体" w:eastAsia="仿宋_GB2312" w:cs="仿宋_GB2312"/>
          <w:color w:val="333333"/>
          <w:sz w:val="32"/>
          <w:szCs w:val="32"/>
          <w:shd w:val="clear" w:color="auto" w:fill="FFFFFF"/>
        </w:rPr>
        <w:t>2</w:t>
      </w:r>
      <w:r>
        <w:rPr>
          <w:rFonts w:hint="eastAsia" w:ascii="仿宋_GB2312" w:hAnsi="宋体" w:eastAsia="仿宋_GB2312" w:cs="仿宋_GB2312"/>
          <w:color w:val="333333"/>
          <w:sz w:val="32"/>
          <w:szCs w:val="32"/>
          <w:shd w:val="clear" w:color="auto" w:fill="FFFFFF"/>
          <w:lang w:val="en-US" w:eastAsia="zh-CN"/>
        </w:rPr>
        <w:t>2</w:t>
      </w:r>
      <w:r>
        <w:rPr>
          <w:rFonts w:ascii="仿宋_GB2312" w:hAnsi="宋体" w:eastAsia="仿宋_GB2312" w:cs="仿宋_GB2312"/>
          <w:color w:val="333333"/>
          <w:sz w:val="32"/>
          <w:szCs w:val="32"/>
          <w:shd w:val="clear" w:color="auto" w:fill="FFFFFF"/>
        </w:rPr>
        <w:t>年部门预算编制范围。20</w:t>
      </w:r>
      <w:r>
        <w:rPr>
          <w:rFonts w:hint="eastAsia" w:ascii="仿宋_GB2312" w:hAnsi="宋体" w:eastAsia="仿宋_GB2312" w:cs="仿宋_GB2312"/>
          <w:color w:val="333333"/>
          <w:sz w:val="32"/>
          <w:szCs w:val="32"/>
          <w:shd w:val="clear" w:color="auto" w:fill="FFFFFF"/>
        </w:rPr>
        <w:t>2</w:t>
      </w:r>
      <w:r>
        <w:rPr>
          <w:rFonts w:hint="eastAsia" w:ascii="仿宋_GB2312" w:hAnsi="宋体" w:eastAsia="仿宋_GB2312" w:cs="仿宋_GB2312"/>
          <w:color w:val="333333"/>
          <w:sz w:val="32"/>
          <w:szCs w:val="32"/>
          <w:shd w:val="clear" w:color="auto" w:fill="FFFFFF"/>
          <w:lang w:val="en-US" w:eastAsia="zh-CN"/>
        </w:rPr>
        <w:t>2</w:t>
      </w:r>
      <w:r>
        <w:rPr>
          <w:rFonts w:ascii="仿宋_GB2312" w:hAnsi="宋体" w:eastAsia="仿宋_GB2312" w:cs="仿宋_GB2312"/>
          <w:color w:val="333333"/>
          <w:sz w:val="32"/>
          <w:szCs w:val="32"/>
          <w:shd w:val="clear" w:color="auto" w:fill="FFFFFF"/>
        </w:rPr>
        <w:t>年人员编制1</w:t>
      </w:r>
      <w:r>
        <w:rPr>
          <w:rFonts w:hint="eastAsia" w:ascii="仿宋_GB2312" w:hAnsi="宋体" w:eastAsia="仿宋_GB2312" w:cs="仿宋_GB2312"/>
          <w:color w:val="333333"/>
          <w:sz w:val="32"/>
          <w:szCs w:val="32"/>
          <w:shd w:val="clear" w:color="auto" w:fill="FFFFFF"/>
          <w:lang w:val="en-US" w:eastAsia="zh-CN"/>
        </w:rPr>
        <w:t>6</w:t>
      </w:r>
      <w:r>
        <w:rPr>
          <w:rFonts w:ascii="仿宋_GB2312" w:hAnsi="宋体" w:eastAsia="仿宋_GB2312" w:cs="仿宋_GB2312"/>
          <w:color w:val="333333"/>
          <w:sz w:val="32"/>
          <w:szCs w:val="32"/>
          <w:shd w:val="clear" w:color="auto" w:fill="FFFFFF"/>
        </w:rPr>
        <w:t>人,实有在职人员15人，退休人员16人。</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ascii="仿宋_GB2312" w:hAnsi="宋体" w:eastAsia="仿宋_GB2312" w:cs="仿宋_GB2312"/>
          <w:color w:val="333333"/>
          <w:sz w:val="32"/>
          <w:szCs w:val="32"/>
          <w:shd w:val="clear" w:color="auto" w:fill="FFFFFF"/>
        </w:rPr>
        <w:t>内设机构分别为办公室、</w:t>
      </w:r>
      <w:r>
        <w:rPr>
          <w:rFonts w:hint="eastAsia" w:ascii="仿宋_GB2312" w:hAnsi="宋体" w:eastAsia="仿宋_GB2312" w:cs="仿宋_GB2312"/>
          <w:color w:val="333333"/>
          <w:sz w:val="32"/>
          <w:szCs w:val="32"/>
          <w:shd w:val="clear" w:color="auto" w:fill="FFFFFF"/>
        </w:rPr>
        <w:t>综合计划股（审改股）、高新技术发展与成果转化股、农村与社会发展股。</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ascii="仿宋_GB2312" w:hAnsi="宋体" w:eastAsia="仿宋_GB2312" w:cs="仿宋_GB2312"/>
          <w:color w:val="333333"/>
          <w:sz w:val="32"/>
          <w:szCs w:val="32"/>
          <w:shd w:val="clear" w:color="auto" w:fill="FFFFFF"/>
        </w:rPr>
        <w:t>所属事业单位为科技情报研究所</w:t>
      </w:r>
      <w:r>
        <w:rPr>
          <w:rFonts w:hint="eastAsia" w:ascii="仿宋_GB2312" w:hAnsi="宋体" w:eastAsia="仿宋_GB2312" w:cs="仿宋_GB2312"/>
          <w:color w:val="333333"/>
          <w:sz w:val="32"/>
          <w:szCs w:val="32"/>
          <w:shd w:val="clear" w:color="auto" w:fill="FFFFFF"/>
        </w:rPr>
        <w:t>（加挂益阳市资阳区科技信息服务中心牌子）、益阳市</w:t>
      </w:r>
      <w:r>
        <w:rPr>
          <w:rFonts w:ascii="仿宋_GB2312" w:hAnsi="宋体" w:eastAsia="仿宋_GB2312" w:cs="仿宋_GB2312"/>
          <w:color w:val="333333"/>
          <w:sz w:val="32"/>
          <w:szCs w:val="32"/>
          <w:shd w:val="clear" w:color="auto" w:fill="FFFFFF"/>
        </w:rPr>
        <w:t>资阳区生产力促进中心</w:t>
      </w:r>
      <w:r>
        <w:rPr>
          <w:rFonts w:hint="eastAsia" w:ascii="仿宋_GB2312" w:hAnsi="宋体" w:eastAsia="仿宋_GB2312" w:cs="仿宋_GB2312"/>
          <w:color w:val="333333"/>
          <w:sz w:val="32"/>
          <w:szCs w:val="32"/>
          <w:shd w:val="clear" w:color="auto" w:fill="FFFFFF"/>
        </w:rPr>
        <w:t>，主要职责是：负责科技信息的收集与存储、整理与加工、分析与研究、传播与服务工作；提供信息咨询、企业诊断服务；协助企业导入新产品、新工艺和新技术；为政府和企业提供发展战略和规划服务。</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lang w:eastAsia="zh-CN"/>
        </w:rPr>
        <w:t>二、一般公共预算</w:t>
      </w:r>
      <w:r>
        <w:rPr>
          <w:rFonts w:hint="eastAsia" w:ascii="仿宋_GB2312" w:hAnsi="宋体" w:eastAsia="仿宋_GB2312" w:cs="仿宋_GB2312"/>
          <w:color w:val="333333"/>
          <w:sz w:val="32"/>
          <w:szCs w:val="32"/>
          <w:shd w:val="clear" w:color="auto" w:fill="FFFFFF"/>
        </w:rPr>
        <w:t>支出概况</w:t>
      </w:r>
    </w:p>
    <w:p>
      <w:pPr>
        <w:keepNext w:val="0"/>
        <w:keepLines w:val="0"/>
        <w:pageBreakBefore w:val="0"/>
        <w:widowControl/>
        <w:kinsoku/>
        <w:wordWrap/>
        <w:overflowPunct/>
        <w:topLinePunct w:val="0"/>
        <w:autoSpaceDE/>
        <w:autoSpaceDN/>
        <w:bidi w:val="0"/>
        <w:spacing w:before="100" w:after="100" w:line="640" w:lineRule="exact"/>
        <w:ind w:firstLine="627"/>
        <w:jc w:val="left"/>
        <w:textAlignment w:val="auto"/>
        <w:rPr>
          <w:rFonts w:hint="eastAsia" w:ascii="仿宋_GB2312" w:hAnsi="宋体" w:eastAsia="仿宋_GB2312" w:cs="仿宋_GB2312"/>
          <w:color w:val="333333"/>
          <w:kern w:val="0"/>
          <w:sz w:val="32"/>
          <w:szCs w:val="32"/>
          <w:shd w:val="clear" w:color="auto" w:fill="FFFFFF"/>
          <w:lang w:eastAsia="zh-CN"/>
        </w:rPr>
      </w:pPr>
      <w:r>
        <w:rPr>
          <w:rFonts w:hint="eastAsia" w:ascii="仿宋_GB2312" w:hAnsi="宋体" w:eastAsia="仿宋_GB2312" w:cs="仿宋_GB2312"/>
          <w:color w:val="333333"/>
          <w:kern w:val="0"/>
          <w:sz w:val="32"/>
          <w:szCs w:val="32"/>
          <w:shd w:val="clear" w:color="auto" w:fill="FFFFFF"/>
          <w:lang w:eastAsia="zh-CN"/>
        </w:rPr>
        <w:t>（一）基本支出情况</w:t>
      </w:r>
    </w:p>
    <w:p>
      <w:pPr>
        <w:keepNext w:val="0"/>
        <w:keepLines w:val="0"/>
        <w:pageBreakBefore w:val="0"/>
        <w:widowControl/>
        <w:kinsoku/>
        <w:wordWrap/>
        <w:overflowPunct/>
        <w:topLinePunct w:val="0"/>
        <w:autoSpaceDE/>
        <w:autoSpaceDN/>
        <w:bidi w:val="0"/>
        <w:spacing w:before="100" w:after="100" w:line="640" w:lineRule="exact"/>
        <w:ind w:firstLine="627"/>
        <w:jc w:val="left"/>
        <w:textAlignment w:val="auto"/>
        <w:rPr>
          <w:rFonts w:ascii="宋体" w:hAnsi="宋体" w:eastAsia="宋体" w:cs="宋体"/>
          <w:color w:val="666666"/>
          <w:szCs w:val="21"/>
        </w:rPr>
      </w:pPr>
      <w:r>
        <w:rPr>
          <w:rFonts w:hint="eastAsia" w:ascii="仿宋_GB2312" w:hAnsi="宋体" w:eastAsia="仿宋_GB2312" w:cs="仿宋_GB2312"/>
          <w:color w:val="333333"/>
          <w:kern w:val="0"/>
          <w:sz w:val="32"/>
          <w:szCs w:val="32"/>
          <w:shd w:val="clear" w:color="auto" w:fill="FFFFFF"/>
        </w:rPr>
        <w:t>1、</w:t>
      </w:r>
      <w:r>
        <w:rPr>
          <w:rFonts w:ascii="仿宋_GB2312" w:hAnsi="宋体" w:eastAsia="仿宋_GB2312" w:cs="仿宋_GB2312"/>
          <w:color w:val="333333"/>
          <w:kern w:val="0"/>
          <w:sz w:val="32"/>
          <w:szCs w:val="32"/>
          <w:shd w:val="clear" w:color="auto" w:fill="FFFFFF"/>
        </w:rPr>
        <w:t>收入预算，</w:t>
      </w:r>
      <w:r>
        <w:rPr>
          <w:rFonts w:hint="eastAsia" w:ascii="宋体" w:hAnsi="宋体" w:eastAsia="宋体" w:cs="宋体"/>
          <w:color w:val="333333"/>
          <w:kern w:val="0"/>
          <w:sz w:val="32"/>
          <w:szCs w:val="32"/>
          <w:shd w:val="clear" w:color="auto" w:fill="FFFFFF"/>
        </w:rPr>
        <w:t>202</w:t>
      </w:r>
      <w:r>
        <w:rPr>
          <w:rFonts w:hint="eastAsia" w:ascii="宋体" w:hAnsi="宋体" w:eastAsia="宋体" w:cs="宋体"/>
          <w:color w:val="333333"/>
          <w:kern w:val="0"/>
          <w:sz w:val="32"/>
          <w:szCs w:val="32"/>
          <w:shd w:val="clear" w:color="auto" w:fill="FFFFFF"/>
          <w:lang w:val="en-US" w:eastAsia="zh-CN"/>
        </w:rPr>
        <w:t>2</w:t>
      </w:r>
      <w:r>
        <w:rPr>
          <w:rFonts w:ascii="仿宋_GB2312" w:hAnsi="宋体" w:eastAsia="仿宋_GB2312" w:cs="仿宋_GB2312"/>
          <w:color w:val="333333"/>
          <w:kern w:val="0"/>
          <w:sz w:val="32"/>
          <w:szCs w:val="32"/>
          <w:shd w:val="clear" w:color="auto" w:fill="FFFFFF"/>
        </w:rPr>
        <w:t>年年初预算数</w:t>
      </w:r>
      <w:r>
        <w:rPr>
          <w:rFonts w:ascii="宋体" w:hAnsi="宋体" w:eastAsia="宋体" w:cs="宋体"/>
          <w:color w:val="000000"/>
          <w:sz w:val="32"/>
          <w:szCs w:val="32"/>
        </w:rPr>
        <w:t>259.85</w:t>
      </w:r>
      <w:r>
        <w:rPr>
          <w:rFonts w:ascii="仿宋_GB2312" w:hAnsi="宋体" w:eastAsia="仿宋_GB2312" w:cs="仿宋_GB2312"/>
          <w:color w:val="333333"/>
          <w:kern w:val="0"/>
          <w:sz w:val="32"/>
          <w:szCs w:val="32"/>
          <w:shd w:val="clear" w:color="auto" w:fill="FFFFFF"/>
        </w:rPr>
        <w:t>万元，其中：一般公共预算拨款209.49万元，其他收入50.36万元。</w:t>
      </w:r>
      <w:r>
        <w:rPr>
          <w:rFonts w:hint="eastAsia" w:ascii="宋体" w:hAnsi="宋体" w:eastAsia="宋体" w:cs="宋体"/>
          <w:color w:val="333333"/>
          <w:kern w:val="0"/>
          <w:sz w:val="32"/>
          <w:szCs w:val="32"/>
          <w:shd w:val="clear" w:color="auto" w:fill="FFFFFF"/>
        </w:rPr>
        <w:t>202</w:t>
      </w:r>
      <w:r>
        <w:rPr>
          <w:rFonts w:hint="eastAsia" w:ascii="宋体" w:hAnsi="宋体" w:eastAsia="宋体" w:cs="宋体"/>
          <w:color w:val="333333"/>
          <w:kern w:val="0"/>
          <w:sz w:val="32"/>
          <w:szCs w:val="32"/>
          <w:shd w:val="clear" w:color="auto" w:fill="FFFFFF"/>
          <w:lang w:val="en-US" w:eastAsia="zh-CN"/>
        </w:rPr>
        <w:t>2</w:t>
      </w:r>
      <w:r>
        <w:rPr>
          <w:rFonts w:ascii="仿宋_GB2312" w:hAnsi="宋体" w:eastAsia="仿宋_GB2312" w:cs="仿宋_GB2312"/>
          <w:color w:val="333333"/>
          <w:kern w:val="0"/>
          <w:sz w:val="32"/>
          <w:szCs w:val="32"/>
          <w:shd w:val="clear" w:color="auto" w:fill="FFFFFF"/>
        </w:rPr>
        <w:t>年收入预算较去年减少3.79万元，主要是人员异动，经费减少。</w:t>
      </w:r>
    </w:p>
    <w:p>
      <w:pPr>
        <w:keepNext w:val="0"/>
        <w:keepLines w:val="0"/>
        <w:pageBreakBefore w:val="0"/>
        <w:widowControl/>
        <w:kinsoku/>
        <w:wordWrap/>
        <w:overflowPunct/>
        <w:topLinePunct w:val="0"/>
        <w:autoSpaceDE/>
        <w:autoSpaceDN/>
        <w:bidi w:val="0"/>
        <w:spacing w:before="100" w:after="100" w:line="640" w:lineRule="exact"/>
        <w:ind w:firstLine="627"/>
        <w:jc w:val="left"/>
        <w:textAlignment w:val="auto"/>
        <w:rPr>
          <w:rFonts w:hint="eastAsia" w:ascii="仿宋" w:hAnsi="仿宋" w:eastAsia="仿宋" w:cs="Arial"/>
          <w:color w:val="333333"/>
          <w:sz w:val="32"/>
          <w:szCs w:val="32"/>
        </w:rPr>
      </w:pPr>
      <w:r>
        <w:rPr>
          <w:rFonts w:hint="eastAsia" w:ascii="仿宋_GB2312" w:hAnsi="宋体" w:eastAsia="仿宋_GB2312" w:cs="仿宋_GB2312"/>
          <w:color w:val="333333"/>
          <w:kern w:val="0"/>
          <w:sz w:val="32"/>
          <w:szCs w:val="32"/>
          <w:shd w:val="clear" w:color="auto" w:fill="FFFFFF"/>
        </w:rPr>
        <w:t>2、</w:t>
      </w:r>
      <w:r>
        <w:rPr>
          <w:rFonts w:ascii="仿宋_GB2312" w:hAnsi="宋体" w:eastAsia="仿宋_GB2312" w:cs="仿宋_GB2312"/>
          <w:color w:val="333333"/>
          <w:kern w:val="0"/>
          <w:sz w:val="32"/>
          <w:szCs w:val="32"/>
          <w:shd w:val="clear" w:color="auto" w:fill="FFFFFF"/>
        </w:rPr>
        <w:t>支出预算，</w:t>
      </w:r>
      <w:r>
        <w:rPr>
          <w:rFonts w:hint="eastAsia" w:ascii="宋体" w:hAnsi="宋体" w:eastAsia="宋体" w:cs="宋体"/>
          <w:color w:val="333333"/>
          <w:kern w:val="0"/>
          <w:sz w:val="32"/>
          <w:szCs w:val="32"/>
          <w:shd w:val="clear" w:color="auto" w:fill="FFFFFF"/>
        </w:rPr>
        <w:t>202</w:t>
      </w:r>
      <w:r>
        <w:rPr>
          <w:rFonts w:hint="eastAsia" w:ascii="宋体" w:hAnsi="宋体" w:eastAsia="宋体" w:cs="宋体"/>
          <w:color w:val="333333"/>
          <w:kern w:val="0"/>
          <w:sz w:val="32"/>
          <w:szCs w:val="32"/>
          <w:shd w:val="clear" w:color="auto" w:fill="FFFFFF"/>
          <w:lang w:val="en-US" w:eastAsia="zh-CN"/>
        </w:rPr>
        <w:t>2</w:t>
      </w:r>
      <w:r>
        <w:rPr>
          <w:rFonts w:ascii="仿宋_GB2312" w:hAnsi="宋体" w:eastAsia="仿宋_GB2312" w:cs="仿宋_GB2312"/>
          <w:color w:val="333333"/>
          <w:kern w:val="0"/>
          <w:sz w:val="32"/>
          <w:szCs w:val="32"/>
          <w:shd w:val="clear" w:color="auto" w:fill="FFFFFF"/>
        </w:rPr>
        <w:t>年年初预算数</w:t>
      </w:r>
      <w:r>
        <w:rPr>
          <w:rFonts w:hint="eastAsia" w:ascii="仿宋" w:hAnsi="仿宋" w:eastAsia="仿宋" w:cs="Arial"/>
          <w:color w:val="333333"/>
          <w:sz w:val="32"/>
          <w:szCs w:val="32"/>
        </w:rPr>
        <w:t>259.85</w:t>
      </w:r>
      <w:r>
        <w:rPr>
          <w:rFonts w:ascii="仿宋_GB2312" w:hAnsi="宋体" w:eastAsia="仿宋_GB2312" w:cs="仿宋_GB2312"/>
          <w:color w:val="333333"/>
          <w:kern w:val="0"/>
          <w:sz w:val="32"/>
          <w:szCs w:val="32"/>
          <w:shd w:val="clear" w:color="auto" w:fill="FFFFFF"/>
        </w:rPr>
        <w:t>万元，其中，</w:t>
      </w:r>
      <w:r>
        <w:rPr>
          <w:rFonts w:hint="eastAsia" w:ascii="仿宋" w:hAnsi="仿宋" w:eastAsia="仿宋" w:cs="Arial"/>
          <w:color w:val="333333"/>
          <w:sz w:val="32"/>
          <w:szCs w:val="32"/>
        </w:rPr>
        <w:t>科学技术支出213.27万元，社会保障和就业支出16.47万元，卫生健康支出18.63万元，住房保障支出11.48万元。202</w:t>
      </w:r>
      <w:r>
        <w:rPr>
          <w:rFonts w:hint="eastAsia" w:ascii="仿宋" w:hAnsi="仿宋" w:eastAsia="仿宋" w:cs="Arial"/>
          <w:color w:val="333333"/>
          <w:sz w:val="32"/>
          <w:szCs w:val="32"/>
          <w:lang w:val="en-US" w:eastAsia="zh-CN"/>
        </w:rPr>
        <w:t>2</w:t>
      </w:r>
      <w:r>
        <w:rPr>
          <w:rFonts w:hint="eastAsia" w:ascii="仿宋" w:hAnsi="仿宋" w:eastAsia="仿宋" w:cs="Arial"/>
          <w:color w:val="333333"/>
          <w:sz w:val="32"/>
          <w:szCs w:val="32"/>
        </w:rPr>
        <w:t>年支出预算较去年减少3.79万元，主要是人员异动，支出减少。</w:t>
      </w:r>
    </w:p>
    <w:p>
      <w:pPr>
        <w:keepNext w:val="0"/>
        <w:keepLines w:val="0"/>
        <w:pageBreakBefore w:val="0"/>
        <w:widowControl/>
        <w:kinsoku/>
        <w:wordWrap/>
        <w:overflowPunct/>
        <w:topLinePunct w:val="0"/>
        <w:autoSpaceDE/>
        <w:autoSpaceDN/>
        <w:bidi w:val="0"/>
        <w:spacing w:before="100" w:after="100" w:line="640" w:lineRule="exact"/>
        <w:ind w:firstLine="627"/>
        <w:jc w:val="left"/>
        <w:textAlignment w:val="auto"/>
        <w:rPr>
          <w:rFonts w:hint="eastAsia" w:ascii="仿宋" w:hAnsi="仿宋" w:eastAsia="仿宋" w:cs="Arial"/>
          <w:color w:val="333333"/>
          <w:sz w:val="32"/>
          <w:szCs w:val="32"/>
          <w:lang w:eastAsia="zh-CN"/>
        </w:rPr>
      </w:pPr>
      <w:r>
        <w:rPr>
          <w:rFonts w:hint="eastAsia" w:ascii="仿宋" w:hAnsi="仿宋" w:eastAsia="仿宋" w:cs="Arial"/>
          <w:color w:val="333333"/>
          <w:sz w:val="32"/>
          <w:szCs w:val="32"/>
          <w:lang w:eastAsia="zh-CN"/>
        </w:rPr>
        <w:t>（二）项</w:t>
      </w:r>
      <w:r>
        <w:rPr>
          <w:rFonts w:hint="eastAsia" w:ascii="仿宋" w:hAnsi="仿宋" w:eastAsia="仿宋" w:cs="Arial"/>
          <w:color w:val="333333"/>
          <w:sz w:val="32"/>
          <w:szCs w:val="32"/>
          <w:highlight w:val="none"/>
          <w:lang w:eastAsia="zh-CN"/>
        </w:rPr>
        <w:t>目支出情</w:t>
      </w:r>
      <w:r>
        <w:rPr>
          <w:rFonts w:hint="eastAsia" w:ascii="仿宋" w:hAnsi="仿宋" w:eastAsia="仿宋" w:cs="Arial"/>
          <w:color w:val="333333"/>
          <w:sz w:val="32"/>
          <w:szCs w:val="32"/>
          <w:lang w:eastAsia="zh-CN"/>
        </w:rPr>
        <w:t>况</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firstLineChars="200"/>
        <w:textAlignment w:val="auto"/>
        <w:rPr>
          <w:rFonts w:hint="eastAsia"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2022年年初预算数66万元，是指单位为完成特定行政工作任务或事业发展目标而发生的支出，包括有关事业发展专项、专项业务费、基本建设支出等。其中，按项目管理的商品和服务支出66万元，主要用于</w:t>
      </w:r>
      <w:r>
        <w:rPr>
          <w:rFonts w:hint="eastAsia" w:ascii="仿宋_GB2312" w:hAnsi="宋体" w:eastAsia="仿宋_GB2312" w:cs="仿宋_GB2312"/>
          <w:color w:val="333333"/>
          <w:sz w:val="32"/>
          <w:szCs w:val="32"/>
          <w:shd w:val="clear" w:color="auto" w:fill="FFFFFF"/>
          <w:lang w:eastAsia="zh-CN"/>
        </w:rPr>
        <w:t>科技三项费</w:t>
      </w:r>
      <w:r>
        <w:rPr>
          <w:rFonts w:hint="eastAsia" w:ascii="仿宋_GB2312" w:hAnsi="宋体" w:eastAsia="仿宋_GB2312" w:cs="仿宋_GB2312"/>
          <w:color w:val="333333"/>
          <w:sz w:val="32"/>
          <w:szCs w:val="32"/>
          <w:shd w:val="clear" w:color="auto" w:fill="FFFFFF"/>
        </w:rPr>
        <w:t>、高新与成果转移转化、农业科技等方面。</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hint="default" w:ascii="仿宋_GB2312" w:hAnsi="宋体" w:eastAsia="仿宋_GB2312" w:cs="仿宋_GB2312"/>
          <w:color w:val="333333"/>
          <w:sz w:val="32"/>
          <w:szCs w:val="32"/>
          <w:highlight w:val="yellow"/>
          <w:shd w:val="clear" w:color="auto" w:fill="FFFFFF"/>
          <w:lang w:val="en-US" w:eastAsia="zh-CN"/>
        </w:rPr>
      </w:pPr>
      <w:r>
        <w:rPr>
          <w:rFonts w:hint="eastAsia" w:ascii="仿宋_GB2312" w:hAnsi="宋体" w:eastAsia="仿宋_GB2312" w:cs="仿宋_GB2312"/>
          <w:color w:val="333333"/>
          <w:sz w:val="32"/>
          <w:szCs w:val="32"/>
          <w:highlight w:val="none"/>
          <w:shd w:val="clear" w:color="auto" w:fill="FFFFFF"/>
          <w:lang w:val="en-US" w:eastAsia="zh-CN"/>
        </w:rPr>
        <w:t>2022年项目支出决算数为216.04万元，其中有164万元为区级科技创新奖励，该部分奖励由符合申报条件的企业根据区人民政府办公室印发的《益阳市资阳区科技创新奖励办法》（益资政办发[2019]8号）于每年11-12月申报，次年1-3月经区委、区政府批示后发放。该奖励从区政府专项设立的科技创新奖励基金中支付，因此不纳入我局预算。该奖励资金之前由财政局直接支付致获奖企业账户，后财政局于2022年开始将奖励资金拨付至我局，再由我局拨付至获奖企业，由此导致项目支出的预算数与决算数差异较大。</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hint="eastAsia" w:ascii="仿宋_GB2312" w:hAnsi="宋体" w:eastAsia="仿宋_GB2312" w:cs="仿宋_GB2312"/>
          <w:color w:val="333333"/>
          <w:sz w:val="32"/>
          <w:szCs w:val="32"/>
          <w:shd w:val="clear" w:color="auto" w:fill="FFFFFF"/>
          <w:lang w:eastAsia="zh-CN"/>
        </w:rPr>
      </w:pPr>
      <w:r>
        <w:rPr>
          <w:rFonts w:hint="eastAsia" w:ascii="仿宋_GB2312" w:hAnsi="宋体" w:eastAsia="仿宋_GB2312" w:cs="仿宋_GB2312"/>
          <w:color w:val="333333"/>
          <w:sz w:val="32"/>
          <w:szCs w:val="32"/>
          <w:shd w:val="clear" w:color="auto" w:fill="FFFFFF"/>
          <w:lang w:eastAsia="zh-CN"/>
        </w:rPr>
        <w:t>（三）本单位无政府性基金、无国有资本经营、无社会保险基金。</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lang w:eastAsia="zh-CN"/>
        </w:rPr>
        <w:t>三</w:t>
      </w:r>
      <w:r>
        <w:rPr>
          <w:rFonts w:hint="eastAsia" w:ascii="仿宋_GB2312" w:hAnsi="宋体" w:eastAsia="仿宋_GB2312" w:cs="仿宋_GB2312"/>
          <w:color w:val="333333"/>
          <w:sz w:val="32"/>
          <w:szCs w:val="32"/>
          <w:shd w:val="clear" w:color="auto" w:fill="FFFFFF"/>
        </w:rPr>
        <w:t>、绩效评价工作情况</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 xml:space="preserve">（一）绩效评价目的。进一步规范财政资金管理，牢固树立预算绩效理念，强化部门支出责任，提高财政资金使用效益。 </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二）绩效评价实施过程。根据资阳区财政局相关通知要求，我局成立了绩效评价工作小组负责本部门绩效自评工作的组织领导和具体实施，明确了工作职责和分工。对评价过程中收集到的资料进行归纳汇总、查验核实，确保资料真实可信、准确无误。按照确定的评价指标、标准和方法进行自评，形成了自评结论。</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hint="eastAsia" w:ascii="仿宋_GB2312" w:hAnsi="宋体" w:eastAsia="仿宋_GB2312" w:cs="仿宋_GB2312"/>
          <w:color w:val="333333"/>
          <w:sz w:val="32"/>
          <w:szCs w:val="32"/>
          <w:shd w:val="clear" w:color="auto" w:fill="FFFFFF"/>
          <w:lang w:eastAsia="zh-CN"/>
        </w:rPr>
      </w:pPr>
      <w:r>
        <w:rPr>
          <w:rFonts w:hint="eastAsia" w:ascii="仿宋_GB2312" w:hAnsi="宋体" w:eastAsia="仿宋_GB2312" w:cs="仿宋_GB2312"/>
          <w:color w:val="333333"/>
          <w:sz w:val="32"/>
          <w:szCs w:val="32"/>
          <w:shd w:val="clear" w:color="auto" w:fill="FFFFFF"/>
          <w:lang w:eastAsia="zh-CN"/>
        </w:rPr>
        <w:t>四</w:t>
      </w:r>
      <w:r>
        <w:rPr>
          <w:rFonts w:hint="eastAsia" w:ascii="仿宋_GB2312" w:hAnsi="宋体" w:eastAsia="仿宋_GB2312" w:cs="仿宋_GB2312"/>
          <w:color w:val="333333"/>
          <w:sz w:val="32"/>
          <w:szCs w:val="32"/>
          <w:shd w:val="clear" w:color="auto" w:fill="FFFFFF"/>
        </w:rPr>
        <w:t>、部门整体支出主要绩效</w:t>
      </w:r>
      <w:r>
        <w:rPr>
          <w:rFonts w:hint="eastAsia" w:ascii="仿宋_GB2312" w:hAnsi="宋体" w:eastAsia="仿宋_GB2312" w:cs="仿宋_GB2312"/>
          <w:color w:val="333333"/>
          <w:sz w:val="32"/>
          <w:szCs w:val="32"/>
          <w:shd w:val="clear" w:color="auto" w:fill="FFFFFF"/>
          <w:lang w:eastAsia="zh-CN"/>
        </w:rPr>
        <w:t>情况</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 xml:space="preserve"> 202</w:t>
      </w:r>
      <w:r>
        <w:rPr>
          <w:rFonts w:hint="eastAsia" w:ascii="仿宋_GB2312" w:hAnsi="宋体" w:eastAsia="仿宋_GB2312" w:cs="仿宋_GB2312"/>
          <w:color w:val="333333"/>
          <w:sz w:val="32"/>
          <w:szCs w:val="32"/>
          <w:shd w:val="clear" w:color="auto" w:fill="FFFFFF"/>
          <w:lang w:val="en-US" w:eastAsia="zh-CN"/>
        </w:rPr>
        <w:t>2</w:t>
      </w:r>
      <w:r>
        <w:rPr>
          <w:rFonts w:hint="eastAsia" w:ascii="仿宋_GB2312" w:hAnsi="宋体" w:eastAsia="仿宋_GB2312" w:cs="仿宋_GB2312"/>
          <w:color w:val="333333"/>
          <w:sz w:val="32"/>
          <w:szCs w:val="32"/>
          <w:shd w:val="clear" w:color="auto" w:fill="FFFFFF"/>
        </w:rPr>
        <w:t xml:space="preserve">年，区科技局坚定不移地推进科技改革创新，不断加快科技创新步伐，努力推动全区经济走上创新驱动、内生增长的发展轨道。 </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rPr>
          <w:rFonts w:ascii="楷体" w:hAnsi="楷体" w:eastAsia="楷体" w:cs="楷体"/>
          <w:bCs/>
          <w:sz w:val="32"/>
          <w:szCs w:val="32"/>
          <w:lang w:val="zh-CN"/>
        </w:rPr>
      </w:pPr>
      <w:r>
        <w:rPr>
          <w:rFonts w:hint="eastAsia" w:ascii="楷体" w:hAnsi="楷体" w:eastAsia="楷体" w:cs="楷体"/>
          <w:bCs/>
          <w:sz w:val="32"/>
          <w:szCs w:val="32"/>
          <w:lang w:val="zh-CN"/>
        </w:rPr>
        <w:t>1、</w:t>
      </w:r>
      <w:r>
        <w:rPr>
          <w:rFonts w:hint="eastAsia" w:ascii="楷体" w:hAnsi="楷体" w:eastAsia="楷体" w:cs="楷体"/>
          <w:bCs/>
          <w:sz w:val="32"/>
          <w:szCs w:val="32"/>
        </w:rPr>
        <w:t>创新环境持续优化</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rPr>
          <w:rFonts w:ascii="仿宋" w:hAnsi="仿宋" w:eastAsia="仿宋" w:cs="仿宋"/>
          <w:sz w:val="32"/>
          <w:szCs w:val="32"/>
        </w:rPr>
      </w:pPr>
      <w:r>
        <w:rPr>
          <w:rFonts w:hint="eastAsia" w:ascii="仿宋_GB2312" w:hAnsi="Calibri" w:eastAsia="仿宋_GB2312" w:cs="Times New Roman"/>
          <w:sz w:val="32"/>
          <w:szCs w:val="32"/>
        </w:rPr>
        <w:t>一是科技创新奖补全力争取。帮助科技企业争取科技创新奖励补助</w:t>
      </w:r>
      <w:r>
        <w:rPr>
          <w:rFonts w:hint="eastAsia" w:ascii="仿宋_GB2312" w:hAnsi="Calibri" w:eastAsia="仿宋_GB2312" w:cs="Times New Roman"/>
          <w:sz w:val="32"/>
          <w:szCs w:val="32"/>
          <w:highlight w:val="none"/>
        </w:rPr>
        <w:t>，</w:t>
      </w:r>
      <w:r>
        <w:rPr>
          <w:rFonts w:hint="eastAsia" w:ascii="仿宋_GB2312" w:hAnsi="Calibri" w:eastAsia="仿宋_GB2312" w:cs="Times New Roman"/>
          <w:sz w:val="32"/>
          <w:szCs w:val="32"/>
          <w:highlight w:val="none"/>
          <w:lang w:val="en-US" w:eastAsia="zh-CN"/>
        </w:rPr>
        <w:t>23</w:t>
      </w:r>
      <w:r>
        <w:rPr>
          <w:rFonts w:hint="eastAsia" w:ascii="仿宋_GB2312" w:hAnsi="Calibri" w:eastAsia="仿宋_GB2312" w:cs="Times New Roman"/>
          <w:sz w:val="32"/>
          <w:szCs w:val="32"/>
          <w:highlight w:val="none"/>
        </w:rPr>
        <w:t>家</w:t>
      </w:r>
      <w:r>
        <w:rPr>
          <w:rFonts w:hint="eastAsia" w:ascii="仿宋_GB2312" w:hAnsi="Calibri" w:eastAsia="仿宋_GB2312" w:cs="Times New Roman"/>
          <w:sz w:val="32"/>
          <w:szCs w:val="32"/>
        </w:rPr>
        <w:t>企业</w:t>
      </w:r>
      <w:r>
        <w:rPr>
          <w:rFonts w:hint="eastAsia" w:ascii="仿宋_GB2312" w:hAnsi="Calibri" w:eastAsia="仿宋_GB2312" w:cs="Times New Roman"/>
          <w:sz w:val="32"/>
          <w:szCs w:val="32"/>
          <w:lang w:eastAsia="zh-CN"/>
        </w:rPr>
        <w:t>完成了研发准备金备案</w:t>
      </w:r>
      <w:r>
        <w:rPr>
          <w:rFonts w:hint="eastAsia" w:ascii="仿宋_GB2312" w:hAnsi="Calibri" w:eastAsia="仿宋_GB2312" w:cs="Times New Roman"/>
          <w:sz w:val="32"/>
          <w:szCs w:val="32"/>
        </w:rPr>
        <w:t>，</w:t>
      </w:r>
      <w:r>
        <w:rPr>
          <w:rFonts w:hint="eastAsia" w:ascii="仿宋_GB2312" w:hAnsi="Calibri" w:eastAsia="仿宋_GB2312" w:cs="Times New Roman"/>
          <w:sz w:val="32"/>
          <w:szCs w:val="32"/>
          <w:lang w:eastAsia="zh-CN"/>
        </w:rPr>
        <w:t>有</w:t>
      </w:r>
      <w:r>
        <w:rPr>
          <w:rFonts w:hint="eastAsia" w:ascii="仿宋_GB2312" w:hAnsi="Calibri" w:eastAsia="仿宋_GB2312" w:cs="Times New Roman"/>
          <w:sz w:val="32"/>
          <w:szCs w:val="32"/>
          <w:lang w:val="en-US" w:eastAsia="zh-CN"/>
        </w:rPr>
        <w:t>14家企业</w:t>
      </w:r>
      <w:r>
        <w:rPr>
          <w:rFonts w:hint="eastAsia" w:ascii="仿宋_GB2312" w:hAnsi="Calibri" w:eastAsia="仿宋_GB2312" w:cs="Times New Roman"/>
          <w:sz w:val="32"/>
          <w:szCs w:val="32"/>
        </w:rPr>
        <w:t>获得奖补资金</w:t>
      </w:r>
      <w:r>
        <w:rPr>
          <w:rFonts w:hint="eastAsia" w:ascii="仿宋_GB2312" w:hAnsi="Calibri" w:eastAsia="仿宋_GB2312" w:cs="Times New Roman"/>
          <w:sz w:val="32"/>
          <w:szCs w:val="32"/>
          <w:lang w:eastAsia="zh-CN"/>
        </w:rPr>
        <w:t>共计</w:t>
      </w:r>
      <w:r>
        <w:rPr>
          <w:rFonts w:hint="eastAsia" w:ascii="仿宋_GB2312" w:hAnsi="Calibri" w:eastAsia="仿宋_GB2312" w:cs="Times New Roman"/>
          <w:sz w:val="32"/>
          <w:szCs w:val="32"/>
          <w:lang w:val="en-US" w:eastAsia="zh-CN"/>
        </w:rPr>
        <w:t>1248.83</w:t>
      </w:r>
      <w:r>
        <w:rPr>
          <w:rFonts w:hint="eastAsia" w:ascii="仿宋_GB2312" w:hAnsi="Calibri" w:eastAsia="仿宋_GB2312" w:cs="Times New Roman"/>
          <w:sz w:val="32"/>
          <w:szCs w:val="32"/>
        </w:rPr>
        <w:t>万元，占益阳市研发奖补资金的</w:t>
      </w:r>
      <w:r>
        <w:rPr>
          <w:rFonts w:hint="eastAsia" w:ascii="仿宋_GB2312" w:hAnsi="Calibri" w:eastAsia="仿宋_GB2312" w:cs="Times New Roman"/>
          <w:sz w:val="32"/>
          <w:szCs w:val="32"/>
          <w:highlight w:val="none"/>
          <w:lang w:val="en-US" w:eastAsia="zh-CN"/>
        </w:rPr>
        <w:t>40</w:t>
      </w:r>
      <w:r>
        <w:rPr>
          <w:rFonts w:hint="eastAsia" w:ascii="仿宋_GB2312" w:hAnsi="Calibri" w:eastAsia="仿宋_GB2312" w:cs="Times New Roman"/>
          <w:sz w:val="32"/>
          <w:szCs w:val="32"/>
          <w:highlight w:val="none"/>
        </w:rPr>
        <w:t>%</w:t>
      </w:r>
      <w:r>
        <w:rPr>
          <w:rFonts w:hint="eastAsia" w:ascii="仿宋_GB2312" w:hAnsi="Calibri" w:eastAsia="仿宋_GB2312" w:cs="Times New Roman"/>
          <w:sz w:val="32"/>
          <w:szCs w:val="32"/>
        </w:rPr>
        <w:t>，</w:t>
      </w:r>
      <w:r>
        <w:rPr>
          <w:rFonts w:hint="eastAsia" w:ascii="仿宋_GB2312" w:hAnsi="Calibri" w:eastAsia="仿宋_GB2312" w:cs="Times New Roman"/>
          <w:sz w:val="32"/>
          <w:szCs w:val="32"/>
          <w:lang w:eastAsia="zh-CN"/>
        </w:rPr>
        <w:t>居全市第二，</w:t>
      </w:r>
      <w:r>
        <w:rPr>
          <w:rFonts w:hint="eastAsia" w:ascii="仿宋_GB2312" w:hAnsi="Calibri" w:eastAsia="仿宋_GB2312" w:cs="Times New Roman"/>
          <w:sz w:val="32"/>
          <w:szCs w:val="32"/>
        </w:rPr>
        <w:t>其中奥士康获得奖补资金</w:t>
      </w:r>
      <w:r>
        <w:rPr>
          <w:rFonts w:hint="eastAsia" w:ascii="仿宋_GB2312" w:hAnsi="Calibri" w:eastAsia="仿宋_GB2312" w:cs="Times New Roman"/>
          <w:sz w:val="32"/>
          <w:szCs w:val="32"/>
          <w:lang w:val="en-US" w:eastAsia="zh-CN"/>
        </w:rPr>
        <w:t>519.74</w:t>
      </w:r>
      <w:r>
        <w:rPr>
          <w:rFonts w:hint="eastAsia" w:ascii="仿宋_GB2312" w:hAnsi="Calibri" w:eastAsia="仿宋_GB2312" w:cs="Times New Roman"/>
          <w:sz w:val="32"/>
          <w:szCs w:val="32"/>
        </w:rPr>
        <w:t>万元，</w:t>
      </w:r>
      <w:r>
        <w:rPr>
          <w:rFonts w:hint="eastAsia" w:ascii="仿宋_GB2312" w:hAnsi="Calibri" w:eastAsia="仿宋_GB2312" w:cs="Times New Roman"/>
          <w:sz w:val="32"/>
          <w:szCs w:val="32"/>
          <w:highlight w:val="none"/>
        </w:rPr>
        <w:t>是全市获得奖补资金</w:t>
      </w:r>
      <w:r>
        <w:rPr>
          <w:rFonts w:hint="eastAsia" w:ascii="仿宋_GB2312" w:hAnsi="Calibri" w:eastAsia="仿宋_GB2312" w:cs="Times New Roman"/>
          <w:sz w:val="32"/>
          <w:szCs w:val="32"/>
          <w:highlight w:val="none"/>
          <w:lang w:eastAsia="zh-CN"/>
        </w:rPr>
        <w:t>第二</w:t>
      </w:r>
      <w:r>
        <w:rPr>
          <w:rFonts w:hint="eastAsia" w:ascii="仿宋_GB2312" w:hAnsi="Calibri" w:eastAsia="仿宋_GB2312" w:cs="Times New Roman"/>
          <w:sz w:val="32"/>
          <w:szCs w:val="32"/>
          <w:highlight w:val="none"/>
        </w:rPr>
        <w:t>的企业</w:t>
      </w:r>
      <w:r>
        <w:rPr>
          <w:rFonts w:hint="eastAsia" w:ascii="仿宋_GB2312" w:hAnsi="Calibri" w:eastAsia="仿宋_GB2312" w:cs="Times New Roman"/>
          <w:sz w:val="32"/>
          <w:szCs w:val="32"/>
        </w:rPr>
        <w:t>。协助明正宏等15家企业申报市级奖励性后补助经费</w:t>
      </w:r>
      <w:r>
        <w:rPr>
          <w:rFonts w:ascii="仿宋_GB2312" w:hAnsi="Calibri" w:eastAsia="仿宋_GB2312" w:cs="Times New Roman"/>
          <w:sz w:val="32"/>
          <w:szCs w:val="32"/>
        </w:rPr>
        <w:t>155</w:t>
      </w:r>
      <w:r>
        <w:rPr>
          <w:rFonts w:hint="eastAsia" w:ascii="仿宋_GB2312" w:hAnsi="Calibri" w:eastAsia="仿宋_GB2312" w:cs="Times New Roman"/>
          <w:sz w:val="32"/>
          <w:szCs w:val="32"/>
        </w:rPr>
        <w:t>万元。二是创新创业大赛再创佳绩。全区</w:t>
      </w:r>
      <w:r>
        <w:rPr>
          <w:rFonts w:hint="eastAsia" w:ascii="仿宋_GB2312" w:hAnsi="Calibri" w:eastAsia="仿宋_GB2312" w:cs="Times New Roman"/>
          <w:sz w:val="32"/>
          <w:szCs w:val="32"/>
          <w:highlight w:val="none"/>
          <w:lang w:val="en-US" w:eastAsia="zh-CN"/>
        </w:rPr>
        <w:t>4</w:t>
      </w:r>
      <w:r>
        <w:rPr>
          <w:rFonts w:hint="eastAsia" w:ascii="仿宋_GB2312" w:hAnsi="Calibri" w:eastAsia="仿宋_GB2312" w:cs="Times New Roman"/>
          <w:sz w:val="32"/>
          <w:szCs w:val="32"/>
          <w:highlight w:val="none"/>
        </w:rPr>
        <w:t>家企业</w:t>
      </w:r>
      <w:r>
        <w:rPr>
          <w:rFonts w:hint="eastAsia" w:ascii="仿宋_GB2312" w:hAnsi="Calibri" w:eastAsia="仿宋_GB2312" w:cs="Times New Roman"/>
          <w:sz w:val="32"/>
          <w:szCs w:val="32"/>
        </w:rPr>
        <w:t>入围省创新创业大赛，其中</w:t>
      </w:r>
      <w:r>
        <w:rPr>
          <w:rFonts w:hint="eastAsia" w:ascii="仿宋_GB2312" w:hAnsi="Calibri" w:eastAsia="仿宋_GB2312" w:cs="Times New Roman"/>
          <w:sz w:val="32"/>
          <w:szCs w:val="32"/>
          <w:lang w:eastAsia="zh-CN"/>
        </w:rPr>
        <w:t>宇星碳素</w:t>
      </w:r>
      <w:r>
        <w:rPr>
          <w:rFonts w:hint="eastAsia" w:ascii="仿宋_GB2312" w:hAnsi="Calibri" w:eastAsia="仿宋_GB2312" w:cs="Times New Roman"/>
          <w:sz w:val="32"/>
          <w:szCs w:val="32"/>
        </w:rPr>
        <w:t>获得省赛优秀奖。三是科技平台建设力度加大。积极组织生力材料、富佳科技、明正宏、银鱼农业申报省级工程技术研究中心，其中生力材料的湖南省锑基先进材料工程技术研究中心已</w:t>
      </w:r>
      <w:r>
        <w:rPr>
          <w:rFonts w:hint="eastAsia" w:ascii="仿宋_GB2312" w:hAnsi="Calibri" w:eastAsia="仿宋_GB2312" w:cs="Times New Roman"/>
          <w:sz w:val="32"/>
          <w:szCs w:val="32"/>
          <w:lang w:eastAsia="zh-CN"/>
        </w:rPr>
        <w:t>通过公示</w:t>
      </w:r>
      <w:r>
        <w:rPr>
          <w:rFonts w:hint="eastAsia" w:ascii="仿宋_GB2312" w:hAnsi="Calibri" w:eastAsia="仿宋_GB2312" w:cs="Times New Roman"/>
          <w:sz w:val="32"/>
          <w:szCs w:val="32"/>
        </w:rPr>
        <w:t>。</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rPr>
          <w:rFonts w:ascii="楷体" w:hAnsi="楷体" w:eastAsia="楷体" w:cs="楷体"/>
          <w:bCs/>
          <w:sz w:val="32"/>
          <w:szCs w:val="32"/>
          <w:lang w:val="zh-CN"/>
        </w:rPr>
      </w:pPr>
      <w:r>
        <w:rPr>
          <w:rFonts w:hint="eastAsia" w:ascii="仿宋_GB2312" w:hAnsi="仿宋_GB2312" w:eastAsia="仿宋_GB2312" w:cs="仿宋_GB2312"/>
          <w:kern w:val="0"/>
          <w:sz w:val="32"/>
          <w:szCs w:val="32"/>
        </w:rPr>
        <w:t>2、</w:t>
      </w:r>
      <w:r>
        <w:rPr>
          <w:rFonts w:hint="eastAsia" w:ascii="楷体" w:hAnsi="楷体" w:eastAsia="楷体" w:cs="楷体"/>
          <w:bCs/>
          <w:sz w:val="32"/>
          <w:szCs w:val="32"/>
        </w:rPr>
        <w:t>创新能力明显提升</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rPr>
          <w:rFonts w:ascii="仿宋" w:hAnsi="仿宋" w:eastAsia="仿宋" w:cs="仿宋"/>
          <w:sz w:val="32"/>
          <w:szCs w:val="32"/>
        </w:rPr>
      </w:pPr>
      <w:r>
        <w:rPr>
          <w:rFonts w:hint="eastAsia" w:ascii="仿宋" w:hAnsi="仿宋" w:eastAsia="仿宋" w:cs="仿宋"/>
          <w:sz w:val="32"/>
          <w:szCs w:val="32"/>
        </w:rPr>
        <w:t>一是狠抓高企培育。大力宣传发动，有序申报高新技术企业，全年</w:t>
      </w:r>
      <w:r>
        <w:rPr>
          <w:rFonts w:hint="eastAsia" w:ascii="仿宋" w:hAnsi="仿宋" w:eastAsia="仿宋" w:cs="仿宋"/>
          <w:sz w:val="32"/>
          <w:szCs w:val="32"/>
          <w:lang w:eastAsia="zh-CN"/>
        </w:rPr>
        <w:t>组织</w:t>
      </w:r>
      <w:r>
        <w:rPr>
          <w:rFonts w:hint="eastAsia" w:ascii="仿宋" w:hAnsi="仿宋" w:eastAsia="仿宋" w:cs="仿宋"/>
          <w:sz w:val="32"/>
          <w:szCs w:val="32"/>
          <w:lang w:val="en-US" w:eastAsia="zh-CN"/>
        </w:rPr>
        <w:t>32家企业申报高新技术企业，最终通过26家，其中新认定21家，复审5</w:t>
      </w:r>
      <w:r>
        <w:rPr>
          <w:rFonts w:hint="eastAsia" w:ascii="仿宋" w:hAnsi="仿宋" w:eastAsia="仿宋" w:cs="仿宋"/>
          <w:sz w:val="32"/>
          <w:szCs w:val="32"/>
        </w:rPr>
        <w:t>家</w:t>
      </w:r>
      <w:r>
        <w:rPr>
          <w:rFonts w:hint="eastAsia" w:ascii="仿宋" w:hAnsi="仿宋" w:eastAsia="仿宋" w:cs="仿宋"/>
          <w:sz w:val="32"/>
          <w:szCs w:val="32"/>
          <w:lang w:eastAsia="zh-CN"/>
        </w:rPr>
        <w:t>，高新技术企业数量同比增长率为</w:t>
      </w:r>
      <w:r>
        <w:rPr>
          <w:rFonts w:hint="eastAsia" w:ascii="仿宋" w:hAnsi="仿宋" w:eastAsia="仿宋" w:cs="仿宋"/>
          <w:sz w:val="32"/>
          <w:szCs w:val="32"/>
          <w:lang w:val="en-US" w:eastAsia="zh-CN"/>
        </w:rPr>
        <w:t>30.19%</w:t>
      </w:r>
      <w:r>
        <w:rPr>
          <w:rFonts w:hint="eastAsia" w:ascii="仿宋" w:hAnsi="仿宋" w:eastAsia="仿宋" w:cs="仿宋"/>
          <w:sz w:val="32"/>
          <w:szCs w:val="32"/>
        </w:rPr>
        <w:t>；高新技术企业数量与规模以上工业企业数量比例为</w:t>
      </w:r>
      <w:r>
        <w:rPr>
          <w:rFonts w:hint="eastAsia" w:ascii="仿宋" w:hAnsi="仿宋" w:eastAsia="仿宋" w:cs="仿宋"/>
          <w:color w:val="000000"/>
          <w:sz w:val="32"/>
          <w:szCs w:val="32"/>
          <w:lang w:val="en-US" w:eastAsia="zh-CN"/>
        </w:rPr>
        <w:t>43.13</w:t>
      </w:r>
      <w:r>
        <w:rPr>
          <w:rFonts w:hint="eastAsia" w:ascii="仿宋" w:hAnsi="仿宋" w:eastAsia="仿宋" w:cs="仿宋"/>
          <w:color w:val="000000"/>
          <w:sz w:val="32"/>
          <w:szCs w:val="32"/>
        </w:rPr>
        <w:t>%</w:t>
      </w:r>
      <w:r>
        <w:rPr>
          <w:rFonts w:hint="eastAsia" w:ascii="仿宋" w:hAnsi="仿宋" w:eastAsia="仿宋" w:cs="仿宋"/>
          <w:color w:val="000000"/>
          <w:sz w:val="32"/>
          <w:szCs w:val="32"/>
          <w:lang w:eastAsia="zh-CN"/>
        </w:rPr>
        <w:t>，居全市第二</w:t>
      </w:r>
      <w:r>
        <w:rPr>
          <w:rFonts w:hint="eastAsia" w:ascii="仿宋" w:hAnsi="仿宋" w:eastAsia="仿宋" w:cs="仿宋"/>
          <w:sz w:val="32"/>
          <w:szCs w:val="32"/>
        </w:rPr>
        <w:t>；高新技术产业增值占GDP的比重为</w:t>
      </w:r>
      <w:r>
        <w:rPr>
          <w:rFonts w:hint="eastAsia" w:ascii="仿宋" w:hAnsi="仿宋" w:eastAsia="仿宋" w:cs="仿宋"/>
          <w:sz w:val="32"/>
          <w:szCs w:val="32"/>
          <w:lang w:val="en-US" w:eastAsia="zh-CN"/>
        </w:rPr>
        <w:t>33.1</w:t>
      </w:r>
      <w:r>
        <w:rPr>
          <w:rFonts w:hint="eastAsia" w:ascii="仿宋" w:hAnsi="仿宋" w:eastAsia="仿宋" w:cs="仿宋"/>
          <w:sz w:val="32"/>
          <w:szCs w:val="32"/>
        </w:rPr>
        <w:t>%</w:t>
      </w:r>
      <w:r>
        <w:rPr>
          <w:rFonts w:hint="eastAsia" w:ascii="仿宋" w:hAnsi="仿宋" w:eastAsia="仿宋" w:cs="仿宋"/>
          <w:sz w:val="32"/>
          <w:szCs w:val="32"/>
          <w:lang w:eastAsia="zh-CN"/>
        </w:rPr>
        <w:t>，居全市第二</w:t>
      </w:r>
      <w:r>
        <w:rPr>
          <w:rFonts w:hint="eastAsia" w:ascii="仿宋" w:hAnsi="仿宋" w:eastAsia="仿宋" w:cs="仿宋"/>
          <w:sz w:val="32"/>
          <w:szCs w:val="32"/>
        </w:rPr>
        <w:t>；同时壮大“后备力量”，</w:t>
      </w:r>
      <w:r>
        <w:rPr>
          <w:rFonts w:hint="eastAsia" w:ascii="仿宋" w:hAnsi="仿宋" w:eastAsia="仿宋" w:cs="仿宋"/>
          <w:sz w:val="32"/>
          <w:szCs w:val="32"/>
          <w:shd w:val="clear" w:color="auto" w:fill="FFFFFF"/>
        </w:rPr>
        <w:t>共完成科技型中小企业入库</w:t>
      </w:r>
      <w:r>
        <w:rPr>
          <w:rFonts w:hint="eastAsia" w:ascii="仿宋" w:hAnsi="仿宋" w:eastAsia="仿宋" w:cs="仿宋"/>
          <w:sz w:val="32"/>
          <w:szCs w:val="32"/>
          <w:shd w:val="clear" w:color="auto" w:fill="FFFFFF"/>
          <w:lang w:val="en-US" w:eastAsia="zh-CN"/>
        </w:rPr>
        <w:t>266</w:t>
      </w:r>
      <w:r>
        <w:rPr>
          <w:rFonts w:hint="eastAsia" w:ascii="仿宋" w:hAnsi="仿宋" w:eastAsia="仿宋" w:cs="仿宋"/>
          <w:sz w:val="32"/>
          <w:szCs w:val="32"/>
          <w:shd w:val="clear" w:color="auto" w:fill="FFFFFF"/>
        </w:rPr>
        <w:t>家，较去年同期增长了</w:t>
      </w:r>
      <w:r>
        <w:rPr>
          <w:rFonts w:hint="eastAsia" w:ascii="仿宋" w:hAnsi="仿宋" w:eastAsia="仿宋" w:cs="仿宋"/>
          <w:sz w:val="32"/>
          <w:szCs w:val="32"/>
          <w:shd w:val="clear" w:color="auto" w:fill="FFFFFF"/>
          <w:lang w:val="en-US" w:eastAsia="zh-CN"/>
        </w:rPr>
        <w:t>28</w:t>
      </w:r>
      <w:r>
        <w:rPr>
          <w:rFonts w:hint="eastAsia" w:ascii="仿宋" w:hAnsi="仿宋" w:eastAsia="仿宋" w:cs="仿宋"/>
          <w:sz w:val="32"/>
          <w:szCs w:val="32"/>
          <w:shd w:val="clear" w:color="auto" w:fill="FFFFFF"/>
        </w:rPr>
        <w:t>0%，备案企业数量创历年新高</w:t>
      </w:r>
      <w:r>
        <w:rPr>
          <w:rFonts w:hint="eastAsia" w:ascii="仿宋" w:hAnsi="仿宋" w:eastAsia="仿宋" w:cs="仿宋"/>
          <w:sz w:val="32"/>
          <w:szCs w:val="32"/>
          <w:shd w:val="clear" w:color="auto" w:fill="FFFFFF"/>
          <w:lang w:eastAsia="zh-CN"/>
        </w:rPr>
        <w:t>，居全市第一</w:t>
      </w:r>
      <w:r>
        <w:rPr>
          <w:rFonts w:hint="eastAsia" w:ascii="仿宋" w:hAnsi="仿宋" w:eastAsia="仿宋" w:cs="仿宋"/>
          <w:sz w:val="32"/>
          <w:szCs w:val="32"/>
          <w:shd w:val="clear" w:color="auto" w:fill="FFFFFF"/>
        </w:rPr>
        <w:t>。二是狠抓研发投入。</w:t>
      </w:r>
      <w:r>
        <w:rPr>
          <w:rFonts w:hint="eastAsia" w:ascii="仿宋" w:hAnsi="仿宋" w:eastAsia="仿宋" w:cs="仿宋"/>
          <w:sz w:val="32"/>
          <w:szCs w:val="32"/>
        </w:rPr>
        <w:t>全年实现地方财政科技支出</w:t>
      </w:r>
      <w:r>
        <w:rPr>
          <w:rFonts w:hint="eastAsia" w:ascii="仿宋" w:hAnsi="仿宋" w:eastAsia="仿宋" w:cs="仿宋"/>
          <w:sz w:val="32"/>
          <w:szCs w:val="32"/>
          <w:lang w:val="en-US" w:eastAsia="zh-CN"/>
        </w:rPr>
        <w:t>8772</w:t>
      </w:r>
      <w:r>
        <w:rPr>
          <w:rFonts w:hint="eastAsia" w:ascii="仿宋" w:hAnsi="仿宋" w:eastAsia="仿宋" w:cs="仿宋"/>
          <w:sz w:val="32"/>
          <w:szCs w:val="32"/>
        </w:rPr>
        <w:t>万元，占地方财政支出的比重为</w:t>
      </w:r>
      <w:r>
        <w:rPr>
          <w:rFonts w:hint="eastAsia" w:ascii="仿宋" w:hAnsi="仿宋" w:eastAsia="仿宋" w:cs="仿宋"/>
          <w:sz w:val="32"/>
          <w:szCs w:val="32"/>
          <w:lang w:val="en-US" w:eastAsia="zh-CN"/>
        </w:rPr>
        <w:t>3.01</w:t>
      </w:r>
      <w:r>
        <w:rPr>
          <w:rFonts w:hint="eastAsia" w:ascii="仿宋" w:hAnsi="仿宋" w:eastAsia="仿宋" w:cs="仿宋"/>
          <w:sz w:val="32"/>
          <w:szCs w:val="32"/>
        </w:rPr>
        <w:t>%</w:t>
      </w:r>
      <w:r>
        <w:rPr>
          <w:rFonts w:hint="eastAsia" w:ascii="仿宋" w:hAnsi="仿宋" w:eastAsia="仿宋" w:cs="仿宋"/>
          <w:sz w:val="32"/>
          <w:szCs w:val="32"/>
          <w:lang w:eastAsia="zh-CN"/>
        </w:rPr>
        <w:t>，居全市第三</w:t>
      </w:r>
      <w:r>
        <w:rPr>
          <w:rFonts w:hint="eastAsia" w:ascii="仿宋" w:hAnsi="仿宋" w:eastAsia="仿宋" w:cs="仿宋"/>
          <w:sz w:val="32"/>
          <w:szCs w:val="32"/>
        </w:rPr>
        <w:t>；企业加大研发，全年实现研发投入</w:t>
      </w:r>
      <w:r>
        <w:rPr>
          <w:rFonts w:hint="eastAsia" w:ascii="仿宋" w:hAnsi="仿宋" w:eastAsia="仿宋" w:cs="仿宋"/>
          <w:sz w:val="32"/>
          <w:szCs w:val="32"/>
          <w:lang w:val="en-US" w:eastAsia="zh-CN"/>
        </w:rPr>
        <w:t>5.8亿元，</w:t>
      </w:r>
      <w:r>
        <w:rPr>
          <w:rFonts w:hint="eastAsia" w:ascii="仿宋" w:hAnsi="仿宋" w:eastAsia="仿宋" w:cs="仿宋"/>
          <w:sz w:val="32"/>
          <w:szCs w:val="32"/>
        </w:rPr>
        <w:t>占地区生产总值比重为</w:t>
      </w:r>
      <w:r>
        <w:rPr>
          <w:rFonts w:hint="eastAsia" w:ascii="仿宋" w:hAnsi="仿宋" w:eastAsia="仿宋" w:cs="仿宋"/>
          <w:sz w:val="32"/>
          <w:szCs w:val="32"/>
          <w:lang w:val="en-US" w:eastAsia="zh-CN"/>
        </w:rPr>
        <w:t>2.74</w:t>
      </w:r>
      <w:r>
        <w:rPr>
          <w:rFonts w:hint="eastAsia" w:ascii="仿宋" w:hAnsi="仿宋" w:eastAsia="仿宋" w:cs="仿宋"/>
          <w:sz w:val="32"/>
          <w:szCs w:val="32"/>
        </w:rPr>
        <w:t>%</w:t>
      </w:r>
      <w:r>
        <w:rPr>
          <w:rFonts w:hint="eastAsia" w:ascii="仿宋" w:hAnsi="仿宋" w:eastAsia="仿宋" w:cs="仿宋"/>
          <w:sz w:val="32"/>
          <w:szCs w:val="32"/>
          <w:lang w:eastAsia="zh-CN"/>
        </w:rPr>
        <w:t>，居全市第二</w:t>
      </w:r>
      <w:r>
        <w:rPr>
          <w:rFonts w:hint="eastAsia" w:ascii="仿宋" w:hAnsi="仿宋" w:eastAsia="仿宋" w:cs="仿宋"/>
          <w:sz w:val="32"/>
          <w:szCs w:val="32"/>
        </w:rPr>
        <w:t>。三是狠抓成果转化。为企业、专家、院校牵线搭桥，促成校企产学研合作，今年以来累计完成技术合同认定登记</w:t>
      </w:r>
      <w:r>
        <w:rPr>
          <w:rFonts w:hint="eastAsia" w:ascii="仿宋" w:hAnsi="仿宋" w:eastAsia="仿宋" w:cs="仿宋"/>
          <w:sz w:val="32"/>
          <w:szCs w:val="32"/>
          <w:lang w:val="en-US" w:eastAsia="zh-CN"/>
        </w:rPr>
        <w:t>13.06</w:t>
      </w:r>
      <w:r>
        <w:rPr>
          <w:rFonts w:hint="eastAsia" w:ascii="仿宋" w:hAnsi="仿宋" w:eastAsia="仿宋" w:cs="仿宋"/>
          <w:sz w:val="32"/>
          <w:szCs w:val="32"/>
        </w:rPr>
        <w:t>亿元，</w:t>
      </w:r>
      <w:r>
        <w:rPr>
          <w:rFonts w:hint="eastAsia" w:ascii="仿宋" w:hAnsi="仿宋" w:eastAsia="仿宋" w:cs="仿宋"/>
          <w:sz w:val="32"/>
          <w:szCs w:val="32"/>
          <w:lang w:eastAsia="zh-CN"/>
        </w:rPr>
        <w:t>居全市第三；</w:t>
      </w:r>
      <w:r>
        <w:rPr>
          <w:rFonts w:hint="eastAsia" w:ascii="仿宋" w:hAnsi="仿宋" w:eastAsia="仿宋" w:cs="仿宋"/>
          <w:sz w:val="32"/>
          <w:szCs w:val="32"/>
        </w:rPr>
        <w:t>完成技术合同认定登记项数</w:t>
      </w:r>
      <w:r>
        <w:rPr>
          <w:rFonts w:hint="eastAsia" w:ascii="仿宋" w:hAnsi="仿宋" w:eastAsia="仿宋" w:cs="仿宋"/>
          <w:sz w:val="32"/>
          <w:szCs w:val="32"/>
          <w:lang w:val="en-US" w:eastAsia="zh-CN"/>
        </w:rPr>
        <w:t>737</w:t>
      </w:r>
      <w:r>
        <w:rPr>
          <w:rFonts w:hint="eastAsia" w:ascii="仿宋" w:hAnsi="仿宋" w:eastAsia="仿宋" w:cs="仿宋"/>
          <w:sz w:val="32"/>
          <w:szCs w:val="32"/>
        </w:rPr>
        <w:t>项</w:t>
      </w:r>
      <w:r>
        <w:rPr>
          <w:rFonts w:hint="eastAsia" w:ascii="仿宋" w:hAnsi="仿宋" w:eastAsia="仿宋" w:cs="仿宋"/>
          <w:sz w:val="32"/>
          <w:szCs w:val="32"/>
          <w:lang w:eastAsia="zh-CN"/>
        </w:rPr>
        <w:t>，居全市第一</w:t>
      </w:r>
      <w:r>
        <w:rPr>
          <w:rFonts w:hint="eastAsia" w:ascii="仿宋" w:hAnsi="仿宋" w:eastAsia="仿宋" w:cs="仿宋"/>
          <w:sz w:val="32"/>
          <w:szCs w:val="32"/>
        </w:rPr>
        <w:t>。</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rPr>
          <w:rFonts w:ascii="楷体" w:hAnsi="楷体" w:eastAsia="楷体" w:cs="楷体"/>
          <w:bCs/>
          <w:sz w:val="32"/>
          <w:szCs w:val="32"/>
          <w:lang w:val="zh-CN"/>
        </w:rPr>
      </w:pPr>
      <w:r>
        <w:rPr>
          <w:rFonts w:hint="eastAsia" w:ascii="楷体" w:hAnsi="楷体" w:eastAsia="楷体" w:cs="楷体"/>
          <w:bCs/>
          <w:sz w:val="32"/>
          <w:szCs w:val="32"/>
          <w:lang w:val="zh-CN"/>
        </w:rPr>
        <w:t>3、</w:t>
      </w:r>
      <w:r>
        <w:rPr>
          <w:rFonts w:hint="eastAsia" w:ascii="楷体" w:hAnsi="楷体" w:eastAsia="楷体" w:cs="楷体"/>
          <w:sz w:val="32"/>
          <w:szCs w:val="32"/>
        </w:rPr>
        <w:t>农社科技稳步推进</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一是做好科技专家服务团工作。</w:t>
      </w:r>
      <w:r>
        <w:rPr>
          <w:rFonts w:hint="eastAsia" w:ascii="仿宋_GB2312" w:hAnsi="仿宋_GB2312" w:eastAsia="仿宋_GB2312" w:cs="仿宋_GB2312"/>
          <w:sz w:val="32"/>
          <w:szCs w:val="32"/>
          <w:lang w:val="zh-CN"/>
        </w:rPr>
        <w:t>在2022年上半年全部完成资阳区科技专家服务团组建工作，制定了《益阳市资阳区科技专家服务团2022年工作实施方案》，对科技专家服务团的职责任务、组织管理和保障措施等方面提出明确要求。遴选80名科技专家开展科技服务工作，服务领域涵盖农业、林业、畜牧水产、医学、电商、动物学、材料学等各方面，覆盖全区23个村和46家企业。</w:t>
      </w:r>
      <w:r>
        <w:rPr>
          <w:rFonts w:hint="eastAsia" w:ascii="仿宋_GB2312" w:hAnsi="仿宋_GB2312" w:eastAsia="仿宋_GB2312" w:cs="仿宋_GB2312"/>
          <w:sz w:val="32"/>
          <w:szCs w:val="32"/>
        </w:rPr>
        <w:t>二是积极</w:t>
      </w:r>
      <w:r>
        <w:rPr>
          <w:rFonts w:hint="eastAsia" w:ascii="仿宋_GB2312" w:hAnsi="仿宋_GB2312" w:eastAsia="仿宋_GB2312" w:cs="仿宋_GB2312"/>
          <w:sz w:val="32"/>
          <w:szCs w:val="32"/>
          <w:lang w:val="zh-CN"/>
        </w:rPr>
        <w:t>助推资阳省级农业科技园区建设，省中医药研究所、市农科院与园区签订农业科技战略合作协议。</w:t>
      </w:r>
      <w:r>
        <w:rPr>
          <w:rFonts w:hint="eastAsia" w:ascii="仿宋_GB2312" w:hAnsi="仿宋_GB2312" w:eastAsia="仿宋_GB2312" w:cs="仿宋_GB2312"/>
          <w:sz w:val="32"/>
          <w:szCs w:val="32"/>
          <w:lang w:val="zh-CN" w:eastAsia="zh-CN"/>
        </w:rPr>
        <w:t>富佳科技、诺泽生物等</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val="zh-CN" w:eastAsia="zh-CN"/>
        </w:rPr>
        <w:t>家企业被评定为省级科学技术普及基地。明正宏、西施生态等</w:t>
      </w:r>
      <w:r>
        <w:rPr>
          <w:rFonts w:hint="eastAsia" w:ascii="仿宋_GB2312" w:hAnsi="仿宋_GB2312" w:eastAsia="仿宋_GB2312" w:cs="仿宋_GB2312"/>
          <w:sz w:val="32"/>
          <w:szCs w:val="32"/>
          <w:lang w:val="en-US" w:eastAsia="zh-CN"/>
        </w:rPr>
        <w:t>3家企业成功申报省级专家工作站。富佳科技与陈学庚院士合作，开展农业机械的研究。诺泽生物与印遇龙院士合作，成立中药精油联合研究中心。</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rPr>
          <w:rFonts w:ascii="楷体" w:hAnsi="楷体" w:eastAsia="楷体" w:cs="楷体"/>
          <w:bCs/>
          <w:sz w:val="32"/>
          <w:szCs w:val="32"/>
          <w:lang w:val="zh-CN"/>
        </w:rPr>
      </w:pPr>
      <w:r>
        <w:rPr>
          <w:rFonts w:hint="eastAsia" w:ascii="仿宋_GB2312" w:hAnsi="仿宋_GB2312" w:eastAsia="仿宋_GB2312" w:cs="仿宋_GB2312"/>
          <w:sz w:val="32"/>
          <w:szCs w:val="32"/>
        </w:rPr>
        <w:t>4、</w:t>
      </w:r>
      <w:r>
        <w:rPr>
          <w:rFonts w:hint="eastAsia" w:ascii="楷体" w:hAnsi="楷体" w:eastAsia="楷体" w:cs="楷体"/>
          <w:bCs/>
          <w:sz w:val="32"/>
          <w:szCs w:val="32"/>
          <w:lang w:val="zh-CN"/>
        </w:rPr>
        <w:t>其他工作全面落实</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rPr>
          <w:rFonts w:ascii="仿宋_GB2312" w:hAnsi="Calibri" w:eastAsia="仿宋_GB2312"/>
          <w:sz w:val="32"/>
          <w:szCs w:val="32"/>
        </w:rPr>
      </w:pPr>
      <w:r>
        <w:rPr>
          <w:rFonts w:hint="eastAsia" w:ascii="仿宋_GB2312" w:hAnsi="Calibri" w:eastAsia="仿宋_GB2312"/>
          <w:sz w:val="32"/>
          <w:szCs w:val="32"/>
        </w:rPr>
        <w:t>一是开展党史学习教育工作。按照要求认真开展党史四个专题学习教育，进行交流研讨，结合科技工作和志愿者活动，每月扎实开展“我为群众办实事”实践活动。二是抓好意识形态工作。落实党组中心组学习制度，及时传达学习党中央和上级党委关于意识形态工作的决策部署及指示精神，每月进行一次理论中心组学习，开展讨论。“学习强国”在职人员100%注册，按要求进行学习、通报。组织开展“电影党课”活动。三是严格落实党建工作。按要求召开党员干部民主生活会和组织生活会，开展党员民主评议。班子成员带头讲党课。每月按要求开展党日活动，进一步提高党员干部的思想水平和政治觉悟。四是切实履行党风廉政建设工作。开展四大专项行动，提升政治执行力、加强作风建设、优化营商环境、助力乡村振兴。此外，创文、安全生产等各项工作也扎实推进。</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（二）部门整体支出绩效评价</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通过对部门整体支出情况的概述和实际支出情况的分析，202</w:t>
      </w:r>
      <w:r>
        <w:rPr>
          <w:rFonts w:hint="eastAsia" w:ascii="仿宋_GB2312" w:hAnsi="宋体" w:eastAsia="仿宋_GB2312" w:cs="仿宋_GB2312"/>
          <w:color w:val="333333"/>
          <w:sz w:val="32"/>
          <w:szCs w:val="32"/>
          <w:shd w:val="clear" w:color="auto" w:fill="FFFFFF"/>
          <w:lang w:val="en-US" w:eastAsia="zh-CN"/>
        </w:rPr>
        <w:t>2</w:t>
      </w:r>
      <w:r>
        <w:rPr>
          <w:rFonts w:hint="eastAsia" w:ascii="仿宋_GB2312" w:hAnsi="宋体" w:eastAsia="仿宋_GB2312" w:cs="仿宋_GB2312"/>
          <w:color w:val="333333"/>
          <w:sz w:val="32"/>
          <w:szCs w:val="32"/>
          <w:shd w:val="clear" w:color="auto" w:fill="FFFFFF"/>
        </w:rPr>
        <w:t>年度我局部门整体支出绩效自评分值为9</w:t>
      </w:r>
      <w:r>
        <w:rPr>
          <w:rFonts w:hint="eastAsia" w:ascii="仿宋_GB2312" w:hAnsi="宋体" w:eastAsia="仿宋_GB2312" w:cs="仿宋_GB2312"/>
          <w:color w:val="333333"/>
          <w:sz w:val="32"/>
          <w:szCs w:val="32"/>
          <w:shd w:val="clear" w:color="auto" w:fill="FFFFFF"/>
          <w:lang w:val="en-US" w:eastAsia="zh-CN"/>
        </w:rPr>
        <w:t>2</w:t>
      </w:r>
      <w:r>
        <w:rPr>
          <w:rFonts w:hint="eastAsia" w:ascii="仿宋_GB2312" w:hAnsi="宋体" w:eastAsia="仿宋_GB2312" w:cs="仿宋_GB2312"/>
          <w:color w:val="333333"/>
          <w:sz w:val="32"/>
          <w:szCs w:val="32"/>
          <w:shd w:val="clear" w:color="auto" w:fill="FFFFFF"/>
        </w:rPr>
        <w:t>分，自评结论为“优”。具体评价如下：</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 xml:space="preserve"> 1、经济性评价</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预算配置方面：我局202</w:t>
      </w:r>
      <w:r>
        <w:rPr>
          <w:rFonts w:hint="eastAsia" w:ascii="仿宋_GB2312" w:hAnsi="宋体" w:eastAsia="仿宋_GB2312" w:cs="仿宋_GB2312"/>
          <w:color w:val="333333"/>
          <w:sz w:val="32"/>
          <w:szCs w:val="32"/>
          <w:shd w:val="clear" w:color="auto" w:fill="FFFFFF"/>
          <w:lang w:val="en-US" w:eastAsia="zh-CN"/>
        </w:rPr>
        <w:t>2</w:t>
      </w:r>
      <w:r>
        <w:rPr>
          <w:rFonts w:hint="eastAsia" w:ascii="仿宋_GB2312" w:hAnsi="宋体" w:eastAsia="仿宋_GB2312" w:cs="仿宋_GB2312"/>
          <w:color w:val="333333"/>
          <w:sz w:val="32"/>
          <w:szCs w:val="32"/>
          <w:shd w:val="clear" w:color="auto" w:fill="FFFFFF"/>
        </w:rPr>
        <w:t>年“三公经费”预算总额为0，同时，财政供养人员控制在预算编制以内，从源头严格控制和降低了行政成本。</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firstLineChars="20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预算执行方面：严格落实《预算法》和预算管理相关规定，各项支出按照批准的预算审核列支，严格控制在预算额度内使用，支出的范围和标准符合相关规定。支出主要用于保障单位正常运转、完成日常工作任务而发生的支出。</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firstLineChars="20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预算管理方面：部门整体支出能有效按照预算要求基本执行，预算支出范围合理，预算支出项目细化，资金使用方向明确，管理合规，且决算工作精细到位，基本体现了部门整体支出情况的数据统筹性和宏观性。</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 xml:space="preserve">  资产管理方面：我们进一步加强资产的管理，制定了《益阳市资阳区科技局财务管理制度》，明确了具体责任人，完善了固定资产档案，严格报批、销审等手续，做好资产统计工作，单位无固定资产流失现象。</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 xml:space="preserve"> 2.效率性评价和有效性评价</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 xml:space="preserve">我局整体支出重点用于项目经费支出，完成了当年度科技计划经费的拨付工作，有效对其实行了监管，确保了专项经费专款专用，充分发挥了科技引导作用。对于基本支出也能遵守各项规章制度，人员经费安排基本得当，业务工作与项目经费、人员经费安排配比率良好。  </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四、存在的问题</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（一）财政资金支出结构需进一步优化</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由于部门预算统筹协调机制尚未健全，科技资源集聚度与共享度不高，财政资金支出重点不突出与普惠不够问题并存。</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（二）内控制度需进一步完善</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随着科技计划和资金管理改革的进一步推进，我局内部机构进行了相应的优化，建立健全了财务管理制度，固定资产管理制度，费用报销规程等制度,但仍需进一步强化财务约束监督体制。</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（三）部门整体支出绩效目标需进一步细化</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202</w:t>
      </w:r>
      <w:r>
        <w:rPr>
          <w:rFonts w:hint="eastAsia" w:ascii="仿宋_GB2312" w:hAnsi="宋体" w:eastAsia="仿宋_GB2312" w:cs="仿宋_GB2312"/>
          <w:color w:val="333333"/>
          <w:sz w:val="32"/>
          <w:szCs w:val="32"/>
          <w:shd w:val="clear" w:color="auto" w:fill="FFFFFF"/>
          <w:lang w:val="en-US" w:eastAsia="zh-CN"/>
        </w:rPr>
        <w:t>2</w:t>
      </w:r>
      <w:r>
        <w:rPr>
          <w:rFonts w:hint="eastAsia" w:ascii="仿宋_GB2312" w:hAnsi="宋体" w:eastAsia="仿宋_GB2312" w:cs="仿宋_GB2312"/>
          <w:color w:val="333333"/>
          <w:sz w:val="32"/>
          <w:szCs w:val="32"/>
          <w:shd w:val="clear" w:color="auto" w:fill="FFFFFF"/>
        </w:rPr>
        <w:t>年我局根据省、市科技创新要求开展业务工作产生的相关经费和本级业务经费未纳入年初财政预算，</w:t>
      </w:r>
      <w:r>
        <w:rPr>
          <w:rFonts w:hint="eastAsia" w:ascii="仿宋_GB2312" w:hAnsi="宋体" w:eastAsia="仿宋_GB2312" w:cs="仿宋_GB2312"/>
          <w:color w:val="333333"/>
          <w:sz w:val="32"/>
          <w:szCs w:val="32"/>
          <w:shd w:val="clear" w:color="auto" w:fill="FFFFFF"/>
          <w:lang w:eastAsia="zh-CN"/>
        </w:rPr>
        <w:t>科技三项费等项目预算在实际拨付是有所削减，不利于科技创新工作的开展；</w:t>
      </w:r>
      <w:r>
        <w:rPr>
          <w:rFonts w:hint="eastAsia" w:ascii="仿宋_GB2312" w:hAnsi="宋体" w:eastAsia="仿宋_GB2312" w:cs="仿宋_GB2312"/>
          <w:color w:val="333333"/>
          <w:sz w:val="32"/>
          <w:szCs w:val="32"/>
          <w:shd w:val="clear" w:color="auto" w:fill="FFFFFF"/>
        </w:rPr>
        <w:t>业务类支出未能根据部门职能及当年度工作规划等进行细化，不利于部门整体支出绩效评价工作的开展。</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五、有关建议</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hint="eastAsia" w:ascii="仿宋_GB2312" w:hAnsi="宋体" w:eastAsia="仿宋_GB2312" w:cs="仿宋_GB2312"/>
          <w:color w:val="333333"/>
          <w:sz w:val="32"/>
          <w:szCs w:val="32"/>
          <w:shd w:val="clear" w:color="auto" w:fill="FFFFFF"/>
          <w:lang w:eastAsia="zh-CN"/>
        </w:rPr>
      </w:pPr>
      <w:r>
        <w:rPr>
          <w:rFonts w:hint="eastAsia" w:ascii="仿宋_GB2312" w:hAnsi="宋体" w:eastAsia="仿宋_GB2312" w:cs="仿宋_GB2312"/>
          <w:color w:val="333333"/>
          <w:sz w:val="32"/>
          <w:szCs w:val="32"/>
          <w:shd w:val="clear" w:color="auto" w:fill="FFFFFF"/>
        </w:rPr>
        <w:t xml:space="preserve"> 1.对预算支出根据单位的经费状况，对保障运行的固定支出经费按照实际需求予以保证</w:t>
      </w:r>
      <w:r>
        <w:rPr>
          <w:rFonts w:hint="eastAsia" w:ascii="仿宋_GB2312" w:hAnsi="宋体" w:eastAsia="仿宋_GB2312" w:cs="仿宋_GB2312"/>
          <w:color w:val="333333"/>
          <w:sz w:val="32"/>
          <w:szCs w:val="32"/>
          <w:shd w:val="clear" w:color="auto" w:fill="FFFFFF"/>
          <w:lang w:eastAsia="zh-CN"/>
        </w:rPr>
        <w:t>。</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2.增加科技创新等业务类经费，以进一步促进科技创新工作发展。</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ascii="仿宋_GB2312" w:hAnsi="宋体" w:eastAsia="仿宋_GB2312" w:cs="仿宋_GB2312"/>
          <w:color w:val="333333"/>
          <w:sz w:val="32"/>
          <w:szCs w:val="32"/>
          <w:shd w:val="clear" w:color="auto" w:fill="FFFFFF"/>
        </w:rPr>
        <w:t xml:space="preserve">    </w:t>
      </w:r>
    </w:p>
    <w:p>
      <w:pPr>
        <w:pStyle w:val="5"/>
        <w:keepNext w:val="0"/>
        <w:keepLines w:val="0"/>
        <w:pageBreakBefore w:val="0"/>
        <w:widowControl/>
        <w:kinsoku/>
        <w:wordWrap/>
        <w:overflowPunct/>
        <w:topLinePunct w:val="0"/>
        <w:autoSpaceDE/>
        <w:autoSpaceDN/>
        <w:bidi w:val="0"/>
        <w:spacing w:beforeAutospacing="0" w:afterAutospacing="0" w:line="640" w:lineRule="exact"/>
        <w:ind w:firstLine="640"/>
        <w:textAlignment w:val="auto"/>
        <w:rPr>
          <w:rFonts w:ascii="仿宋_GB2312" w:hAnsi="宋体" w:eastAsia="仿宋_GB2312" w:cs="仿宋_GB2312"/>
          <w:color w:val="333333"/>
          <w:sz w:val="32"/>
          <w:szCs w:val="32"/>
          <w:shd w:val="clear" w:color="auto" w:fill="FFFFFF"/>
        </w:rPr>
      </w:pPr>
      <w:r>
        <w:rPr>
          <w:rFonts w:ascii="仿宋_GB2312" w:hAnsi="宋体" w:eastAsia="仿宋_GB2312" w:cs="仿宋_GB2312"/>
          <w:color w:val="333333"/>
          <w:sz w:val="32"/>
          <w:szCs w:val="32"/>
          <w:shd w:val="clear" w:color="auto" w:fill="FFFFFF"/>
        </w:rPr>
        <w:t xml:space="preserve"> </w:t>
      </w:r>
    </w:p>
    <w:p>
      <w:pPr>
        <w:pStyle w:val="5"/>
        <w:keepNext w:val="0"/>
        <w:keepLines w:val="0"/>
        <w:pageBreakBefore w:val="0"/>
        <w:widowControl/>
        <w:kinsoku/>
        <w:wordWrap/>
        <w:overflowPunct/>
        <w:topLinePunct w:val="0"/>
        <w:autoSpaceDE/>
        <w:autoSpaceDN/>
        <w:bidi w:val="0"/>
        <w:spacing w:beforeAutospacing="0" w:afterAutospacing="0" w:line="640" w:lineRule="exact"/>
        <w:ind w:left="5118" w:leftChars="304" w:hanging="4480" w:hangingChars="1400"/>
        <w:textAlignment w:val="auto"/>
        <w:rPr>
          <w:rFonts w:hint="eastAsia" w:ascii="仿宋_GB2312" w:hAnsi="宋体" w:eastAsia="仿宋_GB2312" w:cs="仿宋_GB2312"/>
          <w:color w:val="333333"/>
          <w:sz w:val="32"/>
          <w:szCs w:val="32"/>
          <w:shd w:val="clear" w:color="auto" w:fill="FFFFFF"/>
        </w:rPr>
      </w:pPr>
      <w:r>
        <w:rPr>
          <w:rFonts w:hint="eastAsia" w:ascii="仿宋_GB2312" w:hAnsi="宋体" w:eastAsia="仿宋_GB2312" w:cs="仿宋_GB2312"/>
          <w:color w:val="333333"/>
          <w:sz w:val="32"/>
          <w:szCs w:val="32"/>
          <w:shd w:val="clear" w:color="auto" w:fill="FFFFFF"/>
        </w:rPr>
        <w:t xml:space="preserve">                         益阳市资阳区科</w:t>
      </w:r>
      <w:r>
        <w:rPr>
          <w:rFonts w:hint="eastAsia" w:ascii="仿宋_GB2312" w:hAnsi="宋体" w:eastAsia="仿宋_GB2312" w:cs="仿宋_GB2312"/>
          <w:color w:val="333333"/>
          <w:sz w:val="32"/>
          <w:szCs w:val="32"/>
          <w:shd w:val="clear" w:color="auto" w:fill="FFFFFF"/>
          <w:lang w:eastAsia="zh-CN"/>
        </w:rPr>
        <w:t>学</w:t>
      </w:r>
      <w:r>
        <w:rPr>
          <w:rFonts w:hint="eastAsia" w:ascii="仿宋_GB2312" w:hAnsi="宋体" w:eastAsia="仿宋_GB2312" w:cs="仿宋_GB2312"/>
          <w:color w:val="333333"/>
          <w:sz w:val="32"/>
          <w:szCs w:val="32"/>
          <w:shd w:val="clear" w:color="auto" w:fill="FFFFFF"/>
        </w:rPr>
        <w:t>技</w:t>
      </w:r>
      <w:r>
        <w:rPr>
          <w:rFonts w:hint="eastAsia" w:ascii="仿宋_GB2312" w:hAnsi="宋体" w:eastAsia="仿宋_GB2312" w:cs="仿宋_GB2312"/>
          <w:color w:val="333333"/>
          <w:sz w:val="32"/>
          <w:szCs w:val="32"/>
          <w:shd w:val="clear" w:color="auto" w:fill="FFFFFF"/>
          <w:lang w:eastAsia="zh-CN"/>
        </w:rPr>
        <w:t>术</w:t>
      </w:r>
      <w:r>
        <w:rPr>
          <w:rFonts w:hint="eastAsia" w:ascii="仿宋_GB2312" w:hAnsi="宋体" w:eastAsia="仿宋_GB2312" w:cs="仿宋_GB2312"/>
          <w:color w:val="333333"/>
          <w:sz w:val="32"/>
          <w:szCs w:val="32"/>
          <w:shd w:val="clear" w:color="auto" w:fill="FFFFFF"/>
        </w:rPr>
        <w:t>局                                                     202</w:t>
      </w:r>
      <w:r>
        <w:rPr>
          <w:rFonts w:hint="eastAsia" w:ascii="仿宋_GB2312" w:hAnsi="宋体" w:eastAsia="仿宋_GB2312" w:cs="仿宋_GB2312"/>
          <w:color w:val="333333"/>
          <w:sz w:val="32"/>
          <w:szCs w:val="32"/>
          <w:shd w:val="clear" w:color="auto" w:fill="FFFFFF"/>
          <w:lang w:val="en-US" w:eastAsia="zh-CN"/>
        </w:rPr>
        <w:t>3</w:t>
      </w:r>
      <w:r>
        <w:rPr>
          <w:rFonts w:hint="eastAsia" w:ascii="仿宋_GB2312" w:hAnsi="宋体" w:eastAsia="仿宋_GB2312" w:cs="仿宋_GB2312"/>
          <w:color w:val="333333"/>
          <w:sz w:val="32"/>
          <w:szCs w:val="32"/>
          <w:shd w:val="clear" w:color="auto" w:fill="FFFFFF"/>
        </w:rPr>
        <w:t>年</w:t>
      </w:r>
      <w:r>
        <w:rPr>
          <w:rFonts w:hint="eastAsia" w:ascii="仿宋_GB2312" w:hAnsi="宋体" w:eastAsia="仿宋_GB2312" w:cs="仿宋_GB2312"/>
          <w:color w:val="333333"/>
          <w:sz w:val="32"/>
          <w:szCs w:val="32"/>
          <w:shd w:val="clear" w:color="auto" w:fill="FFFFFF"/>
          <w:lang w:val="en-US" w:eastAsia="zh-CN"/>
        </w:rPr>
        <w:t>4</w:t>
      </w:r>
      <w:r>
        <w:rPr>
          <w:rFonts w:hint="eastAsia" w:ascii="仿宋_GB2312" w:hAnsi="宋体" w:eastAsia="仿宋_GB2312" w:cs="仿宋_GB2312"/>
          <w:color w:val="333333"/>
          <w:sz w:val="32"/>
          <w:szCs w:val="32"/>
          <w:shd w:val="clear" w:color="auto" w:fill="FFFFFF"/>
        </w:rPr>
        <w:t>月</w:t>
      </w:r>
      <w:r>
        <w:rPr>
          <w:rFonts w:hint="eastAsia" w:ascii="仿宋_GB2312" w:hAnsi="宋体" w:eastAsia="仿宋_GB2312" w:cs="仿宋_GB2312"/>
          <w:color w:val="333333"/>
          <w:sz w:val="32"/>
          <w:szCs w:val="32"/>
          <w:shd w:val="clear" w:color="auto" w:fill="FFFFFF"/>
          <w:lang w:val="en-US" w:eastAsia="zh-CN"/>
        </w:rPr>
        <w:t>25</w:t>
      </w:r>
      <w:r>
        <w:rPr>
          <w:rFonts w:hint="eastAsia" w:ascii="仿宋_GB2312" w:hAnsi="宋体" w:eastAsia="仿宋_GB2312" w:cs="仿宋_GB2312"/>
          <w:color w:val="333333"/>
          <w:sz w:val="32"/>
          <w:szCs w:val="32"/>
          <w:shd w:val="clear" w:color="auto" w:fill="FFFFFF"/>
        </w:rPr>
        <w:t>日</w:t>
      </w:r>
    </w:p>
    <w:p>
      <w:pPr>
        <w:pStyle w:val="5"/>
        <w:keepNext w:val="0"/>
        <w:keepLines w:val="0"/>
        <w:pageBreakBefore w:val="0"/>
        <w:widowControl/>
        <w:kinsoku/>
        <w:wordWrap/>
        <w:overflowPunct/>
        <w:topLinePunct w:val="0"/>
        <w:autoSpaceDE/>
        <w:autoSpaceDN/>
        <w:bidi w:val="0"/>
        <w:spacing w:beforeAutospacing="0" w:afterAutospacing="0" w:line="600" w:lineRule="exact"/>
        <w:ind w:left="5118" w:leftChars="304" w:hanging="4480" w:hangingChars="1400"/>
        <w:textAlignment w:val="auto"/>
        <w:rPr>
          <w:rFonts w:hint="eastAsia" w:ascii="仿宋_GB2312" w:hAnsi="宋体" w:eastAsia="仿宋_GB2312" w:cs="仿宋_GB2312"/>
          <w:color w:val="333333"/>
          <w:sz w:val="32"/>
          <w:szCs w:val="32"/>
          <w:shd w:val="clear" w:color="auto" w:fill="FFFFFF"/>
        </w:rPr>
      </w:pPr>
    </w:p>
    <w:p>
      <w:pPr>
        <w:pStyle w:val="5"/>
        <w:keepNext w:val="0"/>
        <w:keepLines w:val="0"/>
        <w:pageBreakBefore w:val="0"/>
        <w:widowControl/>
        <w:kinsoku/>
        <w:wordWrap/>
        <w:overflowPunct/>
        <w:topLinePunct w:val="0"/>
        <w:autoSpaceDE/>
        <w:autoSpaceDN/>
        <w:bidi w:val="0"/>
        <w:spacing w:beforeAutospacing="0" w:afterAutospacing="0" w:line="600" w:lineRule="exact"/>
        <w:ind w:left="5118" w:leftChars="304" w:hanging="4480" w:hangingChars="1400"/>
        <w:textAlignment w:val="auto"/>
        <w:rPr>
          <w:rFonts w:hint="eastAsia" w:ascii="仿宋_GB2312" w:hAnsi="宋体" w:eastAsia="仿宋_GB2312" w:cs="仿宋_GB2312"/>
          <w:color w:val="333333"/>
          <w:sz w:val="32"/>
          <w:szCs w:val="32"/>
          <w:shd w:val="clear" w:color="auto" w:fill="FFFFFF"/>
        </w:rPr>
      </w:pPr>
    </w:p>
    <w:p>
      <w:pPr>
        <w:pStyle w:val="5"/>
        <w:keepNext w:val="0"/>
        <w:keepLines w:val="0"/>
        <w:pageBreakBefore w:val="0"/>
        <w:widowControl/>
        <w:kinsoku/>
        <w:wordWrap/>
        <w:overflowPunct/>
        <w:topLinePunct w:val="0"/>
        <w:autoSpaceDE/>
        <w:autoSpaceDN/>
        <w:bidi w:val="0"/>
        <w:spacing w:beforeAutospacing="0" w:afterAutospacing="0" w:line="600" w:lineRule="exact"/>
        <w:ind w:left="5118" w:leftChars="304" w:hanging="4480" w:hangingChars="1400"/>
        <w:textAlignment w:val="auto"/>
        <w:rPr>
          <w:rFonts w:hint="eastAsia" w:ascii="仿宋_GB2312" w:hAnsi="宋体" w:eastAsia="仿宋_GB2312" w:cs="仿宋_GB2312"/>
          <w:color w:val="333333"/>
          <w:sz w:val="32"/>
          <w:szCs w:val="32"/>
          <w:shd w:val="clear" w:color="auto" w:fill="FFFFFF"/>
        </w:rPr>
      </w:pPr>
    </w:p>
    <w:p>
      <w:pPr>
        <w:pStyle w:val="5"/>
        <w:keepNext w:val="0"/>
        <w:keepLines w:val="0"/>
        <w:pageBreakBefore w:val="0"/>
        <w:widowControl/>
        <w:kinsoku/>
        <w:wordWrap/>
        <w:overflowPunct/>
        <w:topLinePunct w:val="0"/>
        <w:autoSpaceDE/>
        <w:autoSpaceDN/>
        <w:bidi w:val="0"/>
        <w:spacing w:beforeAutospacing="0" w:afterAutospacing="0" w:line="600" w:lineRule="exact"/>
        <w:ind w:left="5118" w:leftChars="304" w:hanging="4480" w:hangingChars="1400"/>
        <w:textAlignment w:val="auto"/>
        <w:rPr>
          <w:rFonts w:hint="eastAsia" w:ascii="仿宋_GB2312" w:hAnsi="宋体" w:eastAsia="仿宋_GB2312" w:cs="仿宋_GB2312"/>
          <w:color w:val="333333"/>
          <w:sz w:val="32"/>
          <w:szCs w:val="32"/>
          <w:shd w:val="clear" w:color="auto" w:fill="FFFFFF"/>
        </w:rPr>
      </w:pP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eastAsia="黑体"/>
          <w:sz w:val="32"/>
          <w:szCs w:val="32"/>
          <w:lang w:val="en-US" w:eastAsia="zh-CN"/>
        </w:rPr>
      </w:pPr>
      <w:r>
        <w:rPr>
          <w:rFonts w:eastAsia="黑体"/>
          <w:sz w:val="32"/>
          <w:szCs w:val="32"/>
        </w:rPr>
        <w:t>附件</w:t>
      </w:r>
      <w:r>
        <w:rPr>
          <w:rFonts w:hint="eastAsia" w:eastAsia="黑体"/>
          <w:sz w:val="32"/>
          <w:szCs w:val="32"/>
          <w:lang w:val="en-US" w:eastAsia="zh-CN"/>
        </w:rPr>
        <w:t>1</w:t>
      </w:r>
    </w:p>
    <w:p>
      <w:pPr>
        <w:keepNext w:val="0"/>
        <w:keepLines w:val="0"/>
        <w:pageBreakBefore w:val="0"/>
        <w:kinsoku/>
        <w:wordWrap/>
        <w:overflowPunct/>
        <w:topLinePunct w:val="0"/>
        <w:autoSpaceDE/>
        <w:autoSpaceDN/>
        <w:bidi w:val="0"/>
        <w:adjustRightInd/>
        <w:snapToGrid/>
        <w:spacing w:line="600" w:lineRule="exact"/>
        <w:jc w:val="center"/>
        <w:textAlignment w:val="auto"/>
        <w:rPr>
          <w:rFonts w:eastAsia="方正小标宋_GBK"/>
          <w:kern w:val="0"/>
          <w:sz w:val="36"/>
          <w:szCs w:val="36"/>
        </w:rPr>
      </w:pPr>
      <w:r>
        <w:rPr>
          <w:rFonts w:eastAsia="方正小标宋_GBK"/>
          <w:kern w:val="0"/>
          <w:sz w:val="36"/>
          <w:szCs w:val="36"/>
        </w:rPr>
        <w:t>202</w:t>
      </w:r>
      <w:r>
        <w:rPr>
          <w:rFonts w:hint="eastAsia" w:eastAsia="方正小标宋_GBK"/>
          <w:kern w:val="0"/>
          <w:sz w:val="36"/>
          <w:szCs w:val="36"/>
          <w:lang w:val="en-US" w:eastAsia="zh-CN"/>
        </w:rPr>
        <w:t>2</w:t>
      </w:r>
      <w:r>
        <w:rPr>
          <w:rFonts w:eastAsia="方正小标宋_GBK"/>
          <w:kern w:val="0"/>
          <w:sz w:val="36"/>
          <w:szCs w:val="36"/>
        </w:rPr>
        <w:t>年度部门整体支出绩效评价基础数据表</w:t>
      </w:r>
    </w:p>
    <w:tbl>
      <w:tblPr>
        <w:tblStyle w:val="6"/>
        <w:tblW w:w="9695" w:type="dxa"/>
        <w:jc w:val="center"/>
        <w:tblLayout w:type="fixed"/>
        <w:tblCellMar>
          <w:top w:w="0" w:type="dxa"/>
          <w:left w:w="108" w:type="dxa"/>
          <w:bottom w:w="0" w:type="dxa"/>
          <w:right w:w="108" w:type="dxa"/>
        </w:tblCellMar>
      </w:tblPr>
      <w:tblGrid>
        <w:gridCol w:w="3214"/>
        <w:gridCol w:w="1200"/>
        <w:gridCol w:w="1125"/>
        <w:gridCol w:w="1080"/>
        <w:gridCol w:w="1140"/>
        <w:gridCol w:w="960"/>
        <w:gridCol w:w="976"/>
      </w:tblGrid>
      <w:tr>
        <w:tblPrEx>
          <w:tblCellMar>
            <w:top w:w="0" w:type="dxa"/>
            <w:left w:w="108" w:type="dxa"/>
            <w:bottom w:w="0" w:type="dxa"/>
            <w:right w:w="108" w:type="dxa"/>
          </w:tblCellMar>
        </w:tblPrEx>
        <w:trPr>
          <w:trHeight w:val="397" w:hRule="atLeast"/>
          <w:jc w:val="center"/>
        </w:trPr>
        <w:tc>
          <w:tcPr>
            <w:tcW w:w="3214"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财政供养人员情况（人）</w:t>
            </w:r>
          </w:p>
        </w:tc>
        <w:tc>
          <w:tcPr>
            <w:tcW w:w="2325" w:type="dxa"/>
            <w:gridSpan w:val="2"/>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b/>
                <w:bCs/>
                <w:kern w:val="0"/>
                <w:sz w:val="21"/>
                <w:szCs w:val="21"/>
              </w:rPr>
            </w:pPr>
            <w:r>
              <w:rPr>
                <w:rFonts w:ascii="Times New Roman" w:hAnsi="Times New Roman" w:eastAsia="仿宋_GB2312" w:cs="Times New Roman"/>
                <w:b/>
                <w:bCs/>
                <w:kern w:val="0"/>
                <w:sz w:val="21"/>
                <w:szCs w:val="21"/>
              </w:rPr>
              <w:t>编制数</w:t>
            </w:r>
          </w:p>
        </w:tc>
        <w:tc>
          <w:tcPr>
            <w:tcW w:w="2220" w:type="dxa"/>
            <w:gridSpan w:val="2"/>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b/>
                <w:bCs/>
                <w:kern w:val="0"/>
                <w:sz w:val="21"/>
                <w:szCs w:val="21"/>
              </w:rPr>
            </w:pPr>
            <w:r>
              <w:rPr>
                <w:rFonts w:ascii="Times New Roman" w:hAnsi="Times New Roman" w:eastAsia="仿宋_GB2312" w:cs="Times New Roman"/>
                <w:b/>
                <w:bCs/>
                <w:kern w:val="0"/>
                <w:sz w:val="21"/>
                <w:szCs w:val="21"/>
              </w:rPr>
              <w:t>202</w:t>
            </w:r>
            <w:r>
              <w:rPr>
                <w:rFonts w:hint="eastAsia" w:ascii="Times New Roman" w:hAnsi="Times New Roman" w:cs="Times New Roman"/>
                <w:b/>
                <w:bCs/>
                <w:kern w:val="0"/>
                <w:sz w:val="21"/>
                <w:szCs w:val="21"/>
                <w:lang w:val="en-US" w:eastAsia="zh-CN"/>
              </w:rPr>
              <w:t>2</w:t>
            </w:r>
            <w:r>
              <w:rPr>
                <w:rFonts w:ascii="Times New Roman" w:hAnsi="Times New Roman" w:eastAsia="仿宋_GB2312" w:cs="Times New Roman"/>
                <w:b/>
                <w:bCs/>
                <w:kern w:val="0"/>
                <w:sz w:val="21"/>
                <w:szCs w:val="21"/>
              </w:rPr>
              <w:t>年实际在职人数</w:t>
            </w:r>
          </w:p>
        </w:tc>
        <w:tc>
          <w:tcPr>
            <w:tcW w:w="1936" w:type="dxa"/>
            <w:gridSpan w:val="2"/>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b/>
                <w:bCs/>
                <w:kern w:val="0"/>
                <w:sz w:val="21"/>
                <w:szCs w:val="21"/>
              </w:rPr>
            </w:pPr>
            <w:r>
              <w:rPr>
                <w:rFonts w:ascii="Times New Roman" w:hAnsi="Times New Roman" w:eastAsia="仿宋_GB2312" w:cs="Times New Roman"/>
                <w:b/>
                <w:bCs/>
                <w:kern w:val="0"/>
                <w:sz w:val="21"/>
                <w:szCs w:val="21"/>
              </w:rPr>
              <w:t>控制率</w:t>
            </w:r>
          </w:p>
        </w:tc>
      </w:tr>
      <w:tr>
        <w:tblPrEx>
          <w:tblCellMar>
            <w:top w:w="0" w:type="dxa"/>
            <w:left w:w="108" w:type="dxa"/>
            <w:bottom w:w="0" w:type="dxa"/>
            <w:right w:w="108" w:type="dxa"/>
          </w:tblCellMar>
        </w:tblPrEx>
        <w:trPr>
          <w:trHeight w:val="397" w:hRule="atLeast"/>
          <w:jc w:val="center"/>
        </w:trPr>
        <w:tc>
          <w:tcPr>
            <w:tcW w:w="3214"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ascii="Times New Roman" w:hAnsi="Times New Roman" w:eastAsia="仿宋_GB2312" w:cs="Times New Roman"/>
                <w:kern w:val="0"/>
                <w:sz w:val="21"/>
                <w:szCs w:val="21"/>
              </w:rPr>
            </w:pPr>
          </w:p>
        </w:tc>
        <w:tc>
          <w:tcPr>
            <w:tcW w:w="2325" w:type="dxa"/>
            <w:gridSpan w:val="2"/>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16</w:t>
            </w:r>
            <w:r>
              <w:rPr>
                <w:rFonts w:ascii="Times New Roman" w:hAnsi="Times New Roman" w:eastAsia="仿宋_GB2312" w:cs="Times New Roman"/>
                <w:kern w:val="0"/>
                <w:sz w:val="21"/>
                <w:szCs w:val="21"/>
              </w:rPr>
              <w:t>　</w:t>
            </w:r>
          </w:p>
        </w:tc>
        <w:tc>
          <w:tcPr>
            <w:tcW w:w="2220" w:type="dxa"/>
            <w:gridSpan w:val="2"/>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default" w:ascii="Times New Roman" w:hAnsi="Times New Roman" w:eastAsia="仿宋_GB2312" w:cs="Times New Roman"/>
                <w:kern w:val="0"/>
                <w:sz w:val="21"/>
                <w:szCs w:val="21"/>
                <w:lang w:val="en-US" w:eastAsia="zh-CN"/>
              </w:rPr>
            </w:pPr>
            <w:r>
              <w:rPr>
                <w:rFonts w:ascii="Times New Roman" w:hAnsi="Times New Roman" w:eastAsia="仿宋_GB2312" w:cs="Times New Roman"/>
                <w:kern w:val="0"/>
                <w:sz w:val="21"/>
                <w:szCs w:val="21"/>
              </w:rPr>
              <w:t>　</w:t>
            </w:r>
            <w:r>
              <w:rPr>
                <w:rFonts w:hint="eastAsia" w:ascii="Times New Roman" w:hAnsi="Times New Roman" w:cs="Times New Roman"/>
                <w:kern w:val="0"/>
                <w:sz w:val="21"/>
                <w:szCs w:val="21"/>
                <w:lang w:val="en-US" w:eastAsia="zh-CN"/>
              </w:rPr>
              <w:t>15</w:t>
            </w:r>
          </w:p>
        </w:tc>
        <w:tc>
          <w:tcPr>
            <w:tcW w:w="1936" w:type="dxa"/>
            <w:gridSpan w:val="2"/>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100%</w:t>
            </w:r>
            <w:r>
              <w:rPr>
                <w:rFonts w:ascii="Times New Roman" w:hAnsi="Times New Roman" w:eastAsia="仿宋_GB2312" w:cs="Times New Roman"/>
                <w:kern w:val="0"/>
                <w:sz w:val="21"/>
                <w:szCs w:val="21"/>
              </w:rPr>
              <w:t>　</w:t>
            </w: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经费控制情况（万元）</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b/>
                <w:bCs/>
                <w:kern w:val="0"/>
                <w:sz w:val="21"/>
                <w:szCs w:val="21"/>
              </w:rPr>
            </w:pPr>
            <w:r>
              <w:rPr>
                <w:rFonts w:ascii="Times New Roman" w:hAnsi="Times New Roman" w:eastAsia="仿宋_GB2312" w:cs="Times New Roman"/>
                <w:b/>
                <w:bCs/>
                <w:kern w:val="0"/>
                <w:sz w:val="21"/>
                <w:szCs w:val="21"/>
              </w:rPr>
              <w:t>20</w:t>
            </w:r>
            <w:r>
              <w:rPr>
                <w:rFonts w:hint="eastAsia" w:ascii="Times New Roman" w:hAnsi="Times New Roman" w:cs="Times New Roman"/>
                <w:b/>
                <w:bCs/>
                <w:kern w:val="0"/>
                <w:sz w:val="21"/>
                <w:szCs w:val="21"/>
                <w:lang w:val="en-US" w:eastAsia="zh-CN"/>
              </w:rPr>
              <w:t>21</w:t>
            </w:r>
            <w:r>
              <w:rPr>
                <w:rFonts w:ascii="Times New Roman" w:hAnsi="Times New Roman" w:eastAsia="仿宋_GB2312" w:cs="Times New Roman"/>
                <w:b/>
                <w:bCs/>
                <w:kern w:val="0"/>
                <w:sz w:val="21"/>
                <w:szCs w:val="21"/>
              </w:rPr>
              <w:t>年决算数</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b/>
                <w:bCs/>
                <w:kern w:val="0"/>
                <w:sz w:val="21"/>
                <w:szCs w:val="21"/>
              </w:rPr>
            </w:pPr>
            <w:r>
              <w:rPr>
                <w:rFonts w:ascii="Times New Roman" w:hAnsi="Times New Roman" w:eastAsia="仿宋_GB2312" w:cs="Times New Roman"/>
                <w:b/>
                <w:bCs/>
                <w:kern w:val="0"/>
                <w:sz w:val="21"/>
                <w:szCs w:val="21"/>
              </w:rPr>
              <w:t>202</w:t>
            </w:r>
            <w:r>
              <w:rPr>
                <w:rFonts w:hint="eastAsia" w:ascii="Times New Roman" w:hAnsi="Times New Roman" w:cs="Times New Roman"/>
                <w:b/>
                <w:bCs/>
                <w:kern w:val="0"/>
                <w:sz w:val="21"/>
                <w:szCs w:val="21"/>
                <w:lang w:val="en-US" w:eastAsia="zh-CN"/>
              </w:rPr>
              <w:t>2</w:t>
            </w:r>
            <w:r>
              <w:rPr>
                <w:rFonts w:ascii="Times New Roman" w:hAnsi="Times New Roman" w:eastAsia="仿宋_GB2312" w:cs="Times New Roman"/>
                <w:b/>
                <w:bCs/>
                <w:kern w:val="0"/>
                <w:sz w:val="21"/>
                <w:szCs w:val="21"/>
              </w:rPr>
              <w:t>年预算数</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b/>
                <w:bCs/>
                <w:kern w:val="0"/>
                <w:sz w:val="21"/>
                <w:szCs w:val="21"/>
              </w:rPr>
            </w:pPr>
            <w:r>
              <w:rPr>
                <w:rFonts w:ascii="Times New Roman" w:hAnsi="Times New Roman" w:eastAsia="仿宋_GB2312" w:cs="Times New Roman"/>
                <w:b/>
                <w:bCs/>
                <w:kern w:val="0"/>
                <w:sz w:val="21"/>
                <w:szCs w:val="21"/>
              </w:rPr>
              <w:t>202</w:t>
            </w:r>
            <w:r>
              <w:rPr>
                <w:rFonts w:hint="eastAsia" w:ascii="Times New Roman" w:hAnsi="Times New Roman" w:cs="Times New Roman"/>
                <w:b/>
                <w:bCs/>
                <w:kern w:val="0"/>
                <w:sz w:val="21"/>
                <w:szCs w:val="21"/>
                <w:lang w:val="en-US" w:eastAsia="zh-CN"/>
              </w:rPr>
              <w:t>2</w:t>
            </w:r>
            <w:r>
              <w:rPr>
                <w:rFonts w:ascii="Times New Roman" w:hAnsi="Times New Roman" w:eastAsia="仿宋_GB2312" w:cs="Times New Roman"/>
                <w:b/>
                <w:bCs/>
                <w:kern w:val="0"/>
                <w:sz w:val="21"/>
                <w:szCs w:val="21"/>
              </w:rPr>
              <w:t>年决算数</w:t>
            </w: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eastAsia" w:ascii="Times New Roman" w:hAnsi="Times New Roman" w:eastAsia="仿宋_GB2312" w:cs="Times New Roman"/>
                <w:kern w:val="0"/>
                <w:sz w:val="21"/>
                <w:szCs w:val="21"/>
                <w:lang w:eastAsia="zh-CN"/>
              </w:rPr>
            </w:pPr>
            <w:r>
              <w:rPr>
                <w:rFonts w:hint="eastAsia" w:ascii="Times New Roman" w:hAnsi="Times New Roman" w:cs="Times New Roman"/>
                <w:b/>
                <w:bCs/>
                <w:kern w:val="0"/>
                <w:sz w:val="21"/>
                <w:szCs w:val="21"/>
                <w:lang w:eastAsia="zh-CN"/>
              </w:rPr>
              <w:t>支出总额</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default" w:ascii="Times New Roman" w:hAnsi="Times New Roman" w:eastAsia="仿宋_GB2312" w:cs="Times New Roman"/>
                <w:b/>
                <w:bCs/>
                <w:kern w:val="0"/>
                <w:sz w:val="21"/>
                <w:szCs w:val="21"/>
                <w:lang w:val="en-US" w:eastAsia="zh-CN"/>
              </w:rPr>
            </w:pPr>
            <w:r>
              <w:rPr>
                <w:rFonts w:hint="eastAsia" w:ascii="Times New Roman" w:hAnsi="Times New Roman" w:cs="Times New Roman"/>
                <w:b/>
                <w:bCs/>
                <w:kern w:val="0"/>
                <w:sz w:val="21"/>
                <w:szCs w:val="21"/>
                <w:lang w:val="en-US" w:eastAsia="zh-CN"/>
              </w:rPr>
              <w:t>293.25</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default" w:ascii="Times New Roman" w:hAnsi="Times New Roman" w:eastAsia="仿宋_GB2312" w:cs="Times New Roman"/>
                <w:b/>
                <w:bCs/>
                <w:kern w:val="0"/>
                <w:sz w:val="21"/>
                <w:szCs w:val="21"/>
                <w:lang w:val="en-US" w:eastAsia="zh-CN"/>
              </w:rPr>
            </w:pPr>
            <w:r>
              <w:rPr>
                <w:rFonts w:hint="eastAsia" w:ascii="Times New Roman" w:hAnsi="Times New Roman" w:cs="Times New Roman"/>
                <w:b/>
                <w:bCs/>
                <w:kern w:val="0"/>
                <w:sz w:val="21"/>
                <w:szCs w:val="21"/>
                <w:lang w:val="en-US" w:eastAsia="zh-CN"/>
              </w:rPr>
              <w:t>259.85</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default" w:ascii="Times New Roman" w:hAnsi="Times New Roman" w:eastAsia="仿宋_GB2312" w:cs="Times New Roman"/>
                <w:b/>
                <w:bCs/>
                <w:kern w:val="0"/>
                <w:sz w:val="21"/>
                <w:szCs w:val="21"/>
                <w:lang w:val="en-US" w:eastAsia="zh-CN"/>
              </w:rPr>
            </w:pPr>
            <w:r>
              <w:rPr>
                <w:rFonts w:hint="eastAsia" w:ascii="Times New Roman" w:hAnsi="Times New Roman" w:cs="Times New Roman"/>
                <w:b/>
                <w:bCs/>
                <w:kern w:val="0"/>
                <w:sz w:val="21"/>
                <w:szCs w:val="21"/>
                <w:lang w:val="en-US" w:eastAsia="zh-CN"/>
              </w:rPr>
              <w:t>414.02</w:t>
            </w: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eastAsia" w:ascii="Times New Roman" w:hAnsi="Times New Roman" w:eastAsia="仿宋_GB2312" w:cs="Times New Roman"/>
                <w:kern w:val="0"/>
                <w:sz w:val="21"/>
                <w:szCs w:val="21"/>
                <w:lang w:val="en-US" w:eastAsia="zh-CN" w:bidi="ar-SA"/>
              </w:rPr>
            </w:pPr>
            <w:r>
              <w:rPr>
                <w:rFonts w:hint="eastAsia" w:ascii="Times New Roman" w:hAnsi="Times New Roman" w:cs="Times New Roman"/>
                <w:b/>
                <w:bCs/>
                <w:kern w:val="0"/>
                <w:sz w:val="21"/>
                <w:szCs w:val="21"/>
                <w:lang w:eastAsia="zh-CN"/>
              </w:rPr>
              <w:t>基本支出</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default" w:ascii="Times New Roman" w:hAnsi="Times New Roman" w:eastAsia="仿宋_GB2312" w:cs="Times New Roman"/>
                <w:kern w:val="0"/>
                <w:sz w:val="21"/>
                <w:szCs w:val="21"/>
                <w:lang w:val="en-US" w:eastAsia="zh-CN" w:bidi="ar-SA"/>
              </w:rPr>
            </w:pPr>
            <w:r>
              <w:rPr>
                <w:rFonts w:hint="eastAsia" w:ascii="Times New Roman" w:hAnsi="Times New Roman" w:cs="Times New Roman"/>
                <w:kern w:val="0"/>
                <w:sz w:val="21"/>
                <w:szCs w:val="21"/>
                <w:lang w:val="en-US" w:eastAsia="zh-CN" w:bidi="ar-SA"/>
              </w:rPr>
              <w:t>171.09</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193.85</w:t>
            </w:r>
            <w:r>
              <w:rPr>
                <w:rFonts w:ascii="Times New Roman" w:hAnsi="Times New Roman" w:eastAsia="仿宋_GB2312" w:cs="Times New Roman"/>
                <w:kern w:val="0"/>
                <w:sz w:val="21"/>
                <w:szCs w:val="21"/>
              </w:rPr>
              <w:t>　</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197.98</w:t>
            </w:r>
            <w:r>
              <w:rPr>
                <w:rFonts w:ascii="Times New Roman" w:hAnsi="Times New Roman" w:eastAsia="仿宋_GB2312" w:cs="Times New Roman"/>
                <w:kern w:val="0"/>
                <w:sz w:val="21"/>
                <w:szCs w:val="21"/>
              </w:rPr>
              <w:t>　</w:t>
            </w: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ascii="Times New Roman" w:hAnsi="Times New Roman" w:eastAsia="仿宋_GB2312" w:cs="Times New Roman"/>
                <w:kern w:val="0"/>
                <w:sz w:val="21"/>
                <w:szCs w:val="21"/>
                <w:lang w:val="en-US" w:eastAsia="zh-CN" w:bidi="ar-SA"/>
              </w:rPr>
            </w:pPr>
            <w:r>
              <w:rPr>
                <w:rFonts w:ascii="Times New Roman" w:hAnsi="Times New Roman" w:eastAsia="仿宋_GB2312" w:cs="Times New Roman"/>
                <w:kern w:val="0"/>
                <w:sz w:val="21"/>
                <w:szCs w:val="21"/>
              </w:rPr>
              <w:t xml:space="preserve">    其中：</w:t>
            </w:r>
            <w:r>
              <w:rPr>
                <w:rFonts w:hint="eastAsia" w:ascii="Times New Roman" w:hAnsi="Times New Roman" w:cs="Times New Roman"/>
                <w:kern w:val="0"/>
                <w:sz w:val="21"/>
                <w:szCs w:val="21"/>
                <w:lang w:eastAsia="zh-CN"/>
              </w:rPr>
              <w:t>公用</w:t>
            </w:r>
            <w:r>
              <w:rPr>
                <w:rFonts w:ascii="Times New Roman" w:hAnsi="Times New Roman" w:eastAsia="仿宋_GB2312" w:cs="Times New Roman"/>
                <w:kern w:val="0"/>
                <w:sz w:val="21"/>
                <w:szCs w:val="21"/>
              </w:rPr>
              <w:t>经费</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default" w:ascii="Times New Roman" w:hAnsi="Times New Roman" w:eastAsia="仿宋_GB2312" w:cs="Times New Roman"/>
                <w:kern w:val="0"/>
                <w:sz w:val="21"/>
                <w:szCs w:val="21"/>
                <w:lang w:val="en-US" w:eastAsia="zh-CN" w:bidi="ar-SA"/>
              </w:rPr>
            </w:pPr>
            <w:r>
              <w:rPr>
                <w:rFonts w:hint="eastAsia" w:ascii="Times New Roman" w:hAnsi="Times New Roman" w:cs="Times New Roman"/>
                <w:kern w:val="0"/>
                <w:sz w:val="21"/>
                <w:szCs w:val="21"/>
                <w:lang w:val="en-US" w:eastAsia="zh-CN" w:bidi="ar-SA"/>
              </w:rPr>
              <w:t>7.45</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16.3</w:t>
            </w:r>
            <w:r>
              <w:rPr>
                <w:rFonts w:ascii="Times New Roman" w:hAnsi="Times New Roman" w:eastAsia="仿宋_GB2312" w:cs="Times New Roman"/>
                <w:kern w:val="0"/>
                <w:sz w:val="21"/>
                <w:szCs w:val="21"/>
              </w:rPr>
              <w:t>　</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15.67</w:t>
            </w:r>
            <w:r>
              <w:rPr>
                <w:rFonts w:ascii="Times New Roman" w:hAnsi="Times New Roman" w:eastAsia="仿宋_GB2312" w:cs="Times New Roman"/>
                <w:kern w:val="0"/>
                <w:sz w:val="21"/>
                <w:szCs w:val="21"/>
              </w:rPr>
              <w:t>　</w:t>
            </w: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ascii="Times New Roman" w:hAnsi="Times New Roman" w:eastAsia="仿宋_GB2312" w:cs="Times New Roman"/>
                <w:kern w:val="0"/>
                <w:sz w:val="21"/>
                <w:szCs w:val="21"/>
                <w:lang w:val="en-US" w:eastAsia="zh-CN" w:bidi="ar-SA"/>
              </w:rPr>
            </w:pPr>
            <w:r>
              <w:rPr>
                <w:rFonts w:ascii="Times New Roman" w:hAnsi="Times New Roman" w:eastAsia="仿宋_GB2312" w:cs="Times New Roman"/>
                <w:b/>
                <w:bCs/>
                <w:kern w:val="0"/>
                <w:sz w:val="21"/>
                <w:szCs w:val="21"/>
              </w:rPr>
              <w:t>项目支出</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default" w:ascii="Times New Roman" w:hAnsi="Times New Roman" w:eastAsia="仿宋_GB2312" w:cs="Times New Roman"/>
                <w:kern w:val="0"/>
                <w:sz w:val="21"/>
                <w:szCs w:val="21"/>
                <w:lang w:val="en-US" w:eastAsia="zh-CN" w:bidi="ar-SA"/>
              </w:rPr>
            </w:pPr>
            <w:r>
              <w:rPr>
                <w:rFonts w:hint="eastAsia" w:ascii="Times New Roman" w:hAnsi="Times New Roman" w:cs="Times New Roman"/>
                <w:kern w:val="0"/>
                <w:sz w:val="21"/>
                <w:szCs w:val="21"/>
                <w:lang w:val="en-US" w:eastAsia="zh-CN" w:bidi="ar-SA"/>
              </w:rPr>
              <w:t>122.17</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66</w:t>
            </w:r>
            <w:r>
              <w:rPr>
                <w:rFonts w:ascii="Times New Roman" w:hAnsi="Times New Roman" w:eastAsia="仿宋_GB2312" w:cs="Times New Roman"/>
                <w:kern w:val="0"/>
                <w:sz w:val="21"/>
                <w:szCs w:val="21"/>
              </w:rPr>
              <w:t>　</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default" w:ascii="Times New Roman" w:hAnsi="Times New Roman" w:eastAsia="仿宋_GB2312" w:cs="Times New Roman"/>
                <w:kern w:val="0"/>
                <w:sz w:val="21"/>
                <w:szCs w:val="21"/>
                <w:lang w:val="en-US" w:eastAsia="zh-CN"/>
              </w:rPr>
            </w:pPr>
            <w:r>
              <w:rPr>
                <w:rFonts w:ascii="Times New Roman" w:hAnsi="Times New Roman" w:eastAsia="仿宋_GB2312" w:cs="Times New Roman"/>
                <w:kern w:val="0"/>
                <w:sz w:val="21"/>
                <w:szCs w:val="21"/>
              </w:rPr>
              <w:t>　</w:t>
            </w:r>
            <w:r>
              <w:rPr>
                <w:rFonts w:hint="eastAsia" w:ascii="Times New Roman" w:hAnsi="Times New Roman" w:cs="Times New Roman"/>
                <w:kern w:val="0"/>
                <w:sz w:val="21"/>
                <w:szCs w:val="21"/>
                <w:lang w:val="en-US" w:eastAsia="zh-CN"/>
              </w:rPr>
              <w:t>216.04</w:t>
            </w: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default" w:ascii="Times New Roman" w:hAnsi="Times New Roman" w:eastAsia="仿宋_GB2312" w:cs="Times New Roman"/>
                <w:b/>
                <w:bCs/>
                <w:kern w:val="0"/>
                <w:sz w:val="21"/>
                <w:szCs w:val="21"/>
                <w:lang w:val="en-US" w:eastAsia="zh-CN"/>
              </w:rPr>
            </w:pPr>
            <w:r>
              <w:rPr>
                <w:rFonts w:ascii="Times New Roman" w:hAnsi="Times New Roman" w:eastAsia="仿宋_GB2312" w:cs="Times New Roman"/>
                <w:kern w:val="0"/>
                <w:sz w:val="21"/>
                <w:szCs w:val="21"/>
              </w:rPr>
              <w:t xml:space="preserve"> </w:t>
            </w:r>
            <w:r>
              <w:rPr>
                <w:rFonts w:hint="eastAsia" w:ascii="Times New Roman" w:hAnsi="Times New Roman" w:cs="Times New Roman"/>
                <w:kern w:val="0"/>
                <w:sz w:val="21"/>
                <w:szCs w:val="21"/>
                <w:lang w:val="en-US" w:eastAsia="zh-CN"/>
              </w:rPr>
              <w:t xml:space="preserve">   </w:t>
            </w:r>
            <w:r>
              <w:rPr>
                <w:rFonts w:hint="eastAsia" w:ascii="Times New Roman" w:hAnsi="Times New Roman" w:cs="Times New Roman"/>
                <w:kern w:val="0"/>
                <w:sz w:val="21"/>
                <w:szCs w:val="21"/>
                <w:lang w:eastAsia="zh-CN"/>
              </w:rPr>
              <w:t>其中：</w:t>
            </w:r>
            <w:r>
              <w:rPr>
                <w:rFonts w:hint="eastAsia" w:ascii="Times New Roman" w:hAnsi="Times New Roman" w:cs="Times New Roman"/>
                <w:kern w:val="0"/>
                <w:sz w:val="21"/>
                <w:szCs w:val="21"/>
                <w:lang w:val="en-US" w:eastAsia="zh-CN"/>
              </w:rPr>
              <w:t>1、技术研究与开发</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default" w:ascii="Times New Roman" w:hAnsi="Times New Roman" w:eastAsia="仿宋_GB2312" w:cs="Times New Roman"/>
                <w:kern w:val="0"/>
                <w:sz w:val="21"/>
                <w:szCs w:val="21"/>
                <w:lang w:val="en-US" w:eastAsia="zh-CN" w:bidi="ar-SA"/>
              </w:rPr>
            </w:pPr>
            <w:r>
              <w:rPr>
                <w:rFonts w:hint="eastAsia" w:ascii="Times New Roman" w:hAnsi="Times New Roman" w:cs="Times New Roman"/>
                <w:kern w:val="0"/>
                <w:sz w:val="21"/>
                <w:szCs w:val="21"/>
                <w:lang w:val="en-US" w:eastAsia="zh-CN" w:bidi="ar-SA"/>
              </w:rPr>
              <w:t>15.55</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default" w:ascii="Times New Roman" w:hAnsi="Times New Roman" w:eastAsia="仿宋_GB2312" w:cs="Times New Roman"/>
                <w:kern w:val="0"/>
                <w:sz w:val="21"/>
                <w:szCs w:val="21"/>
                <w:lang w:val="en-US" w:eastAsia="zh-CN"/>
              </w:rPr>
            </w:pPr>
            <w:r>
              <w:rPr>
                <w:rFonts w:hint="eastAsia" w:ascii="Times New Roman" w:hAnsi="Times New Roman" w:cs="Times New Roman"/>
                <w:kern w:val="0"/>
                <w:sz w:val="21"/>
                <w:szCs w:val="21"/>
                <w:lang w:val="en-US" w:eastAsia="zh-CN"/>
              </w:rPr>
              <w:t>/</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default" w:ascii="Times New Roman" w:hAnsi="Times New Roman" w:eastAsia="仿宋_GB2312" w:cs="Times New Roman"/>
                <w:kern w:val="0"/>
                <w:sz w:val="21"/>
                <w:szCs w:val="21"/>
                <w:lang w:val="en-US" w:eastAsia="zh-CN"/>
              </w:rPr>
            </w:pPr>
            <w:r>
              <w:rPr>
                <w:rFonts w:hint="eastAsia" w:ascii="Times New Roman" w:hAnsi="Times New Roman" w:cs="Times New Roman"/>
                <w:kern w:val="0"/>
                <w:sz w:val="21"/>
                <w:szCs w:val="21"/>
                <w:lang w:val="en-US" w:eastAsia="zh-CN"/>
              </w:rPr>
              <w:t>/</w:t>
            </w:r>
          </w:p>
        </w:tc>
      </w:tr>
      <w:tr>
        <w:tblPrEx>
          <w:tblCellMar>
            <w:top w:w="0" w:type="dxa"/>
            <w:left w:w="108" w:type="dxa"/>
            <w:bottom w:w="0" w:type="dxa"/>
            <w:right w:w="108" w:type="dxa"/>
          </w:tblCellMar>
        </w:tblPrEx>
        <w:trPr>
          <w:trHeight w:val="580"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left"/>
              <w:textAlignment w:val="auto"/>
              <w:rPr>
                <w:rFonts w:hint="default" w:ascii="Times New Roman" w:hAnsi="Times New Roman" w:eastAsia="仿宋_GB2312" w:cs="Times New Roman"/>
                <w:kern w:val="0"/>
                <w:sz w:val="21"/>
                <w:szCs w:val="21"/>
                <w:lang w:val="en-US" w:eastAsia="zh-CN" w:bidi="ar-SA"/>
              </w:rPr>
            </w:pPr>
            <w:r>
              <w:rPr>
                <w:rFonts w:hint="eastAsia" w:ascii="Times New Roman" w:hAnsi="Times New Roman" w:cs="Times New Roman"/>
                <w:kern w:val="0"/>
                <w:sz w:val="21"/>
                <w:szCs w:val="21"/>
                <w:lang w:val="en-US" w:eastAsia="zh-CN" w:bidi="ar-SA"/>
              </w:rPr>
              <w:t>2、科学技术支出</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center"/>
              <w:textAlignment w:val="auto"/>
              <w:rPr>
                <w:rFonts w:hint="default" w:ascii="Times New Roman" w:hAnsi="Times New Roman" w:eastAsia="仿宋_GB2312" w:cs="Times New Roman"/>
                <w:kern w:val="0"/>
                <w:sz w:val="21"/>
                <w:szCs w:val="21"/>
                <w:lang w:val="en-US" w:eastAsia="zh-CN" w:bidi="ar-SA"/>
              </w:rPr>
            </w:pPr>
            <w:r>
              <w:rPr>
                <w:rFonts w:hint="eastAsia" w:ascii="Times New Roman" w:hAnsi="Times New Roman" w:cs="Times New Roman"/>
                <w:kern w:val="0"/>
                <w:sz w:val="21"/>
                <w:szCs w:val="21"/>
                <w:lang w:val="en-US" w:eastAsia="zh-CN" w:bidi="ar-SA"/>
              </w:rPr>
              <w:t>106.62</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center"/>
              <w:textAlignment w:val="auto"/>
              <w:rPr>
                <w:rFonts w:hint="eastAsia" w:ascii="Times New Roman" w:hAnsi="Times New Roman" w:eastAsia="仿宋_GB2312" w:cs="Times New Roman"/>
                <w:kern w:val="0"/>
                <w:sz w:val="21"/>
                <w:szCs w:val="21"/>
                <w:lang w:val="en-US" w:eastAsia="zh-CN"/>
              </w:rPr>
            </w:pPr>
            <w:r>
              <w:rPr>
                <w:rFonts w:hint="eastAsia" w:ascii="Times New Roman" w:hAnsi="Times New Roman" w:cs="Times New Roman"/>
                <w:kern w:val="0"/>
                <w:sz w:val="21"/>
                <w:szCs w:val="21"/>
                <w:lang w:val="en-US" w:eastAsia="zh-CN"/>
              </w:rPr>
              <w:t>/</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center"/>
              <w:textAlignment w:val="auto"/>
              <w:rPr>
                <w:rFonts w:hint="default" w:ascii="Times New Roman" w:hAnsi="Times New Roman" w:eastAsia="仿宋_GB2312" w:cs="Times New Roman"/>
                <w:kern w:val="0"/>
                <w:sz w:val="21"/>
                <w:szCs w:val="21"/>
                <w:lang w:val="en-US" w:eastAsia="zh-CN"/>
              </w:rPr>
            </w:pPr>
            <w:r>
              <w:rPr>
                <w:rFonts w:hint="eastAsia" w:ascii="Times New Roman" w:hAnsi="Times New Roman" w:cs="Times New Roman"/>
                <w:kern w:val="0"/>
                <w:sz w:val="21"/>
                <w:szCs w:val="21"/>
                <w:lang w:val="en-US" w:eastAsia="zh-CN"/>
              </w:rPr>
              <w:t>/</w:t>
            </w: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default" w:ascii="Times New Roman" w:hAnsi="Times New Roman" w:eastAsia="仿宋_GB2312" w:cs="Times New Roman"/>
                <w:kern w:val="0"/>
                <w:sz w:val="21"/>
                <w:szCs w:val="21"/>
                <w:lang w:val="en-US" w:eastAsia="zh-CN" w:bidi="ar-SA"/>
              </w:rPr>
            </w:pPr>
            <w:r>
              <w:rPr>
                <w:rFonts w:hint="eastAsia" w:ascii="Times New Roman" w:hAnsi="Times New Roman" w:cs="Times New Roman"/>
                <w:kern w:val="0"/>
                <w:sz w:val="21"/>
                <w:szCs w:val="21"/>
                <w:lang w:val="en-US" w:eastAsia="zh-CN"/>
              </w:rPr>
              <w:t>3、科技三项费：项目研究与开发</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default" w:ascii="Times New Roman" w:hAnsi="Times New Roman" w:eastAsia="仿宋_GB2312" w:cs="Times New Roman"/>
                <w:kern w:val="0"/>
                <w:sz w:val="21"/>
                <w:szCs w:val="21"/>
                <w:lang w:val="en-US" w:eastAsia="zh-CN" w:bidi="ar-SA"/>
              </w:rPr>
            </w:pPr>
            <w:r>
              <w:rPr>
                <w:rFonts w:hint="eastAsia" w:ascii="Times New Roman" w:hAnsi="Times New Roman" w:cs="Times New Roman"/>
                <w:kern w:val="0"/>
                <w:sz w:val="21"/>
                <w:szCs w:val="21"/>
                <w:lang w:val="en-US" w:eastAsia="zh-CN" w:bidi="ar-SA"/>
              </w:rPr>
              <w:t>/</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58</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44.04</w:t>
            </w: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left"/>
              <w:textAlignment w:val="auto"/>
              <w:rPr>
                <w:rFonts w:ascii="Times New Roman" w:hAnsi="Times New Roman" w:eastAsia="仿宋_GB2312" w:cs="Times New Roman"/>
                <w:kern w:val="0"/>
                <w:sz w:val="21"/>
                <w:szCs w:val="21"/>
                <w:lang w:val="en-US" w:eastAsia="zh-CN" w:bidi="ar-SA"/>
              </w:rPr>
            </w:pPr>
            <w:r>
              <w:rPr>
                <w:rFonts w:hint="eastAsia" w:ascii="Times New Roman" w:hAnsi="Times New Roman" w:cs="Times New Roman"/>
                <w:kern w:val="0"/>
                <w:sz w:val="21"/>
                <w:szCs w:val="21"/>
                <w:lang w:val="en-US" w:eastAsia="zh-CN"/>
              </w:rPr>
              <w:t>4、</w:t>
            </w:r>
            <w:r>
              <w:rPr>
                <w:rFonts w:hint="eastAsia" w:ascii="Times New Roman" w:hAnsi="Times New Roman" w:cs="Times New Roman"/>
                <w:kern w:val="0"/>
                <w:sz w:val="21"/>
                <w:szCs w:val="21"/>
                <w:lang w:eastAsia="zh-CN"/>
              </w:rPr>
              <w:t>高新技术与成果转化经费</w:t>
            </w:r>
            <w:r>
              <w:rPr>
                <w:rFonts w:ascii="Times New Roman" w:hAnsi="Times New Roman" w:eastAsia="仿宋_GB2312" w:cs="Times New Roman"/>
                <w:kern w:val="0"/>
                <w:sz w:val="21"/>
                <w:szCs w:val="21"/>
              </w:rPr>
              <w:t xml:space="preserve"> </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center"/>
              <w:textAlignment w:val="auto"/>
              <w:rPr>
                <w:rFonts w:hint="default" w:ascii="Times New Roman" w:hAnsi="Times New Roman" w:eastAsia="仿宋_GB2312" w:cs="Times New Roman"/>
                <w:kern w:val="0"/>
                <w:sz w:val="21"/>
                <w:szCs w:val="21"/>
                <w:lang w:val="en-US" w:eastAsia="zh-CN" w:bidi="ar-SA"/>
              </w:rPr>
            </w:pPr>
            <w:r>
              <w:rPr>
                <w:rFonts w:hint="eastAsia" w:ascii="Times New Roman" w:hAnsi="Times New Roman" w:cs="Times New Roman"/>
                <w:kern w:val="0"/>
                <w:sz w:val="21"/>
                <w:szCs w:val="21"/>
                <w:lang w:val="en-US" w:eastAsia="zh-CN" w:bidi="ar-SA"/>
              </w:rPr>
              <w:t>/</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8</w:t>
            </w:r>
            <w:r>
              <w:rPr>
                <w:rFonts w:ascii="Times New Roman" w:hAnsi="Times New Roman" w:eastAsia="仿宋_GB2312" w:cs="Times New Roman"/>
                <w:kern w:val="0"/>
                <w:sz w:val="21"/>
                <w:szCs w:val="21"/>
              </w:rPr>
              <w:t>　</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　</w:t>
            </w:r>
            <w:r>
              <w:rPr>
                <w:rFonts w:hint="eastAsia" w:ascii="Times New Roman" w:hAnsi="Times New Roman" w:cs="Times New Roman"/>
                <w:kern w:val="0"/>
                <w:sz w:val="21"/>
                <w:szCs w:val="21"/>
                <w:lang w:val="en-US" w:eastAsia="zh-CN"/>
              </w:rPr>
              <w:t>8</w:t>
            </w: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5.区级科技创新奖励</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default" w:ascii="Times New Roman" w:hAnsi="Times New Roman" w:eastAsia="仿宋_GB2312" w:cs="Times New Roman"/>
                <w:kern w:val="0"/>
                <w:sz w:val="21"/>
                <w:szCs w:val="21"/>
                <w:lang w:val="en-US" w:eastAsia="zh-CN" w:bidi="ar-SA"/>
              </w:rPr>
            </w:pPr>
            <w:r>
              <w:rPr>
                <w:rFonts w:hint="eastAsia" w:ascii="Times New Roman" w:hAnsi="Times New Roman" w:cs="Times New Roman"/>
                <w:kern w:val="0"/>
                <w:sz w:val="21"/>
                <w:szCs w:val="21"/>
                <w:lang w:val="en-US" w:eastAsia="zh-CN" w:bidi="ar-SA"/>
              </w:rPr>
              <w:t>/</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Times New Roman" w:hAnsi="Times New Roman" w:eastAsia="仿宋_GB2312" w:cs="Times New Roman"/>
                <w:kern w:val="0"/>
                <w:sz w:val="21"/>
                <w:szCs w:val="21"/>
                <w:lang w:val="en-US" w:eastAsia="zh-CN"/>
              </w:rPr>
            </w:pPr>
            <w:r>
              <w:rPr>
                <w:rFonts w:ascii="Times New Roman" w:hAnsi="Times New Roman" w:eastAsia="仿宋_GB2312" w:cs="Times New Roman"/>
                <w:kern w:val="0"/>
                <w:sz w:val="21"/>
                <w:szCs w:val="21"/>
              </w:rPr>
              <w:t>　</w:t>
            </w:r>
            <w:r>
              <w:rPr>
                <w:rFonts w:hint="eastAsia" w:ascii="Times New Roman" w:hAnsi="Times New Roman" w:cs="Times New Roman"/>
                <w:kern w:val="0"/>
                <w:sz w:val="21"/>
                <w:szCs w:val="21"/>
                <w:lang w:val="en-US" w:eastAsia="zh-CN"/>
              </w:rPr>
              <w:t>/</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164</w:t>
            </w:r>
            <w:r>
              <w:rPr>
                <w:rFonts w:ascii="Times New Roman" w:hAnsi="Times New Roman" w:eastAsia="仿宋_GB2312" w:cs="Times New Roman"/>
                <w:kern w:val="0"/>
                <w:sz w:val="21"/>
                <w:szCs w:val="21"/>
              </w:rPr>
              <w:t>　</w:t>
            </w: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ascii="Times New Roman" w:hAnsi="Times New Roman" w:eastAsia="仿宋_GB2312" w:cs="Times New Roman"/>
                <w:kern w:val="0"/>
                <w:sz w:val="21"/>
                <w:szCs w:val="21"/>
                <w:lang w:val="en-US" w:eastAsia="zh-CN" w:bidi="ar-SA"/>
              </w:rPr>
            </w:pPr>
            <w:r>
              <w:rPr>
                <w:rFonts w:ascii="Times New Roman" w:hAnsi="Times New Roman" w:eastAsia="仿宋_GB2312" w:cs="Times New Roman"/>
                <w:b/>
                <w:bCs/>
                <w:kern w:val="0"/>
                <w:sz w:val="21"/>
                <w:szCs w:val="21"/>
              </w:rPr>
              <w:t>三公经费</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0</w:t>
            </w:r>
            <w:r>
              <w:rPr>
                <w:rFonts w:ascii="Times New Roman" w:hAnsi="Times New Roman" w:eastAsia="仿宋_GB2312" w:cs="Times New Roman"/>
                <w:kern w:val="0"/>
                <w:sz w:val="21"/>
                <w:szCs w:val="21"/>
              </w:rPr>
              <w:t>　</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0</w:t>
            </w:r>
            <w:r>
              <w:rPr>
                <w:rFonts w:ascii="Times New Roman" w:hAnsi="Times New Roman" w:eastAsia="仿宋_GB2312" w:cs="Times New Roman"/>
                <w:kern w:val="0"/>
                <w:sz w:val="21"/>
                <w:szCs w:val="21"/>
              </w:rPr>
              <w:t>　</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0</w:t>
            </w:r>
            <w:r>
              <w:rPr>
                <w:rFonts w:ascii="Times New Roman" w:hAnsi="Times New Roman" w:eastAsia="仿宋_GB2312" w:cs="Times New Roman"/>
                <w:kern w:val="0"/>
                <w:sz w:val="21"/>
                <w:szCs w:val="21"/>
              </w:rPr>
              <w:t>　</w:t>
            </w: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ascii="Times New Roman" w:hAnsi="Times New Roman" w:eastAsia="仿宋_GB2312" w:cs="Times New Roman"/>
                <w:kern w:val="0"/>
                <w:sz w:val="21"/>
                <w:szCs w:val="21"/>
                <w:lang w:val="en-US" w:eastAsia="zh-CN" w:bidi="ar-SA"/>
              </w:rPr>
            </w:pPr>
            <w:r>
              <w:rPr>
                <w:rFonts w:ascii="Times New Roman" w:hAnsi="Times New Roman" w:eastAsia="仿宋_GB2312" w:cs="Times New Roman"/>
                <w:kern w:val="0"/>
                <w:sz w:val="21"/>
                <w:szCs w:val="21"/>
              </w:rPr>
              <w:t xml:space="preserve">   1、公务用车购置和维护经费</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Times New Roman" w:hAnsi="Times New Roman" w:eastAsia="仿宋_GB2312" w:cs="Times New Roman"/>
                <w:kern w:val="0"/>
                <w:sz w:val="21"/>
                <w:szCs w:val="21"/>
                <w:lang w:val="en-US" w:eastAsia="zh-CN"/>
              </w:rPr>
            </w:pPr>
            <w:r>
              <w:rPr>
                <w:rFonts w:hint="eastAsia" w:ascii="Times New Roman" w:hAnsi="Times New Roman" w:cs="Times New Roman"/>
                <w:kern w:val="0"/>
                <w:sz w:val="21"/>
                <w:szCs w:val="21"/>
                <w:lang w:val="en-US" w:eastAsia="zh-CN"/>
              </w:rPr>
              <w:t>0</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Times New Roman" w:hAnsi="Times New Roman" w:eastAsia="仿宋_GB2312" w:cs="Times New Roman"/>
                <w:kern w:val="0"/>
                <w:sz w:val="21"/>
                <w:szCs w:val="21"/>
                <w:lang w:val="en-US" w:eastAsia="zh-CN"/>
              </w:rPr>
            </w:pPr>
            <w:r>
              <w:rPr>
                <w:rFonts w:hint="eastAsia" w:ascii="Times New Roman" w:hAnsi="Times New Roman" w:cs="Times New Roman"/>
                <w:kern w:val="0"/>
                <w:sz w:val="21"/>
                <w:szCs w:val="21"/>
                <w:lang w:val="en-US" w:eastAsia="zh-CN"/>
              </w:rPr>
              <w:t>0</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Times New Roman" w:hAnsi="Times New Roman" w:eastAsia="仿宋_GB2312" w:cs="Times New Roman"/>
                <w:kern w:val="0"/>
                <w:sz w:val="21"/>
                <w:szCs w:val="21"/>
                <w:lang w:val="en-US" w:eastAsia="zh-CN"/>
              </w:rPr>
            </w:pPr>
            <w:r>
              <w:rPr>
                <w:rFonts w:hint="eastAsia" w:ascii="Times New Roman" w:hAnsi="Times New Roman" w:cs="Times New Roman"/>
                <w:kern w:val="0"/>
                <w:sz w:val="21"/>
                <w:szCs w:val="21"/>
                <w:lang w:val="en-US" w:eastAsia="zh-CN"/>
              </w:rPr>
              <w:t>0</w:t>
            </w: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ascii="Times New Roman" w:hAnsi="Times New Roman" w:eastAsia="仿宋_GB2312" w:cs="Times New Roman"/>
                <w:kern w:val="0"/>
                <w:sz w:val="21"/>
                <w:szCs w:val="21"/>
                <w:lang w:val="en-US" w:eastAsia="zh-CN" w:bidi="ar-SA"/>
              </w:rPr>
            </w:pPr>
            <w:r>
              <w:rPr>
                <w:rFonts w:ascii="Times New Roman" w:hAnsi="Times New Roman" w:eastAsia="仿宋_GB2312" w:cs="Times New Roman"/>
                <w:kern w:val="0"/>
                <w:sz w:val="21"/>
                <w:szCs w:val="21"/>
              </w:rPr>
              <w:t xml:space="preserve">       其中：公车购置</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　</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　</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　</w:t>
            </w: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ascii="Times New Roman" w:hAnsi="Times New Roman" w:eastAsia="仿宋_GB2312" w:cs="Times New Roman"/>
                <w:kern w:val="0"/>
                <w:sz w:val="21"/>
                <w:szCs w:val="21"/>
                <w:lang w:val="en-US" w:eastAsia="zh-CN" w:bidi="ar-SA"/>
              </w:rPr>
            </w:pPr>
            <w:r>
              <w:rPr>
                <w:rFonts w:ascii="Times New Roman" w:hAnsi="Times New Roman" w:eastAsia="仿宋_GB2312" w:cs="Times New Roman"/>
                <w:kern w:val="0"/>
                <w:sz w:val="21"/>
                <w:szCs w:val="21"/>
              </w:rPr>
              <w:t xml:space="preserve">             公车运行维护</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ascii="Times New Roman" w:hAnsi="Times New Roman" w:eastAsia="仿宋_GB2312" w:cs="Times New Roman"/>
                <w:kern w:val="0"/>
                <w:sz w:val="21"/>
                <w:szCs w:val="21"/>
                <w:lang w:val="en-US" w:eastAsia="zh-CN" w:bidi="ar-SA"/>
              </w:rPr>
            </w:pPr>
            <w:r>
              <w:rPr>
                <w:rFonts w:ascii="Times New Roman" w:hAnsi="Times New Roman" w:eastAsia="仿宋_GB2312" w:cs="Times New Roman"/>
                <w:kern w:val="0"/>
                <w:sz w:val="21"/>
                <w:szCs w:val="21"/>
              </w:rPr>
              <w:t xml:space="preserve">   2、出国经费</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Times New Roman" w:hAnsi="Times New Roman" w:eastAsia="仿宋_GB2312" w:cs="Times New Roman"/>
                <w:kern w:val="0"/>
                <w:sz w:val="21"/>
                <w:szCs w:val="21"/>
                <w:lang w:val="en-US" w:eastAsia="zh-CN"/>
              </w:rPr>
            </w:pPr>
            <w:r>
              <w:rPr>
                <w:rFonts w:ascii="Times New Roman" w:hAnsi="Times New Roman" w:eastAsia="仿宋_GB2312" w:cs="Times New Roman"/>
                <w:kern w:val="0"/>
                <w:sz w:val="21"/>
                <w:szCs w:val="21"/>
              </w:rPr>
              <w:t>　</w:t>
            </w:r>
            <w:r>
              <w:rPr>
                <w:rFonts w:hint="eastAsia" w:ascii="Times New Roman" w:hAnsi="Times New Roman" w:cs="Times New Roman"/>
                <w:kern w:val="0"/>
                <w:sz w:val="21"/>
                <w:szCs w:val="21"/>
                <w:lang w:val="en-US" w:eastAsia="zh-CN"/>
              </w:rPr>
              <w:t>0</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Times New Roman" w:hAnsi="Times New Roman" w:eastAsia="仿宋_GB2312" w:cs="Times New Roman"/>
                <w:kern w:val="0"/>
                <w:sz w:val="21"/>
                <w:szCs w:val="21"/>
                <w:lang w:val="en-US" w:eastAsia="zh-CN"/>
              </w:rPr>
            </w:pPr>
            <w:r>
              <w:rPr>
                <w:rFonts w:ascii="Times New Roman" w:hAnsi="Times New Roman" w:eastAsia="仿宋_GB2312" w:cs="Times New Roman"/>
                <w:kern w:val="0"/>
                <w:sz w:val="21"/>
                <w:szCs w:val="21"/>
              </w:rPr>
              <w:t>　</w:t>
            </w:r>
            <w:r>
              <w:rPr>
                <w:rFonts w:hint="eastAsia" w:ascii="Times New Roman" w:hAnsi="Times New Roman" w:cs="Times New Roman"/>
                <w:kern w:val="0"/>
                <w:sz w:val="21"/>
                <w:szCs w:val="21"/>
                <w:lang w:val="en-US" w:eastAsia="zh-CN"/>
              </w:rPr>
              <w:t>0</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0</w:t>
            </w:r>
            <w:r>
              <w:rPr>
                <w:rFonts w:ascii="Times New Roman" w:hAnsi="Times New Roman" w:eastAsia="仿宋_GB2312" w:cs="Times New Roman"/>
                <w:kern w:val="0"/>
                <w:sz w:val="21"/>
                <w:szCs w:val="21"/>
              </w:rPr>
              <w:t>　</w:t>
            </w: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ascii="Times New Roman" w:hAnsi="Times New Roman" w:eastAsia="仿宋_GB2312" w:cs="Times New Roman"/>
                <w:kern w:val="0"/>
                <w:sz w:val="21"/>
                <w:szCs w:val="21"/>
                <w:lang w:val="en-US" w:eastAsia="zh-CN" w:bidi="ar-SA"/>
              </w:rPr>
            </w:pPr>
            <w:r>
              <w:rPr>
                <w:rFonts w:ascii="Times New Roman" w:hAnsi="Times New Roman" w:eastAsia="仿宋_GB2312" w:cs="Times New Roman"/>
                <w:kern w:val="0"/>
                <w:sz w:val="21"/>
                <w:szCs w:val="21"/>
              </w:rPr>
              <w:t xml:space="preserve">   3、公务接待</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Times New Roman" w:hAnsi="Times New Roman" w:eastAsia="仿宋_GB2312" w:cs="Times New Roman"/>
                <w:color w:val="FF0000"/>
                <w:kern w:val="0"/>
                <w:sz w:val="21"/>
                <w:szCs w:val="21"/>
                <w:lang w:val="en-US" w:eastAsia="zh-CN"/>
              </w:rPr>
            </w:pPr>
            <w:r>
              <w:rPr>
                <w:rFonts w:ascii="Times New Roman" w:hAnsi="Times New Roman" w:eastAsia="仿宋_GB2312" w:cs="Times New Roman"/>
                <w:color w:val="FF0000"/>
                <w:kern w:val="0"/>
                <w:sz w:val="21"/>
                <w:szCs w:val="21"/>
              </w:rPr>
              <w:t>　</w:t>
            </w:r>
            <w:r>
              <w:rPr>
                <w:rFonts w:hint="eastAsia" w:ascii="Times New Roman" w:hAnsi="Times New Roman" w:cs="Times New Roman"/>
                <w:color w:val="FF0000"/>
                <w:kern w:val="0"/>
                <w:sz w:val="21"/>
                <w:szCs w:val="21"/>
                <w:lang w:val="en-US" w:eastAsia="zh-CN"/>
              </w:rPr>
              <w:t>0</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color w:val="FF0000"/>
                <w:kern w:val="0"/>
                <w:sz w:val="21"/>
                <w:szCs w:val="21"/>
              </w:rPr>
            </w:pPr>
            <w:r>
              <w:rPr>
                <w:rFonts w:hint="eastAsia" w:ascii="Times New Roman" w:hAnsi="Times New Roman" w:cs="Times New Roman"/>
                <w:color w:val="FF0000"/>
                <w:kern w:val="0"/>
                <w:sz w:val="21"/>
                <w:szCs w:val="21"/>
                <w:lang w:val="en-US" w:eastAsia="zh-CN"/>
              </w:rPr>
              <w:t>0</w:t>
            </w:r>
            <w:r>
              <w:rPr>
                <w:rFonts w:ascii="Times New Roman" w:hAnsi="Times New Roman" w:eastAsia="仿宋_GB2312" w:cs="Times New Roman"/>
                <w:color w:val="FF0000"/>
                <w:kern w:val="0"/>
                <w:sz w:val="21"/>
                <w:szCs w:val="21"/>
              </w:rPr>
              <w:t>　</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color w:val="FF0000"/>
                <w:kern w:val="0"/>
                <w:sz w:val="21"/>
                <w:szCs w:val="21"/>
              </w:rPr>
            </w:pPr>
            <w:r>
              <w:rPr>
                <w:rFonts w:hint="eastAsia" w:ascii="Times New Roman" w:hAnsi="Times New Roman" w:cs="Times New Roman"/>
                <w:color w:val="FF0000"/>
                <w:kern w:val="0"/>
                <w:sz w:val="21"/>
                <w:szCs w:val="21"/>
                <w:lang w:val="en-US" w:eastAsia="zh-CN"/>
              </w:rPr>
              <w:t>0</w:t>
            </w:r>
            <w:r>
              <w:rPr>
                <w:rFonts w:ascii="Times New Roman" w:hAnsi="Times New Roman" w:eastAsia="仿宋_GB2312" w:cs="Times New Roman"/>
                <w:color w:val="FF0000"/>
                <w:kern w:val="0"/>
                <w:sz w:val="21"/>
                <w:szCs w:val="21"/>
              </w:rPr>
              <w:t>　</w:t>
            </w:r>
          </w:p>
        </w:tc>
      </w:tr>
      <w:tr>
        <w:tblPrEx>
          <w:tblCellMar>
            <w:top w:w="0" w:type="dxa"/>
            <w:left w:w="108" w:type="dxa"/>
            <w:bottom w:w="0" w:type="dxa"/>
            <w:right w:w="108" w:type="dxa"/>
          </w:tblCellMar>
        </w:tblPrEx>
        <w:trPr>
          <w:trHeight w:val="397"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ascii="Times New Roman" w:hAnsi="Times New Roman" w:eastAsia="仿宋_GB2312" w:cs="Times New Roman"/>
                <w:kern w:val="0"/>
                <w:sz w:val="21"/>
                <w:szCs w:val="21"/>
              </w:rPr>
            </w:pPr>
            <w:r>
              <w:rPr>
                <w:rFonts w:ascii="Times New Roman" w:hAnsi="Times New Roman" w:eastAsia="仿宋_GB2312" w:cs="Times New Roman"/>
                <w:b/>
                <w:bCs/>
                <w:kern w:val="0"/>
                <w:sz w:val="21"/>
                <w:szCs w:val="21"/>
              </w:rPr>
              <w:t>政府采购金额</w:t>
            </w:r>
          </w:p>
        </w:tc>
        <w:tc>
          <w:tcPr>
            <w:tcW w:w="2325"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w:t>
            </w:r>
          </w:p>
        </w:tc>
        <w:tc>
          <w:tcPr>
            <w:tcW w:w="2220"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0</w:t>
            </w:r>
            <w:r>
              <w:rPr>
                <w:rFonts w:ascii="Times New Roman" w:hAnsi="Times New Roman" w:eastAsia="仿宋_GB2312" w:cs="Times New Roman"/>
                <w:kern w:val="0"/>
                <w:sz w:val="21"/>
                <w:szCs w:val="21"/>
              </w:rPr>
              <w:t>　</w:t>
            </w:r>
          </w:p>
        </w:tc>
        <w:tc>
          <w:tcPr>
            <w:tcW w:w="1936"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14.72</w:t>
            </w:r>
            <w:r>
              <w:rPr>
                <w:rFonts w:ascii="Times New Roman" w:hAnsi="Times New Roman" w:eastAsia="仿宋_GB2312" w:cs="Times New Roman"/>
                <w:kern w:val="0"/>
                <w:sz w:val="21"/>
                <w:szCs w:val="21"/>
              </w:rPr>
              <w:t>　</w:t>
            </w:r>
          </w:p>
        </w:tc>
      </w:tr>
      <w:tr>
        <w:tblPrEx>
          <w:tblCellMar>
            <w:top w:w="0" w:type="dxa"/>
            <w:left w:w="108" w:type="dxa"/>
            <w:bottom w:w="0" w:type="dxa"/>
            <w:right w:w="108" w:type="dxa"/>
          </w:tblCellMar>
        </w:tblPrEx>
        <w:trPr>
          <w:trHeight w:val="630" w:hRule="atLeast"/>
          <w:jc w:val="center"/>
        </w:trPr>
        <w:tc>
          <w:tcPr>
            <w:tcW w:w="321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楼堂馆所控制情况</w:t>
            </w:r>
            <w:r>
              <w:rPr>
                <w:rFonts w:ascii="Times New Roman" w:hAnsi="Times New Roman" w:eastAsia="仿宋_GB2312" w:cs="Times New Roman"/>
                <w:kern w:val="0"/>
                <w:sz w:val="21"/>
                <w:szCs w:val="21"/>
              </w:rPr>
              <w:br w:type="textWrapping"/>
            </w:r>
            <w:r>
              <w:rPr>
                <w:rFonts w:ascii="Times New Roman" w:hAnsi="Times New Roman" w:eastAsia="仿宋_GB2312" w:cs="Times New Roman"/>
                <w:kern w:val="0"/>
                <w:sz w:val="21"/>
                <w:szCs w:val="21"/>
              </w:rPr>
              <w:t>（202</w:t>
            </w:r>
            <w:r>
              <w:rPr>
                <w:rFonts w:hint="eastAsia" w:ascii="Times New Roman" w:hAnsi="Times New Roman" w:cs="Times New Roman"/>
                <w:kern w:val="0"/>
                <w:sz w:val="21"/>
                <w:szCs w:val="21"/>
                <w:lang w:val="en-US" w:eastAsia="zh-CN"/>
              </w:rPr>
              <w:t>1</w:t>
            </w:r>
            <w:r>
              <w:rPr>
                <w:rFonts w:ascii="Times New Roman" w:hAnsi="Times New Roman" w:eastAsia="仿宋_GB2312" w:cs="Times New Roman"/>
                <w:kern w:val="0"/>
                <w:sz w:val="21"/>
                <w:szCs w:val="21"/>
              </w:rPr>
              <w:t>年完工项目）</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批复规模</w:t>
            </w:r>
            <w:r>
              <w:rPr>
                <w:rFonts w:ascii="Times New Roman" w:hAnsi="Times New Roman" w:eastAsia="仿宋_GB2312" w:cs="Times New Roman"/>
                <w:kern w:val="0"/>
                <w:sz w:val="21"/>
                <w:szCs w:val="21"/>
              </w:rPr>
              <w:br w:type="textWrapping"/>
            </w:r>
            <w:r>
              <w:rPr>
                <w:rFonts w:ascii="Times New Roman" w:hAnsi="Times New Roman" w:eastAsia="仿宋_GB2312" w:cs="Times New Roman"/>
                <w:kern w:val="0"/>
                <w:sz w:val="21"/>
                <w:szCs w:val="21"/>
              </w:rPr>
              <w:t>（㎡）</w:t>
            </w:r>
          </w:p>
        </w:tc>
        <w:tc>
          <w:tcPr>
            <w:tcW w:w="11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实际规模（㎡）</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规模控制率</w:t>
            </w:r>
          </w:p>
        </w:tc>
        <w:tc>
          <w:tcPr>
            <w:tcW w:w="114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预算投资（万元）</w:t>
            </w:r>
          </w:p>
        </w:tc>
        <w:tc>
          <w:tcPr>
            <w:tcW w:w="96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实际投资（万元）</w:t>
            </w:r>
          </w:p>
        </w:tc>
        <w:tc>
          <w:tcPr>
            <w:tcW w:w="97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投资概算控制率</w:t>
            </w:r>
          </w:p>
        </w:tc>
      </w:tr>
      <w:tr>
        <w:tblPrEx>
          <w:tblCellMar>
            <w:top w:w="0" w:type="dxa"/>
            <w:left w:w="108" w:type="dxa"/>
            <w:bottom w:w="0" w:type="dxa"/>
            <w:right w:w="108" w:type="dxa"/>
          </w:tblCellMar>
        </w:tblPrEx>
        <w:trPr>
          <w:trHeight w:val="454" w:hRule="atLeast"/>
          <w:jc w:val="center"/>
        </w:trPr>
        <w:tc>
          <w:tcPr>
            <w:tcW w:w="321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ascii="Times New Roman" w:hAnsi="Times New Roman" w:eastAsia="仿宋_GB2312" w:cs="Times New Roman"/>
                <w:kern w:val="0"/>
                <w:sz w:val="21"/>
                <w:szCs w:val="21"/>
              </w:rPr>
            </w:pP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hint="eastAsia" w:ascii="Times New Roman" w:hAnsi="Times New Roman" w:cs="Times New Roman"/>
                <w:kern w:val="0"/>
                <w:sz w:val="21"/>
                <w:szCs w:val="21"/>
                <w:lang w:val="en-US" w:eastAsia="zh-CN"/>
              </w:rPr>
              <w:t>0</w:t>
            </w:r>
            <w:r>
              <w:rPr>
                <w:rFonts w:ascii="Times New Roman" w:hAnsi="Times New Roman" w:eastAsia="仿宋_GB2312" w:cs="Times New Roman"/>
                <w:kern w:val="0"/>
                <w:sz w:val="21"/>
                <w:szCs w:val="21"/>
              </w:rPr>
              <w:t>　</w:t>
            </w:r>
          </w:p>
        </w:tc>
        <w:tc>
          <w:tcPr>
            <w:tcW w:w="11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eastAsia" w:ascii="Times New Roman" w:hAnsi="Times New Roman" w:eastAsia="仿宋_GB2312" w:cs="Times New Roman"/>
                <w:kern w:val="0"/>
                <w:sz w:val="21"/>
                <w:szCs w:val="21"/>
                <w:lang w:val="en-US" w:eastAsia="zh-CN"/>
              </w:rPr>
            </w:pPr>
            <w:r>
              <w:rPr>
                <w:rFonts w:ascii="Times New Roman" w:hAnsi="Times New Roman" w:eastAsia="仿宋_GB2312" w:cs="Times New Roman"/>
                <w:kern w:val="0"/>
                <w:sz w:val="21"/>
                <w:szCs w:val="21"/>
              </w:rPr>
              <w:t>　</w:t>
            </w:r>
            <w:r>
              <w:rPr>
                <w:rFonts w:hint="eastAsia" w:ascii="Times New Roman" w:hAnsi="Times New Roman" w:cs="Times New Roman"/>
                <w:kern w:val="0"/>
                <w:sz w:val="21"/>
                <w:szCs w:val="21"/>
                <w:lang w:val="en-US" w:eastAsia="zh-CN"/>
              </w:rPr>
              <w:t>0</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eastAsia" w:ascii="Times New Roman" w:hAnsi="Times New Roman" w:eastAsia="仿宋_GB2312" w:cs="Times New Roman"/>
                <w:kern w:val="0"/>
                <w:sz w:val="21"/>
                <w:szCs w:val="21"/>
                <w:lang w:val="en-US" w:eastAsia="zh-CN"/>
              </w:rPr>
            </w:pPr>
            <w:r>
              <w:rPr>
                <w:rFonts w:ascii="Times New Roman" w:hAnsi="Times New Roman" w:eastAsia="仿宋_GB2312" w:cs="Times New Roman"/>
                <w:kern w:val="0"/>
                <w:sz w:val="21"/>
                <w:szCs w:val="21"/>
              </w:rPr>
              <w:t>　</w:t>
            </w:r>
            <w:r>
              <w:rPr>
                <w:rFonts w:hint="eastAsia" w:ascii="Times New Roman" w:hAnsi="Times New Roman" w:cs="Times New Roman"/>
                <w:kern w:val="0"/>
                <w:sz w:val="21"/>
                <w:szCs w:val="21"/>
                <w:lang w:val="en-US" w:eastAsia="zh-CN"/>
              </w:rPr>
              <w:t>0</w:t>
            </w:r>
          </w:p>
        </w:tc>
        <w:tc>
          <w:tcPr>
            <w:tcW w:w="114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eastAsia" w:ascii="Times New Roman" w:hAnsi="Times New Roman" w:eastAsia="仿宋_GB2312" w:cs="Times New Roman"/>
                <w:kern w:val="0"/>
                <w:sz w:val="21"/>
                <w:szCs w:val="21"/>
                <w:lang w:val="en-US" w:eastAsia="zh-CN"/>
              </w:rPr>
            </w:pPr>
            <w:r>
              <w:rPr>
                <w:rFonts w:ascii="Times New Roman" w:hAnsi="Times New Roman" w:eastAsia="仿宋_GB2312" w:cs="Times New Roman"/>
                <w:kern w:val="0"/>
                <w:sz w:val="21"/>
                <w:szCs w:val="21"/>
              </w:rPr>
              <w:t>　</w:t>
            </w:r>
            <w:r>
              <w:rPr>
                <w:rFonts w:hint="eastAsia" w:ascii="Times New Roman" w:hAnsi="Times New Roman" w:cs="Times New Roman"/>
                <w:kern w:val="0"/>
                <w:sz w:val="21"/>
                <w:szCs w:val="21"/>
                <w:lang w:val="en-US" w:eastAsia="zh-CN"/>
              </w:rPr>
              <w:t>0</w:t>
            </w:r>
          </w:p>
        </w:tc>
        <w:tc>
          <w:tcPr>
            <w:tcW w:w="96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eastAsia" w:ascii="Times New Roman" w:hAnsi="Times New Roman" w:eastAsia="仿宋_GB2312" w:cs="Times New Roman"/>
                <w:kern w:val="0"/>
                <w:sz w:val="21"/>
                <w:szCs w:val="21"/>
                <w:lang w:val="en-US" w:eastAsia="zh-CN"/>
              </w:rPr>
            </w:pPr>
            <w:r>
              <w:rPr>
                <w:rFonts w:ascii="Times New Roman" w:hAnsi="Times New Roman" w:eastAsia="仿宋_GB2312" w:cs="Times New Roman"/>
                <w:kern w:val="0"/>
                <w:sz w:val="21"/>
                <w:szCs w:val="21"/>
              </w:rPr>
              <w:t>　</w:t>
            </w:r>
            <w:r>
              <w:rPr>
                <w:rFonts w:hint="eastAsia" w:ascii="Times New Roman" w:hAnsi="Times New Roman" w:cs="Times New Roman"/>
                <w:kern w:val="0"/>
                <w:sz w:val="21"/>
                <w:szCs w:val="21"/>
                <w:lang w:val="en-US" w:eastAsia="zh-CN"/>
              </w:rPr>
              <w:t>0</w:t>
            </w:r>
          </w:p>
        </w:tc>
        <w:tc>
          <w:tcPr>
            <w:tcW w:w="97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eastAsia" w:ascii="Times New Roman" w:hAnsi="Times New Roman" w:eastAsia="仿宋_GB2312" w:cs="Times New Roman"/>
                <w:kern w:val="0"/>
                <w:sz w:val="21"/>
                <w:szCs w:val="21"/>
                <w:lang w:val="en-US" w:eastAsia="zh-CN"/>
              </w:rPr>
            </w:pPr>
            <w:r>
              <w:rPr>
                <w:rFonts w:ascii="Times New Roman" w:hAnsi="Times New Roman" w:eastAsia="仿宋_GB2312" w:cs="Times New Roman"/>
                <w:kern w:val="0"/>
                <w:sz w:val="21"/>
                <w:szCs w:val="21"/>
              </w:rPr>
              <w:t>　</w:t>
            </w:r>
            <w:r>
              <w:rPr>
                <w:rFonts w:hint="eastAsia" w:ascii="Times New Roman" w:hAnsi="Times New Roman" w:cs="Times New Roman"/>
                <w:kern w:val="0"/>
                <w:sz w:val="21"/>
                <w:szCs w:val="21"/>
                <w:lang w:val="en-US" w:eastAsia="zh-CN"/>
              </w:rPr>
              <w:t>0</w:t>
            </w:r>
          </w:p>
        </w:tc>
      </w:tr>
      <w:tr>
        <w:tblPrEx>
          <w:tblCellMar>
            <w:top w:w="0" w:type="dxa"/>
            <w:left w:w="108" w:type="dxa"/>
            <w:bottom w:w="0" w:type="dxa"/>
            <w:right w:w="108" w:type="dxa"/>
          </w:tblCellMar>
        </w:tblPrEx>
        <w:trPr>
          <w:trHeight w:val="781" w:hRule="atLeast"/>
          <w:jc w:val="center"/>
        </w:trPr>
        <w:tc>
          <w:tcPr>
            <w:tcW w:w="321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厉行节约保障措施</w:t>
            </w:r>
          </w:p>
        </w:tc>
        <w:tc>
          <w:tcPr>
            <w:tcW w:w="6481" w:type="dxa"/>
            <w:gridSpan w:val="6"/>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ascii="Times New Roman" w:hAnsi="Times New Roman" w:eastAsia="仿宋_GB2312" w:cs="Times New Roman"/>
                <w:kern w:val="0"/>
                <w:sz w:val="21"/>
                <w:szCs w:val="21"/>
              </w:rPr>
            </w:pPr>
            <w:r>
              <w:rPr>
                <w:rFonts w:ascii="Times New Roman" w:hAnsi="Times New Roman" w:eastAsia="仿宋_GB2312" w:cs="Times New Roman"/>
                <w:kern w:val="0"/>
                <w:sz w:val="21"/>
                <w:szCs w:val="21"/>
              </w:rPr>
              <w:t>　</w:t>
            </w:r>
          </w:p>
        </w:tc>
      </w:tr>
    </w:tbl>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eastAsia="仿宋_GB2312"/>
          <w:kern w:val="0"/>
          <w:sz w:val="22"/>
          <w:szCs w:val="24"/>
          <w:lang w:eastAsia="zh-CN"/>
        </w:rPr>
      </w:pPr>
      <w:r>
        <w:rPr>
          <w:rFonts w:eastAsia="仿宋_GB2312"/>
          <w:kern w:val="0"/>
          <w:sz w:val="22"/>
          <w:szCs w:val="24"/>
        </w:rPr>
        <w:t>说明：“公用经费”填报基本支出中的一般商品和服务支出。“项目支出”需要填报基本支出以外的所有项目支出情况，</w:t>
      </w:r>
      <w:r>
        <w:rPr>
          <w:rFonts w:hint="eastAsia"/>
          <w:kern w:val="0"/>
          <w:sz w:val="22"/>
          <w:szCs w:val="24"/>
          <w:lang w:eastAsia="zh-CN"/>
        </w:rPr>
        <w:t>“运行维护经费”填报项目支出中用于人员类和公用运转类的支出。</w:t>
      </w:r>
    </w:p>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Times New Roman" w:hAnsi="Times New Roman" w:eastAsia="黑体" w:cs="Times New Roman"/>
          <w:sz w:val="32"/>
          <w:szCs w:val="32"/>
          <w:lang w:val="en-US" w:eastAsia="zh-CN"/>
        </w:rPr>
      </w:pPr>
      <w:r>
        <w:rPr>
          <w:rFonts w:eastAsia="仿宋_GB2312"/>
          <w:kern w:val="0"/>
          <w:sz w:val="22"/>
          <w:szCs w:val="24"/>
        </w:rPr>
        <w:t>填表人：</w:t>
      </w:r>
      <w:r>
        <w:rPr>
          <w:rFonts w:hint="eastAsia" w:eastAsia="仿宋_GB2312"/>
          <w:kern w:val="0"/>
          <w:sz w:val="22"/>
          <w:szCs w:val="24"/>
          <w:lang w:eastAsia="zh-CN"/>
        </w:rPr>
        <w:t>杨丛笑</w:t>
      </w:r>
      <w:r>
        <w:rPr>
          <w:rFonts w:hint="eastAsia" w:eastAsia="仿宋_GB2312"/>
          <w:kern w:val="0"/>
          <w:sz w:val="22"/>
          <w:szCs w:val="24"/>
          <w:lang w:val="en-US" w:eastAsia="zh-CN"/>
        </w:rPr>
        <w:t xml:space="preserve"> </w:t>
      </w:r>
      <w:r>
        <w:rPr>
          <w:rFonts w:eastAsia="仿宋_GB2312"/>
          <w:kern w:val="0"/>
          <w:sz w:val="22"/>
          <w:szCs w:val="24"/>
        </w:rPr>
        <w:t xml:space="preserve">  填报日期：</w:t>
      </w:r>
      <w:r>
        <w:rPr>
          <w:rFonts w:hint="eastAsia" w:eastAsia="仿宋_GB2312"/>
          <w:kern w:val="0"/>
          <w:sz w:val="22"/>
          <w:szCs w:val="24"/>
          <w:lang w:val="en-US" w:eastAsia="zh-CN"/>
        </w:rPr>
        <w:t>2023年4月25日</w:t>
      </w:r>
      <w:r>
        <w:rPr>
          <w:rFonts w:eastAsia="仿宋_GB2312"/>
          <w:kern w:val="0"/>
          <w:sz w:val="22"/>
          <w:szCs w:val="24"/>
        </w:rPr>
        <w:t xml:space="preserve">   联系电话：</w:t>
      </w:r>
      <w:r>
        <w:rPr>
          <w:rFonts w:hint="eastAsia" w:eastAsia="仿宋_GB2312"/>
          <w:kern w:val="0"/>
          <w:sz w:val="22"/>
          <w:szCs w:val="24"/>
          <w:lang w:val="en-US" w:eastAsia="zh-CN"/>
        </w:rPr>
        <w:t>15173712217</w:t>
      </w:r>
      <w:r>
        <w:rPr>
          <w:rFonts w:eastAsia="仿宋_GB2312"/>
          <w:kern w:val="0"/>
          <w:sz w:val="22"/>
          <w:szCs w:val="24"/>
        </w:rPr>
        <w:t xml:space="preserve">  单位负责人签字：</w:t>
      </w:r>
      <w:r>
        <w:rPr>
          <w:rFonts w:eastAsia="仿宋_GB2312"/>
          <w:kern w:val="0"/>
          <w:sz w:val="22"/>
          <w:szCs w:val="24"/>
        </w:rPr>
        <w:br w:type="page"/>
      </w:r>
      <w:bookmarkStart w:id="0" w:name="_GoBack"/>
      <w:bookmarkEnd w:id="0"/>
      <w:r>
        <w:rPr>
          <w:rFonts w:ascii="Times New Roman" w:hAnsi="Times New Roman" w:eastAsia="黑体" w:cs="Times New Roman"/>
          <w:sz w:val="32"/>
          <w:szCs w:val="32"/>
        </w:rPr>
        <w:t>附件</w:t>
      </w:r>
      <w:r>
        <w:rPr>
          <w:rFonts w:hint="eastAsia" w:ascii="Times New Roman" w:hAnsi="Times New Roman" w:eastAsia="黑体" w:cs="Times New Roman"/>
          <w:sz w:val="32"/>
          <w:szCs w:val="32"/>
          <w:lang w:val="en-US" w:eastAsia="zh-CN"/>
        </w:rPr>
        <w:t>2</w:t>
      </w:r>
    </w:p>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ascii="Times New Roman" w:hAnsi="Times New Roman" w:eastAsia="方正小标宋_GBK" w:cs="Times New Roman"/>
          <w:color w:val="000000"/>
          <w:kern w:val="0"/>
          <w:sz w:val="36"/>
          <w:szCs w:val="36"/>
        </w:rPr>
      </w:pPr>
      <w:r>
        <w:rPr>
          <w:rFonts w:ascii="Times New Roman" w:hAnsi="Times New Roman" w:eastAsia="方正小标宋_GBK" w:cs="Times New Roman"/>
          <w:color w:val="000000"/>
          <w:kern w:val="0"/>
          <w:sz w:val="36"/>
          <w:szCs w:val="36"/>
        </w:rPr>
        <w:t>202</w:t>
      </w:r>
      <w:r>
        <w:rPr>
          <w:rFonts w:hint="eastAsia" w:ascii="Times New Roman" w:hAnsi="Times New Roman" w:eastAsia="方正小标宋_GBK" w:cs="Times New Roman"/>
          <w:color w:val="000000"/>
          <w:kern w:val="0"/>
          <w:sz w:val="36"/>
          <w:szCs w:val="36"/>
          <w:lang w:val="en-US" w:eastAsia="zh-CN"/>
        </w:rPr>
        <w:t>2</w:t>
      </w:r>
      <w:r>
        <w:rPr>
          <w:rFonts w:ascii="Times New Roman" w:hAnsi="Times New Roman" w:eastAsia="方正小标宋_GBK" w:cs="Times New Roman"/>
          <w:color w:val="000000"/>
          <w:kern w:val="0"/>
          <w:sz w:val="36"/>
          <w:szCs w:val="36"/>
        </w:rPr>
        <w:t>年度部门整体支出绩效自评表</w:t>
      </w:r>
    </w:p>
    <w:tbl>
      <w:tblPr>
        <w:tblStyle w:val="6"/>
        <w:tblW w:w="10324" w:type="dxa"/>
        <w:jc w:val="center"/>
        <w:tblLayout w:type="autofit"/>
        <w:tblCellMar>
          <w:top w:w="0" w:type="dxa"/>
          <w:left w:w="108" w:type="dxa"/>
          <w:bottom w:w="0" w:type="dxa"/>
          <w:right w:w="108" w:type="dxa"/>
        </w:tblCellMar>
      </w:tblPr>
      <w:tblGrid>
        <w:gridCol w:w="1208"/>
        <w:gridCol w:w="1080"/>
        <w:gridCol w:w="1121"/>
        <w:gridCol w:w="1088"/>
        <w:gridCol w:w="95"/>
        <w:gridCol w:w="1277"/>
        <w:gridCol w:w="1320"/>
        <w:gridCol w:w="691"/>
        <w:gridCol w:w="889"/>
        <w:gridCol w:w="1555"/>
      </w:tblGrid>
      <w:tr>
        <w:tblPrEx>
          <w:tblCellMar>
            <w:top w:w="0" w:type="dxa"/>
            <w:left w:w="108" w:type="dxa"/>
            <w:bottom w:w="0" w:type="dxa"/>
            <w:right w:w="108" w:type="dxa"/>
          </w:tblCellMar>
        </w:tblPrEx>
        <w:trPr>
          <w:trHeight w:val="325" w:hRule="atLeast"/>
          <w:jc w:val="center"/>
        </w:trPr>
        <w:tc>
          <w:tcPr>
            <w:tcW w:w="120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预算部门</w:t>
            </w:r>
          </w:p>
        </w:tc>
        <w:tc>
          <w:tcPr>
            <w:tcW w:w="9116" w:type="dxa"/>
            <w:gridSpan w:val="9"/>
            <w:tcBorders>
              <w:top w:val="single" w:color="auto" w:sz="4" w:space="0"/>
              <w:left w:val="nil"/>
              <w:bottom w:val="single" w:color="auto" w:sz="4" w:space="0"/>
              <w:right w:val="single" w:color="auto" w:sz="4" w:space="0"/>
            </w:tcBorders>
            <w:noWrap w:val="0"/>
            <w:vAlign w:val="center"/>
          </w:tcPr>
          <w:p>
            <w:pPr>
              <w:widowControl/>
              <w:spacing w:line="240" w:lineRule="exact"/>
              <w:jc w:val="both"/>
              <w:rPr>
                <w:rFonts w:ascii="Times New Roman" w:hAnsi="Times New Roman" w:eastAsia="仿宋_GB2312" w:cs="Times New Roman"/>
                <w:color w:val="000000"/>
                <w:kern w:val="0"/>
                <w:sz w:val="21"/>
                <w:szCs w:val="21"/>
              </w:rPr>
            </w:pPr>
            <w:r>
              <w:rPr>
                <w:rFonts w:hint="eastAsia" w:ascii="Times New Roman" w:hAnsi="Times New Roman" w:eastAsia="仿宋_GB2312" w:cs="Times New Roman"/>
                <w:color w:val="000000"/>
                <w:kern w:val="0"/>
                <w:sz w:val="21"/>
                <w:szCs w:val="21"/>
                <w:lang w:eastAsia="zh-CN"/>
              </w:rPr>
              <w:t>益阳市资阳区科学技术局</w:t>
            </w:r>
            <w:r>
              <w:rPr>
                <w:rFonts w:ascii="Times New Roman" w:hAnsi="Times New Roman" w:eastAsia="仿宋_GB2312" w:cs="Times New Roman"/>
                <w:color w:val="000000"/>
                <w:kern w:val="0"/>
                <w:sz w:val="21"/>
                <w:szCs w:val="21"/>
              </w:rPr>
              <w:t>　</w:t>
            </w:r>
          </w:p>
        </w:tc>
      </w:tr>
      <w:tr>
        <w:tblPrEx>
          <w:tblCellMar>
            <w:top w:w="0" w:type="dxa"/>
            <w:left w:w="108" w:type="dxa"/>
            <w:bottom w:w="0" w:type="dxa"/>
            <w:right w:w="108" w:type="dxa"/>
          </w:tblCellMar>
        </w:tblPrEx>
        <w:trPr>
          <w:jc w:val="center"/>
        </w:trPr>
        <w:tc>
          <w:tcPr>
            <w:tcW w:w="1208" w:type="dxa"/>
            <w:vMerge w:val="restart"/>
            <w:tcBorders>
              <w:top w:val="nil"/>
              <w:left w:val="single" w:color="auto" w:sz="4" w:space="0"/>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年度预</w:t>
            </w:r>
          </w:p>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算申请</w:t>
            </w:r>
            <w:r>
              <w:rPr>
                <w:rFonts w:ascii="Times New Roman" w:hAnsi="Times New Roman" w:eastAsia="仿宋_GB2312" w:cs="Times New Roman"/>
                <w:color w:val="000000"/>
                <w:kern w:val="0"/>
                <w:sz w:val="21"/>
                <w:szCs w:val="21"/>
              </w:rPr>
              <w:br w:type="textWrapping"/>
            </w:r>
            <w:r>
              <w:rPr>
                <w:rFonts w:ascii="Times New Roman" w:hAnsi="Times New Roman" w:eastAsia="仿宋_GB2312" w:cs="Times New Roman"/>
                <w:color w:val="000000"/>
                <w:kern w:val="0"/>
                <w:sz w:val="21"/>
                <w:szCs w:val="21"/>
              </w:rPr>
              <w:t>（万元）</w:t>
            </w:r>
          </w:p>
        </w:tc>
        <w:tc>
          <w:tcPr>
            <w:tcW w:w="2201" w:type="dxa"/>
            <w:gridSpan w:val="2"/>
            <w:tcBorders>
              <w:top w:val="nil"/>
              <w:left w:val="nil"/>
              <w:bottom w:val="single" w:color="auto" w:sz="4" w:space="0"/>
              <w:right w:val="single" w:color="auto" w:sz="4" w:space="0"/>
            </w:tcBorders>
            <w:noWrap w:val="0"/>
            <w:vAlign w:val="center"/>
          </w:tcPr>
          <w:p>
            <w:pPr>
              <w:spacing w:line="240" w:lineRule="exact"/>
              <w:jc w:val="center"/>
              <w:rPr>
                <w:rFonts w:ascii="Times New Roman" w:hAnsi="Times New Roman" w:eastAsia="仿宋_GB2312" w:cs="Times New Roman"/>
                <w:sz w:val="21"/>
                <w:szCs w:val="21"/>
              </w:rPr>
            </w:pPr>
          </w:p>
        </w:tc>
        <w:tc>
          <w:tcPr>
            <w:tcW w:w="1088" w:type="dxa"/>
            <w:tcBorders>
              <w:top w:val="nil"/>
              <w:left w:val="nil"/>
              <w:bottom w:val="single" w:color="auto" w:sz="4" w:space="0"/>
              <w:right w:val="single" w:color="auto" w:sz="4" w:space="0"/>
            </w:tcBorders>
            <w:noWrap w:val="0"/>
            <w:vAlign w:val="center"/>
          </w:tcPr>
          <w:p>
            <w:pPr>
              <w:spacing w:line="240" w:lineRule="exact"/>
              <w:jc w:val="center"/>
              <w:rPr>
                <w:rFonts w:ascii="Times New Roman" w:hAnsi="Times New Roman" w:eastAsia="仿宋_GB2312" w:cs="Times New Roman"/>
                <w:sz w:val="21"/>
                <w:szCs w:val="21"/>
              </w:rPr>
            </w:pPr>
            <w:r>
              <w:rPr>
                <w:rFonts w:ascii="Times New Roman" w:hAnsi="Times New Roman" w:eastAsia="仿宋_GB2312" w:cs="Times New Roman"/>
                <w:sz w:val="21"/>
                <w:szCs w:val="21"/>
              </w:rPr>
              <w:t>年初</w:t>
            </w:r>
          </w:p>
          <w:p>
            <w:pPr>
              <w:spacing w:line="240" w:lineRule="exact"/>
              <w:jc w:val="center"/>
              <w:rPr>
                <w:rFonts w:ascii="Times New Roman" w:hAnsi="Times New Roman" w:eastAsia="仿宋_GB2312" w:cs="Times New Roman"/>
                <w:sz w:val="21"/>
                <w:szCs w:val="21"/>
              </w:rPr>
            </w:pPr>
            <w:r>
              <w:rPr>
                <w:rFonts w:ascii="Times New Roman" w:hAnsi="Times New Roman" w:eastAsia="仿宋_GB2312" w:cs="Times New Roman"/>
                <w:sz w:val="21"/>
                <w:szCs w:val="21"/>
              </w:rPr>
              <w:t>预算数</w:t>
            </w:r>
          </w:p>
        </w:tc>
        <w:tc>
          <w:tcPr>
            <w:tcW w:w="1372" w:type="dxa"/>
            <w:gridSpan w:val="2"/>
            <w:tcBorders>
              <w:top w:val="nil"/>
              <w:left w:val="nil"/>
              <w:bottom w:val="single" w:color="auto" w:sz="4" w:space="0"/>
              <w:right w:val="single" w:color="auto" w:sz="4" w:space="0"/>
            </w:tcBorders>
            <w:noWrap w:val="0"/>
            <w:vAlign w:val="center"/>
          </w:tcPr>
          <w:p>
            <w:pPr>
              <w:spacing w:line="240" w:lineRule="exact"/>
              <w:jc w:val="center"/>
              <w:rPr>
                <w:rFonts w:ascii="Times New Roman" w:hAnsi="Times New Roman" w:eastAsia="仿宋_GB2312" w:cs="Times New Roman"/>
                <w:sz w:val="21"/>
                <w:szCs w:val="21"/>
              </w:rPr>
            </w:pPr>
            <w:r>
              <w:rPr>
                <w:rFonts w:ascii="Times New Roman" w:hAnsi="Times New Roman" w:eastAsia="仿宋_GB2312" w:cs="Times New Roman"/>
                <w:sz w:val="21"/>
                <w:szCs w:val="21"/>
              </w:rPr>
              <w:t>全年预算数</w:t>
            </w:r>
          </w:p>
        </w:tc>
        <w:tc>
          <w:tcPr>
            <w:tcW w:w="1320" w:type="dxa"/>
            <w:tcBorders>
              <w:top w:val="nil"/>
              <w:left w:val="nil"/>
              <w:bottom w:val="single" w:color="auto" w:sz="4" w:space="0"/>
              <w:right w:val="single" w:color="auto" w:sz="4" w:space="0"/>
            </w:tcBorders>
            <w:noWrap w:val="0"/>
            <w:vAlign w:val="center"/>
          </w:tcPr>
          <w:p>
            <w:pPr>
              <w:spacing w:line="240" w:lineRule="exact"/>
              <w:jc w:val="center"/>
              <w:rPr>
                <w:rFonts w:ascii="Times New Roman" w:hAnsi="Times New Roman" w:eastAsia="仿宋_GB2312" w:cs="Times New Roman"/>
                <w:sz w:val="21"/>
                <w:szCs w:val="21"/>
              </w:rPr>
            </w:pPr>
            <w:r>
              <w:rPr>
                <w:rFonts w:ascii="Times New Roman" w:hAnsi="Times New Roman" w:eastAsia="仿宋_GB2312" w:cs="Times New Roman"/>
                <w:sz w:val="21"/>
                <w:szCs w:val="21"/>
              </w:rPr>
              <w:t>全年执行数</w:t>
            </w:r>
          </w:p>
        </w:tc>
        <w:tc>
          <w:tcPr>
            <w:tcW w:w="691" w:type="dxa"/>
            <w:tcBorders>
              <w:top w:val="nil"/>
              <w:left w:val="nil"/>
              <w:bottom w:val="single" w:color="auto" w:sz="4" w:space="0"/>
              <w:right w:val="single" w:color="auto" w:sz="4" w:space="0"/>
            </w:tcBorders>
            <w:noWrap w:val="0"/>
            <w:vAlign w:val="center"/>
          </w:tcPr>
          <w:p>
            <w:pPr>
              <w:spacing w:line="240" w:lineRule="exact"/>
              <w:jc w:val="center"/>
              <w:rPr>
                <w:rFonts w:ascii="Times New Roman" w:hAnsi="Times New Roman" w:eastAsia="仿宋_GB2312" w:cs="Times New Roman"/>
                <w:sz w:val="21"/>
                <w:szCs w:val="21"/>
              </w:rPr>
            </w:pPr>
            <w:r>
              <w:rPr>
                <w:rFonts w:ascii="Times New Roman" w:hAnsi="Times New Roman" w:eastAsia="仿宋_GB2312" w:cs="Times New Roman"/>
                <w:sz w:val="21"/>
                <w:szCs w:val="21"/>
              </w:rPr>
              <w:t>分值</w:t>
            </w:r>
          </w:p>
        </w:tc>
        <w:tc>
          <w:tcPr>
            <w:tcW w:w="889" w:type="dxa"/>
            <w:tcBorders>
              <w:top w:val="nil"/>
              <w:left w:val="nil"/>
              <w:bottom w:val="single" w:color="auto" w:sz="4" w:space="0"/>
              <w:right w:val="single" w:color="auto" w:sz="4" w:space="0"/>
            </w:tcBorders>
            <w:noWrap w:val="0"/>
            <w:vAlign w:val="center"/>
          </w:tcPr>
          <w:p>
            <w:pPr>
              <w:spacing w:line="240" w:lineRule="exact"/>
              <w:jc w:val="center"/>
              <w:rPr>
                <w:rFonts w:ascii="Times New Roman" w:hAnsi="Times New Roman" w:eastAsia="仿宋_GB2312" w:cs="Times New Roman"/>
                <w:sz w:val="21"/>
                <w:szCs w:val="21"/>
              </w:rPr>
            </w:pPr>
            <w:r>
              <w:rPr>
                <w:rFonts w:ascii="Times New Roman" w:hAnsi="Times New Roman" w:eastAsia="仿宋_GB2312" w:cs="Times New Roman"/>
                <w:sz w:val="21"/>
                <w:szCs w:val="21"/>
              </w:rPr>
              <w:t>执行率</w:t>
            </w:r>
          </w:p>
        </w:tc>
        <w:tc>
          <w:tcPr>
            <w:tcW w:w="1555" w:type="dxa"/>
            <w:tcBorders>
              <w:top w:val="nil"/>
              <w:left w:val="nil"/>
              <w:bottom w:val="single" w:color="auto" w:sz="4" w:space="0"/>
              <w:right w:val="single" w:color="auto" w:sz="4" w:space="0"/>
            </w:tcBorders>
            <w:noWrap w:val="0"/>
            <w:vAlign w:val="center"/>
          </w:tcPr>
          <w:p>
            <w:pPr>
              <w:spacing w:line="240" w:lineRule="exact"/>
              <w:jc w:val="center"/>
              <w:rPr>
                <w:rFonts w:ascii="Times New Roman" w:hAnsi="Times New Roman" w:eastAsia="仿宋_GB2312" w:cs="Times New Roman"/>
                <w:sz w:val="21"/>
                <w:szCs w:val="21"/>
              </w:rPr>
            </w:pPr>
            <w:r>
              <w:rPr>
                <w:rFonts w:ascii="Times New Roman" w:hAnsi="Times New Roman" w:eastAsia="仿宋_GB2312" w:cs="Times New Roman"/>
                <w:sz w:val="21"/>
                <w:szCs w:val="21"/>
              </w:rPr>
              <w:t>得分</w:t>
            </w:r>
          </w:p>
        </w:tc>
      </w:tr>
      <w:tr>
        <w:tblPrEx>
          <w:tblCellMar>
            <w:top w:w="0" w:type="dxa"/>
            <w:left w:w="108" w:type="dxa"/>
            <w:bottom w:w="0" w:type="dxa"/>
            <w:right w:w="108" w:type="dxa"/>
          </w:tblCellMar>
        </w:tblPrEx>
        <w:trPr>
          <w:jc w:val="center"/>
        </w:trPr>
        <w:tc>
          <w:tcPr>
            <w:tcW w:w="1208" w:type="dxa"/>
            <w:vMerge w:val="continue"/>
            <w:tcBorders>
              <w:top w:val="nil"/>
              <w:left w:val="single" w:color="auto" w:sz="4" w:space="0"/>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p>
        </w:tc>
        <w:tc>
          <w:tcPr>
            <w:tcW w:w="2201" w:type="dxa"/>
            <w:gridSpan w:val="2"/>
            <w:tcBorders>
              <w:top w:val="nil"/>
              <w:left w:val="nil"/>
              <w:bottom w:val="single" w:color="auto" w:sz="4" w:space="0"/>
              <w:right w:val="single" w:color="auto" w:sz="4" w:space="0"/>
            </w:tcBorders>
            <w:noWrap w:val="0"/>
            <w:vAlign w:val="center"/>
          </w:tcPr>
          <w:p>
            <w:pPr>
              <w:spacing w:line="240" w:lineRule="exact"/>
              <w:jc w:val="center"/>
              <w:rPr>
                <w:rFonts w:ascii="Times New Roman" w:hAnsi="Times New Roman" w:eastAsia="仿宋_GB2312" w:cs="Times New Roman"/>
                <w:sz w:val="21"/>
                <w:szCs w:val="21"/>
              </w:rPr>
            </w:pPr>
            <w:r>
              <w:rPr>
                <w:rFonts w:ascii="Times New Roman" w:hAnsi="Times New Roman" w:eastAsia="仿宋_GB2312" w:cs="Times New Roman"/>
                <w:color w:val="000000"/>
                <w:kern w:val="0"/>
                <w:sz w:val="21"/>
                <w:szCs w:val="21"/>
              </w:rPr>
              <w:t>年度资金总额</w:t>
            </w:r>
          </w:p>
        </w:tc>
        <w:tc>
          <w:tcPr>
            <w:tcW w:w="1088" w:type="dxa"/>
            <w:tcBorders>
              <w:top w:val="nil"/>
              <w:left w:val="nil"/>
              <w:bottom w:val="single" w:color="auto" w:sz="4" w:space="0"/>
              <w:right w:val="single" w:color="auto" w:sz="4" w:space="0"/>
            </w:tcBorders>
            <w:noWrap w:val="0"/>
            <w:vAlign w:val="center"/>
          </w:tcPr>
          <w:p>
            <w:pPr>
              <w:spacing w:line="240" w:lineRule="exact"/>
              <w:jc w:val="center"/>
              <w:rPr>
                <w:rFonts w:hint="default" w:ascii="Times New Roman" w:hAnsi="Times New Roman" w:eastAsia="仿宋_GB2312" w:cs="Times New Roman"/>
                <w:sz w:val="21"/>
                <w:szCs w:val="21"/>
                <w:lang w:val="en-US" w:eastAsia="zh-CN"/>
              </w:rPr>
            </w:pPr>
            <w:r>
              <w:rPr>
                <w:rFonts w:hint="eastAsia" w:ascii="Times New Roman" w:hAnsi="Times New Roman" w:eastAsia="仿宋_GB2312" w:cs="Times New Roman"/>
                <w:sz w:val="21"/>
                <w:szCs w:val="21"/>
                <w:lang w:val="en-US" w:eastAsia="zh-CN"/>
              </w:rPr>
              <w:t>259.85</w:t>
            </w:r>
          </w:p>
        </w:tc>
        <w:tc>
          <w:tcPr>
            <w:tcW w:w="1372" w:type="dxa"/>
            <w:gridSpan w:val="2"/>
            <w:tcBorders>
              <w:top w:val="nil"/>
              <w:left w:val="nil"/>
              <w:bottom w:val="single" w:color="auto" w:sz="4" w:space="0"/>
              <w:right w:val="single" w:color="auto" w:sz="4" w:space="0"/>
            </w:tcBorders>
            <w:noWrap w:val="0"/>
            <w:vAlign w:val="center"/>
          </w:tcPr>
          <w:p>
            <w:pPr>
              <w:spacing w:line="240" w:lineRule="exact"/>
              <w:jc w:val="center"/>
              <w:rPr>
                <w:rFonts w:hint="default" w:ascii="Times New Roman" w:hAnsi="Times New Roman" w:eastAsia="仿宋_GB2312" w:cs="Times New Roman"/>
                <w:sz w:val="21"/>
                <w:szCs w:val="21"/>
                <w:lang w:val="en-US" w:eastAsia="zh-CN"/>
              </w:rPr>
            </w:pPr>
            <w:r>
              <w:rPr>
                <w:rFonts w:hint="eastAsia" w:ascii="Times New Roman" w:hAnsi="Times New Roman" w:eastAsia="仿宋_GB2312" w:cs="Times New Roman"/>
                <w:sz w:val="21"/>
                <w:szCs w:val="21"/>
                <w:lang w:val="en-US" w:eastAsia="zh-CN"/>
              </w:rPr>
              <w:t>414.02</w:t>
            </w:r>
          </w:p>
        </w:tc>
        <w:tc>
          <w:tcPr>
            <w:tcW w:w="1320" w:type="dxa"/>
            <w:tcBorders>
              <w:top w:val="nil"/>
              <w:left w:val="nil"/>
              <w:bottom w:val="single" w:color="auto" w:sz="4" w:space="0"/>
              <w:right w:val="single" w:color="auto" w:sz="4" w:space="0"/>
            </w:tcBorders>
            <w:noWrap w:val="0"/>
            <w:vAlign w:val="center"/>
          </w:tcPr>
          <w:p>
            <w:pPr>
              <w:spacing w:line="240" w:lineRule="exact"/>
              <w:jc w:val="center"/>
              <w:rPr>
                <w:rFonts w:hint="default" w:ascii="Times New Roman" w:hAnsi="Times New Roman" w:eastAsia="仿宋_GB2312" w:cs="Times New Roman"/>
                <w:sz w:val="21"/>
                <w:szCs w:val="21"/>
                <w:lang w:val="en-US" w:eastAsia="zh-CN"/>
              </w:rPr>
            </w:pPr>
            <w:r>
              <w:rPr>
                <w:rFonts w:hint="eastAsia" w:ascii="Times New Roman" w:hAnsi="Times New Roman" w:eastAsia="仿宋_GB2312" w:cs="Times New Roman"/>
                <w:sz w:val="21"/>
                <w:szCs w:val="21"/>
                <w:lang w:val="en-US" w:eastAsia="zh-CN"/>
              </w:rPr>
              <w:t>414.02</w:t>
            </w:r>
          </w:p>
        </w:tc>
        <w:tc>
          <w:tcPr>
            <w:tcW w:w="691" w:type="dxa"/>
            <w:tcBorders>
              <w:top w:val="nil"/>
              <w:left w:val="nil"/>
              <w:bottom w:val="single" w:color="auto" w:sz="4" w:space="0"/>
              <w:right w:val="single" w:color="auto" w:sz="4" w:space="0"/>
            </w:tcBorders>
            <w:noWrap w:val="0"/>
            <w:vAlign w:val="center"/>
          </w:tcPr>
          <w:p>
            <w:pPr>
              <w:spacing w:line="240" w:lineRule="exact"/>
              <w:jc w:val="center"/>
              <w:rPr>
                <w:rFonts w:hint="eastAsia" w:ascii="Times New Roman" w:hAnsi="Times New Roman" w:eastAsia="仿宋_GB2312" w:cs="Times New Roman"/>
                <w:sz w:val="21"/>
                <w:szCs w:val="21"/>
                <w:lang w:eastAsia="zh-CN"/>
              </w:rPr>
            </w:pPr>
            <w:r>
              <w:rPr>
                <w:rFonts w:ascii="Times New Roman" w:hAnsi="Times New Roman" w:eastAsia="仿宋_GB2312" w:cs="Times New Roman"/>
                <w:sz w:val="21"/>
                <w:szCs w:val="21"/>
              </w:rPr>
              <w:t>10</w:t>
            </w:r>
            <w:r>
              <w:rPr>
                <w:rFonts w:hint="eastAsia" w:ascii="Times New Roman" w:hAnsi="Times New Roman" w:cs="Times New Roman"/>
                <w:sz w:val="21"/>
                <w:szCs w:val="21"/>
                <w:lang w:eastAsia="zh-CN"/>
              </w:rPr>
              <w:t>分</w:t>
            </w:r>
          </w:p>
        </w:tc>
        <w:tc>
          <w:tcPr>
            <w:tcW w:w="889" w:type="dxa"/>
            <w:tcBorders>
              <w:top w:val="nil"/>
              <w:left w:val="nil"/>
              <w:bottom w:val="single" w:color="auto" w:sz="4" w:space="0"/>
              <w:right w:val="single" w:color="auto" w:sz="4" w:space="0"/>
            </w:tcBorders>
            <w:noWrap w:val="0"/>
            <w:vAlign w:val="center"/>
          </w:tcPr>
          <w:p>
            <w:pPr>
              <w:spacing w:line="240" w:lineRule="exact"/>
              <w:jc w:val="center"/>
              <w:rPr>
                <w:rFonts w:hint="default" w:ascii="Times New Roman" w:hAnsi="Times New Roman" w:eastAsia="仿宋_GB2312" w:cs="Times New Roman"/>
                <w:sz w:val="21"/>
                <w:szCs w:val="21"/>
                <w:lang w:val="en-US" w:eastAsia="zh-CN"/>
              </w:rPr>
            </w:pPr>
            <w:r>
              <w:rPr>
                <w:rFonts w:hint="eastAsia" w:ascii="Times New Roman" w:hAnsi="Times New Roman" w:eastAsia="仿宋_GB2312" w:cs="Times New Roman"/>
                <w:sz w:val="21"/>
                <w:szCs w:val="21"/>
                <w:lang w:val="en-US" w:eastAsia="zh-CN"/>
              </w:rPr>
              <w:t>100%</w:t>
            </w:r>
          </w:p>
        </w:tc>
        <w:tc>
          <w:tcPr>
            <w:tcW w:w="1555" w:type="dxa"/>
            <w:tcBorders>
              <w:top w:val="nil"/>
              <w:left w:val="nil"/>
              <w:bottom w:val="single" w:color="auto" w:sz="4" w:space="0"/>
              <w:right w:val="single" w:color="auto" w:sz="4" w:space="0"/>
            </w:tcBorders>
            <w:noWrap w:val="0"/>
            <w:vAlign w:val="center"/>
          </w:tcPr>
          <w:p>
            <w:pPr>
              <w:spacing w:line="240" w:lineRule="exact"/>
              <w:jc w:val="center"/>
              <w:rPr>
                <w:rFonts w:hint="default" w:ascii="Times New Roman" w:hAnsi="Times New Roman" w:eastAsia="仿宋_GB2312" w:cs="Times New Roman"/>
                <w:sz w:val="21"/>
                <w:szCs w:val="21"/>
                <w:lang w:val="en-US" w:eastAsia="zh-CN"/>
              </w:rPr>
            </w:pPr>
            <w:r>
              <w:rPr>
                <w:rFonts w:hint="eastAsia" w:ascii="Times New Roman" w:hAnsi="Times New Roman" w:eastAsia="仿宋_GB2312" w:cs="Times New Roman"/>
                <w:sz w:val="21"/>
                <w:szCs w:val="21"/>
                <w:lang w:val="en-US" w:eastAsia="zh-CN"/>
              </w:rPr>
              <w:t>10</w:t>
            </w:r>
          </w:p>
        </w:tc>
      </w:tr>
      <w:tr>
        <w:tblPrEx>
          <w:tblCellMar>
            <w:top w:w="0" w:type="dxa"/>
            <w:left w:w="108" w:type="dxa"/>
            <w:bottom w:w="0" w:type="dxa"/>
            <w:right w:w="108" w:type="dxa"/>
          </w:tblCellMar>
        </w:tblPrEx>
        <w:trPr>
          <w:jc w:val="center"/>
        </w:trPr>
        <w:tc>
          <w:tcPr>
            <w:tcW w:w="1208" w:type="dxa"/>
            <w:vMerge w:val="continue"/>
            <w:tcBorders>
              <w:left w:val="single" w:color="auto" w:sz="4" w:space="0"/>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p>
        </w:tc>
        <w:tc>
          <w:tcPr>
            <w:tcW w:w="4661" w:type="dxa"/>
            <w:gridSpan w:val="5"/>
            <w:tcBorders>
              <w:top w:val="nil"/>
              <w:left w:val="nil"/>
              <w:bottom w:val="single" w:color="auto" w:sz="4" w:space="0"/>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按收入性质分：</w:t>
            </w:r>
          </w:p>
        </w:tc>
        <w:tc>
          <w:tcPr>
            <w:tcW w:w="445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按支出性质分：</w:t>
            </w:r>
          </w:p>
        </w:tc>
      </w:tr>
      <w:tr>
        <w:tblPrEx>
          <w:tblCellMar>
            <w:top w:w="0" w:type="dxa"/>
            <w:left w:w="108" w:type="dxa"/>
            <w:bottom w:w="0" w:type="dxa"/>
            <w:right w:w="108" w:type="dxa"/>
          </w:tblCellMar>
        </w:tblPrEx>
        <w:trPr>
          <w:jc w:val="center"/>
        </w:trPr>
        <w:tc>
          <w:tcPr>
            <w:tcW w:w="1208" w:type="dxa"/>
            <w:vMerge w:val="continue"/>
            <w:tcBorders>
              <w:left w:val="single" w:color="auto" w:sz="4" w:space="0"/>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p>
        </w:tc>
        <w:tc>
          <w:tcPr>
            <w:tcW w:w="4661" w:type="dxa"/>
            <w:gridSpan w:val="5"/>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xml:space="preserve">  其中：  一般公共预算：</w:t>
            </w:r>
            <w:r>
              <w:rPr>
                <w:rFonts w:hint="eastAsia" w:ascii="Times New Roman" w:hAnsi="Times New Roman" w:eastAsia="仿宋_GB2312" w:cs="Times New Roman"/>
                <w:color w:val="000000"/>
                <w:kern w:val="0"/>
                <w:sz w:val="21"/>
                <w:szCs w:val="21"/>
                <w:lang w:val="en-US" w:eastAsia="zh-CN"/>
              </w:rPr>
              <w:t>414.02</w:t>
            </w:r>
          </w:p>
        </w:tc>
        <w:tc>
          <w:tcPr>
            <w:tcW w:w="445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其中：基本支出：</w:t>
            </w:r>
            <w:r>
              <w:rPr>
                <w:rFonts w:hint="eastAsia" w:ascii="Times New Roman" w:hAnsi="Times New Roman" w:eastAsia="仿宋_GB2312" w:cs="Times New Roman"/>
                <w:color w:val="000000"/>
                <w:kern w:val="0"/>
                <w:sz w:val="21"/>
                <w:szCs w:val="21"/>
                <w:lang w:val="en-US" w:eastAsia="zh-CN"/>
              </w:rPr>
              <w:t>197.98</w:t>
            </w:r>
          </w:p>
        </w:tc>
      </w:tr>
      <w:tr>
        <w:tblPrEx>
          <w:tblCellMar>
            <w:top w:w="0" w:type="dxa"/>
            <w:left w:w="108" w:type="dxa"/>
            <w:bottom w:w="0" w:type="dxa"/>
            <w:right w:w="108" w:type="dxa"/>
          </w:tblCellMar>
        </w:tblPrEx>
        <w:trPr>
          <w:jc w:val="center"/>
        </w:trPr>
        <w:tc>
          <w:tcPr>
            <w:tcW w:w="1208" w:type="dxa"/>
            <w:vMerge w:val="continue"/>
            <w:tcBorders>
              <w:left w:val="single" w:color="auto" w:sz="4" w:space="0"/>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p>
        </w:tc>
        <w:tc>
          <w:tcPr>
            <w:tcW w:w="4661" w:type="dxa"/>
            <w:gridSpan w:val="5"/>
            <w:tcBorders>
              <w:top w:val="nil"/>
              <w:left w:val="nil"/>
              <w:bottom w:val="single" w:color="auto" w:sz="4" w:space="0"/>
              <w:right w:val="single" w:color="auto" w:sz="4" w:space="0"/>
            </w:tcBorders>
            <w:noWrap w:val="0"/>
            <w:vAlign w:val="center"/>
          </w:tcPr>
          <w:p>
            <w:pPr>
              <w:widowControl/>
              <w:spacing w:line="240" w:lineRule="exact"/>
              <w:ind w:firstLine="840" w:firstLineChars="400"/>
              <w:jc w:val="left"/>
              <w:rPr>
                <w:rFonts w:hint="eastAsia"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政府性基金拨款：</w:t>
            </w:r>
            <w:r>
              <w:rPr>
                <w:rFonts w:hint="eastAsia" w:ascii="Times New Roman" w:hAnsi="Times New Roman" w:eastAsia="仿宋_GB2312" w:cs="Times New Roman"/>
                <w:color w:val="000000"/>
                <w:kern w:val="0"/>
                <w:sz w:val="21"/>
                <w:szCs w:val="21"/>
                <w:lang w:val="en-US" w:eastAsia="zh-CN"/>
              </w:rPr>
              <w:t>0</w:t>
            </w:r>
          </w:p>
        </w:tc>
        <w:tc>
          <w:tcPr>
            <w:tcW w:w="4455" w:type="dxa"/>
            <w:gridSpan w:val="4"/>
            <w:tcBorders>
              <w:top w:val="nil"/>
              <w:left w:val="nil"/>
              <w:bottom w:val="single" w:color="auto" w:sz="4" w:space="0"/>
              <w:right w:val="single" w:color="auto" w:sz="4" w:space="0"/>
            </w:tcBorders>
            <w:noWrap w:val="0"/>
            <w:vAlign w:val="center"/>
          </w:tcPr>
          <w:p>
            <w:pPr>
              <w:widowControl/>
              <w:spacing w:line="240" w:lineRule="exact"/>
              <w:ind w:firstLine="630" w:firstLineChars="300"/>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项目支出：</w:t>
            </w:r>
            <w:r>
              <w:rPr>
                <w:rFonts w:hint="eastAsia" w:ascii="Times New Roman" w:hAnsi="Times New Roman" w:eastAsia="仿宋_GB2312" w:cs="Times New Roman"/>
                <w:color w:val="000000"/>
                <w:kern w:val="0"/>
                <w:sz w:val="21"/>
                <w:szCs w:val="21"/>
                <w:lang w:val="en-US" w:eastAsia="zh-CN"/>
              </w:rPr>
              <w:t>216.04</w:t>
            </w:r>
          </w:p>
        </w:tc>
      </w:tr>
      <w:tr>
        <w:tblPrEx>
          <w:tblCellMar>
            <w:top w:w="0" w:type="dxa"/>
            <w:left w:w="108" w:type="dxa"/>
            <w:bottom w:w="0" w:type="dxa"/>
            <w:right w:w="108" w:type="dxa"/>
          </w:tblCellMar>
        </w:tblPrEx>
        <w:trPr>
          <w:jc w:val="center"/>
        </w:trPr>
        <w:tc>
          <w:tcPr>
            <w:tcW w:w="1208" w:type="dxa"/>
            <w:vMerge w:val="continue"/>
            <w:tcBorders>
              <w:left w:val="single" w:color="auto" w:sz="4" w:space="0"/>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p>
        </w:tc>
        <w:tc>
          <w:tcPr>
            <w:tcW w:w="4661" w:type="dxa"/>
            <w:gridSpan w:val="5"/>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纳入专户管理的非税收入拨款：</w:t>
            </w:r>
            <w:r>
              <w:rPr>
                <w:rFonts w:hint="eastAsia" w:ascii="Times New Roman" w:hAnsi="Times New Roman" w:eastAsia="仿宋_GB2312" w:cs="Times New Roman"/>
                <w:color w:val="000000"/>
                <w:kern w:val="0"/>
                <w:sz w:val="21"/>
                <w:szCs w:val="21"/>
                <w:lang w:val="en-US" w:eastAsia="zh-CN"/>
              </w:rPr>
              <w:t>0</w:t>
            </w:r>
          </w:p>
        </w:tc>
        <w:tc>
          <w:tcPr>
            <w:tcW w:w="445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p>
        </w:tc>
      </w:tr>
      <w:tr>
        <w:tblPrEx>
          <w:tblCellMar>
            <w:top w:w="0" w:type="dxa"/>
            <w:left w:w="108" w:type="dxa"/>
            <w:bottom w:w="0" w:type="dxa"/>
            <w:right w:w="108" w:type="dxa"/>
          </w:tblCellMar>
        </w:tblPrEx>
        <w:trPr>
          <w:jc w:val="center"/>
        </w:trPr>
        <w:tc>
          <w:tcPr>
            <w:tcW w:w="1208" w:type="dxa"/>
            <w:vMerge w:val="continue"/>
            <w:tcBorders>
              <w:left w:val="single" w:color="auto" w:sz="4" w:space="0"/>
              <w:bottom w:val="single" w:color="000000" w:sz="4" w:space="0"/>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p>
        </w:tc>
        <w:tc>
          <w:tcPr>
            <w:tcW w:w="4661" w:type="dxa"/>
            <w:gridSpan w:val="5"/>
            <w:tcBorders>
              <w:top w:val="nil"/>
              <w:left w:val="nil"/>
              <w:bottom w:val="single" w:color="auto" w:sz="4" w:space="0"/>
              <w:right w:val="single" w:color="auto" w:sz="4" w:space="0"/>
            </w:tcBorders>
            <w:noWrap w:val="0"/>
            <w:vAlign w:val="center"/>
          </w:tcPr>
          <w:p>
            <w:pPr>
              <w:widowControl/>
              <w:spacing w:line="240" w:lineRule="exact"/>
              <w:ind w:firstLine="1470" w:firstLineChars="700"/>
              <w:jc w:val="left"/>
              <w:rPr>
                <w:rFonts w:hint="eastAsia"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其他资金：</w:t>
            </w:r>
            <w:r>
              <w:rPr>
                <w:rFonts w:hint="eastAsia" w:ascii="Times New Roman" w:hAnsi="Times New Roman" w:eastAsia="仿宋_GB2312" w:cs="Times New Roman"/>
                <w:color w:val="000000"/>
                <w:kern w:val="0"/>
                <w:sz w:val="21"/>
                <w:szCs w:val="21"/>
                <w:lang w:val="en-US" w:eastAsia="zh-CN"/>
              </w:rPr>
              <w:t>0</w:t>
            </w:r>
          </w:p>
        </w:tc>
        <w:tc>
          <w:tcPr>
            <w:tcW w:w="445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p>
        </w:tc>
      </w:tr>
      <w:tr>
        <w:tblPrEx>
          <w:tblCellMar>
            <w:top w:w="0" w:type="dxa"/>
            <w:left w:w="108" w:type="dxa"/>
            <w:bottom w:w="0" w:type="dxa"/>
            <w:right w:w="108" w:type="dxa"/>
          </w:tblCellMar>
        </w:tblPrEx>
        <w:trPr>
          <w:jc w:val="center"/>
        </w:trPr>
        <w:tc>
          <w:tcPr>
            <w:tcW w:w="1208" w:type="dxa"/>
            <w:vMerge w:val="restart"/>
            <w:tcBorders>
              <w:top w:val="nil"/>
              <w:left w:val="single" w:color="auto" w:sz="4" w:space="0"/>
              <w:bottom w:val="single" w:color="000000" w:sz="4" w:space="0"/>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年度总体目标</w:t>
            </w:r>
          </w:p>
        </w:tc>
        <w:tc>
          <w:tcPr>
            <w:tcW w:w="4661" w:type="dxa"/>
            <w:gridSpan w:val="5"/>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预期目标</w:t>
            </w:r>
          </w:p>
        </w:tc>
        <w:tc>
          <w:tcPr>
            <w:tcW w:w="4455"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实际完成情况　</w:t>
            </w:r>
          </w:p>
        </w:tc>
      </w:tr>
      <w:tr>
        <w:tblPrEx>
          <w:tblCellMar>
            <w:top w:w="0" w:type="dxa"/>
            <w:left w:w="108" w:type="dxa"/>
            <w:bottom w:w="0" w:type="dxa"/>
            <w:right w:w="108" w:type="dxa"/>
          </w:tblCellMar>
        </w:tblPrEx>
        <w:trPr>
          <w:jc w:val="center"/>
        </w:trPr>
        <w:tc>
          <w:tcPr>
            <w:tcW w:w="1208" w:type="dxa"/>
            <w:vMerge w:val="continue"/>
            <w:tcBorders>
              <w:top w:val="nil"/>
              <w:left w:val="single" w:color="auto" w:sz="4" w:space="0"/>
              <w:bottom w:val="single" w:color="000000" w:sz="4" w:space="0"/>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p>
        </w:tc>
        <w:tc>
          <w:tcPr>
            <w:tcW w:w="4661" w:type="dxa"/>
            <w:gridSpan w:val="5"/>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eastAsia="zh-CN"/>
              </w:rPr>
              <w:t>完成高企申报</w:t>
            </w:r>
            <w:r>
              <w:rPr>
                <w:rFonts w:hint="eastAsia" w:ascii="Times New Roman" w:hAnsi="Times New Roman" w:eastAsia="仿宋_GB2312" w:cs="Times New Roman"/>
                <w:color w:val="000000"/>
                <w:kern w:val="0"/>
                <w:sz w:val="21"/>
                <w:szCs w:val="21"/>
                <w:lang w:val="en-US" w:eastAsia="zh-CN"/>
              </w:rPr>
              <w:t>15家</w:t>
            </w:r>
            <w:r>
              <w:rPr>
                <w:rFonts w:ascii="Times New Roman" w:hAnsi="Times New Roman" w:eastAsia="仿宋_GB2312" w:cs="Times New Roman"/>
                <w:color w:val="000000"/>
                <w:kern w:val="0"/>
                <w:sz w:val="21"/>
                <w:szCs w:val="21"/>
              </w:rPr>
              <w:t>　</w:t>
            </w:r>
          </w:p>
        </w:tc>
        <w:tc>
          <w:tcPr>
            <w:tcW w:w="4455"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 xml:space="preserve">        </w:t>
            </w:r>
            <w:r>
              <w:rPr>
                <w:rFonts w:hint="eastAsia" w:ascii="Times New Roman" w:hAnsi="Times New Roman" w:eastAsia="仿宋_GB2312" w:cs="Times New Roman"/>
                <w:color w:val="000000"/>
                <w:kern w:val="0"/>
                <w:sz w:val="21"/>
                <w:szCs w:val="21"/>
                <w:lang w:eastAsia="zh-CN"/>
              </w:rPr>
              <w:t>完成高企申报</w:t>
            </w:r>
            <w:r>
              <w:rPr>
                <w:rFonts w:hint="eastAsia" w:ascii="Times New Roman" w:hAnsi="Times New Roman" w:eastAsia="仿宋_GB2312" w:cs="Times New Roman"/>
                <w:color w:val="000000"/>
                <w:kern w:val="0"/>
                <w:sz w:val="21"/>
                <w:szCs w:val="21"/>
                <w:lang w:val="en-US" w:eastAsia="zh-CN"/>
              </w:rPr>
              <w:t>21家</w:t>
            </w:r>
          </w:p>
        </w:tc>
      </w:tr>
      <w:tr>
        <w:tblPrEx>
          <w:tblCellMar>
            <w:top w:w="0" w:type="dxa"/>
            <w:left w:w="108" w:type="dxa"/>
            <w:bottom w:w="0" w:type="dxa"/>
            <w:right w:w="108" w:type="dxa"/>
          </w:tblCellMar>
        </w:tblPrEx>
        <w:trPr>
          <w:jc w:val="center"/>
        </w:trPr>
        <w:tc>
          <w:tcPr>
            <w:tcW w:w="1208" w:type="dxa"/>
            <w:vMerge w:val="restart"/>
            <w:tcBorders>
              <w:top w:val="nil"/>
              <w:left w:val="single" w:color="auto" w:sz="4" w:space="0"/>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绩</w:t>
            </w:r>
          </w:p>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效</w:t>
            </w:r>
          </w:p>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指</w:t>
            </w:r>
          </w:p>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标</w:t>
            </w:r>
          </w:p>
          <w:p>
            <w:pPr>
              <w:widowControl/>
              <w:spacing w:line="240" w:lineRule="exact"/>
              <w:jc w:val="center"/>
              <w:rPr>
                <w:rFonts w:ascii="Times New Roman" w:hAnsi="Times New Roman" w:eastAsia="仿宋_GB2312" w:cs="Times New Roman"/>
                <w:color w:val="000000"/>
                <w:kern w:val="0"/>
                <w:sz w:val="21"/>
                <w:szCs w:val="21"/>
              </w:rPr>
            </w:pP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一级指标</w:t>
            </w:r>
          </w:p>
        </w:tc>
        <w:tc>
          <w:tcPr>
            <w:tcW w:w="1121" w:type="dxa"/>
            <w:tcBorders>
              <w:top w:val="nil"/>
              <w:left w:val="nil"/>
              <w:bottom w:val="single" w:color="auto" w:sz="4" w:space="0"/>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二级指标</w:t>
            </w:r>
          </w:p>
        </w:tc>
        <w:tc>
          <w:tcPr>
            <w:tcW w:w="1183"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三级指标</w:t>
            </w:r>
          </w:p>
        </w:tc>
        <w:tc>
          <w:tcPr>
            <w:tcW w:w="1277" w:type="dxa"/>
            <w:tcBorders>
              <w:top w:val="nil"/>
              <w:left w:val="nil"/>
              <w:bottom w:val="single" w:color="auto" w:sz="4" w:space="0"/>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年度</w:t>
            </w:r>
          </w:p>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指标值</w:t>
            </w:r>
          </w:p>
        </w:tc>
        <w:tc>
          <w:tcPr>
            <w:tcW w:w="1320" w:type="dxa"/>
            <w:tcBorders>
              <w:top w:val="nil"/>
              <w:left w:val="nil"/>
              <w:bottom w:val="single" w:color="auto" w:sz="4" w:space="0"/>
              <w:right w:val="single" w:color="auto" w:sz="4" w:space="0"/>
            </w:tcBorders>
            <w:noWrap w:val="0"/>
            <w:vAlign w:val="center"/>
          </w:tcPr>
          <w:p>
            <w:pPr>
              <w:widowControl/>
              <w:spacing w:line="240" w:lineRule="exact"/>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实际完成值</w:t>
            </w:r>
          </w:p>
        </w:tc>
        <w:tc>
          <w:tcPr>
            <w:tcW w:w="691" w:type="dxa"/>
            <w:tcBorders>
              <w:top w:val="nil"/>
              <w:left w:val="nil"/>
              <w:bottom w:val="single" w:color="auto" w:sz="4" w:space="0"/>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分值</w:t>
            </w:r>
          </w:p>
        </w:tc>
        <w:tc>
          <w:tcPr>
            <w:tcW w:w="889" w:type="dxa"/>
            <w:tcBorders>
              <w:top w:val="nil"/>
              <w:left w:val="nil"/>
              <w:bottom w:val="single" w:color="auto" w:sz="4" w:space="0"/>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得分</w:t>
            </w:r>
          </w:p>
        </w:tc>
        <w:tc>
          <w:tcPr>
            <w:tcW w:w="1555" w:type="dxa"/>
            <w:tcBorders>
              <w:top w:val="nil"/>
              <w:left w:val="nil"/>
              <w:bottom w:val="single" w:color="auto" w:sz="4" w:space="0"/>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偏差原因</w:t>
            </w:r>
          </w:p>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分析及</w:t>
            </w:r>
          </w:p>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改进措施</w:t>
            </w:r>
          </w:p>
        </w:tc>
      </w:tr>
      <w:tr>
        <w:tblPrEx>
          <w:tblCellMar>
            <w:top w:w="0" w:type="dxa"/>
            <w:left w:w="108" w:type="dxa"/>
            <w:bottom w:w="0" w:type="dxa"/>
            <w:right w:w="108" w:type="dxa"/>
          </w:tblCellMar>
        </w:tblPrEx>
        <w:trPr>
          <w:jc w:val="center"/>
        </w:trPr>
        <w:tc>
          <w:tcPr>
            <w:tcW w:w="1208" w:type="dxa"/>
            <w:vMerge w:val="continue"/>
            <w:tcBorders>
              <w:left w:val="single" w:color="auto" w:sz="4" w:space="0"/>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080" w:type="dxa"/>
            <w:vMerge w:val="restart"/>
            <w:tcBorders>
              <w:top w:val="nil"/>
              <w:left w:val="nil"/>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产出指标</w:t>
            </w:r>
          </w:p>
          <w:p>
            <w:pPr>
              <w:widowControl/>
              <w:spacing w:line="240" w:lineRule="exact"/>
              <w:jc w:val="center"/>
              <w:rPr>
                <w:rFonts w:ascii="Times New Roman" w:hAnsi="Times New Roman" w:eastAsia="仿宋_GB2312" w:cs="Times New Roman"/>
                <w:color w:val="000000"/>
                <w:kern w:val="0"/>
                <w:sz w:val="21"/>
                <w:szCs w:val="21"/>
              </w:rPr>
            </w:pPr>
          </w:p>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(50分)</w:t>
            </w:r>
          </w:p>
        </w:tc>
        <w:tc>
          <w:tcPr>
            <w:tcW w:w="1121" w:type="dxa"/>
            <w:vMerge w:val="restart"/>
            <w:tcBorders>
              <w:top w:val="nil"/>
              <w:left w:val="nil"/>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数量指标</w:t>
            </w:r>
          </w:p>
        </w:tc>
        <w:tc>
          <w:tcPr>
            <w:tcW w:w="1183" w:type="dxa"/>
            <w:gridSpan w:val="2"/>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eastAsia="zh-CN"/>
              </w:rPr>
            </w:pPr>
            <w:r>
              <w:rPr>
                <w:rFonts w:ascii="Times New Roman" w:hAnsi="Times New Roman" w:eastAsia="仿宋_GB2312" w:cs="Times New Roman"/>
                <w:color w:val="000000"/>
                <w:kern w:val="0"/>
                <w:sz w:val="21"/>
                <w:szCs w:val="21"/>
              </w:rPr>
              <w:t>指标1：</w:t>
            </w:r>
            <w:r>
              <w:rPr>
                <w:rFonts w:hint="eastAsia" w:ascii="Times New Roman" w:hAnsi="Times New Roman" w:eastAsia="仿宋_GB2312" w:cs="Times New Roman"/>
                <w:color w:val="000000"/>
                <w:kern w:val="0"/>
                <w:sz w:val="21"/>
                <w:szCs w:val="21"/>
                <w:lang w:eastAsia="zh-CN"/>
              </w:rPr>
              <w:t>新增高企</w:t>
            </w:r>
          </w:p>
        </w:tc>
        <w:tc>
          <w:tcPr>
            <w:tcW w:w="1277"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15</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21</w:t>
            </w:r>
          </w:p>
        </w:tc>
        <w:tc>
          <w:tcPr>
            <w:tcW w:w="69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10</w:t>
            </w:r>
          </w:p>
        </w:tc>
        <w:tc>
          <w:tcPr>
            <w:tcW w:w="88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10</w:t>
            </w:r>
          </w:p>
        </w:tc>
        <w:tc>
          <w:tcPr>
            <w:tcW w:w="155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Times New Roman" w:hAnsi="Times New Roman" w:eastAsia="仿宋_GB2312" w:cs="Times New Roman"/>
                <w:color w:val="000000"/>
                <w:kern w:val="0"/>
                <w:sz w:val="21"/>
                <w:szCs w:val="21"/>
                <w:lang w:val="en-US" w:eastAsia="zh-CN"/>
              </w:rPr>
            </w:pPr>
            <w:r>
              <w:rPr>
                <w:rFonts w:hint="eastAsia" w:ascii="Times New Roman" w:hAnsi="Times New Roman" w:eastAsia="仿宋_GB2312" w:cs="Times New Roman"/>
                <w:color w:val="000000"/>
                <w:kern w:val="0"/>
                <w:sz w:val="21"/>
                <w:szCs w:val="21"/>
                <w:lang w:val="en-US" w:eastAsia="zh-CN"/>
              </w:rPr>
              <w:t>/</w:t>
            </w:r>
          </w:p>
        </w:tc>
      </w:tr>
      <w:tr>
        <w:tblPrEx>
          <w:tblCellMar>
            <w:top w:w="0" w:type="dxa"/>
            <w:left w:w="108" w:type="dxa"/>
            <w:bottom w:w="0" w:type="dxa"/>
            <w:right w:w="108" w:type="dxa"/>
          </w:tblCellMar>
        </w:tblPrEx>
        <w:trPr>
          <w:jc w:val="center"/>
        </w:trPr>
        <w:tc>
          <w:tcPr>
            <w:tcW w:w="1208" w:type="dxa"/>
            <w:vMerge w:val="continue"/>
            <w:tcBorders>
              <w:left w:val="single" w:color="auto" w:sz="4" w:space="0"/>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080" w:type="dxa"/>
            <w:vMerge w:val="continue"/>
            <w:tcBorders>
              <w:left w:val="nil"/>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121" w:type="dxa"/>
            <w:vMerge w:val="continue"/>
            <w:tcBorders>
              <w:left w:val="nil"/>
              <w:right w:val="single" w:color="auto" w:sz="4" w:space="0"/>
            </w:tcBorders>
            <w:noWrap w:val="0"/>
            <w:vAlign w:val="center"/>
          </w:tcPr>
          <w:p>
            <w:pPr>
              <w:spacing w:line="240" w:lineRule="exact"/>
              <w:jc w:val="center"/>
              <w:rPr>
                <w:rFonts w:ascii="Times New Roman" w:hAnsi="Times New Roman" w:eastAsia="仿宋_GB2312" w:cs="Times New Roman"/>
                <w:color w:val="000000"/>
                <w:kern w:val="0"/>
                <w:sz w:val="21"/>
                <w:szCs w:val="21"/>
              </w:rPr>
            </w:pPr>
          </w:p>
        </w:tc>
        <w:tc>
          <w:tcPr>
            <w:tcW w:w="1183" w:type="dxa"/>
            <w:gridSpan w:val="2"/>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eastAsia="zh-CN"/>
              </w:rPr>
            </w:pPr>
            <w:r>
              <w:rPr>
                <w:rFonts w:ascii="Times New Roman" w:hAnsi="Times New Roman" w:eastAsia="仿宋_GB2312" w:cs="Times New Roman"/>
                <w:color w:val="000000"/>
                <w:kern w:val="0"/>
                <w:sz w:val="21"/>
                <w:szCs w:val="21"/>
              </w:rPr>
              <w:t>指标2：</w:t>
            </w:r>
            <w:r>
              <w:rPr>
                <w:rFonts w:hint="eastAsia" w:ascii="Times New Roman" w:hAnsi="Times New Roman" w:eastAsia="仿宋_GB2312" w:cs="Times New Roman"/>
                <w:color w:val="000000"/>
                <w:kern w:val="0"/>
                <w:sz w:val="21"/>
                <w:szCs w:val="21"/>
                <w:lang w:eastAsia="zh-CN"/>
              </w:rPr>
              <w:t>科技型中小企业</w:t>
            </w:r>
          </w:p>
        </w:tc>
        <w:tc>
          <w:tcPr>
            <w:tcW w:w="1277"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120</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266</w:t>
            </w:r>
          </w:p>
        </w:tc>
        <w:tc>
          <w:tcPr>
            <w:tcW w:w="69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10</w:t>
            </w:r>
          </w:p>
        </w:tc>
        <w:tc>
          <w:tcPr>
            <w:tcW w:w="88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10</w:t>
            </w:r>
          </w:p>
        </w:tc>
        <w:tc>
          <w:tcPr>
            <w:tcW w:w="155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Times New Roman" w:hAnsi="Times New Roman" w:eastAsia="仿宋_GB2312" w:cs="Times New Roman"/>
                <w:color w:val="000000"/>
                <w:kern w:val="0"/>
                <w:sz w:val="21"/>
                <w:szCs w:val="21"/>
                <w:lang w:val="en-US" w:eastAsia="zh-CN"/>
              </w:rPr>
            </w:pPr>
            <w:r>
              <w:rPr>
                <w:rFonts w:hint="eastAsia" w:ascii="Times New Roman" w:hAnsi="Times New Roman" w:eastAsia="仿宋_GB2312" w:cs="Times New Roman"/>
                <w:color w:val="000000"/>
                <w:kern w:val="0"/>
                <w:sz w:val="21"/>
                <w:szCs w:val="21"/>
                <w:lang w:val="en-US" w:eastAsia="zh-CN"/>
              </w:rPr>
              <w:t>/</w:t>
            </w:r>
          </w:p>
        </w:tc>
      </w:tr>
      <w:tr>
        <w:tblPrEx>
          <w:tblCellMar>
            <w:top w:w="0" w:type="dxa"/>
            <w:left w:w="108" w:type="dxa"/>
            <w:bottom w:w="0" w:type="dxa"/>
            <w:right w:w="108" w:type="dxa"/>
          </w:tblCellMar>
        </w:tblPrEx>
        <w:trPr>
          <w:jc w:val="center"/>
        </w:trPr>
        <w:tc>
          <w:tcPr>
            <w:tcW w:w="1208" w:type="dxa"/>
            <w:vMerge w:val="continue"/>
            <w:tcBorders>
              <w:left w:val="single" w:color="auto" w:sz="4" w:space="0"/>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080" w:type="dxa"/>
            <w:vMerge w:val="continue"/>
            <w:tcBorders>
              <w:left w:val="nil"/>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121" w:type="dxa"/>
            <w:tcBorders>
              <w:top w:val="nil"/>
              <w:left w:val="nil"/>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质量指标</w:t>
            </w:r>
          </w:p>
        </w:tc>
        <w:tc>
          <w:tcPr>
            <w:tcW w:w="1183" w:type="dxa"/>
            <w:gridSpan w:val="2"/>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指标1：</w:t>
            </w:r>
            <w:r>
              <w:rPr>
                <w:rFonts w:hint="eastAsia" w:ascii="Times New Roman" w:hAnsi="Times New Roman" w:eastAsia="仿宋_GB2312" w:cs="Times New Roman"/>
                <w:color w:val="000000"/>
                <w:kern w:val="0"/>
                <w:sz w:val="21"/>
                <w:szCs w:val="21"/>
                <w:lang w:eastAsia="zh-CN"/>
              </w:rPr>
              <w:t>高企省报成功率</w:t>
            </w:r>
          </w:p>
        </w:tc>
        <w:tc>
          <w:tcPr>
            <w:tcW w:w="1277"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90%</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81%</w:t>
            </w:r>
          </w:p>
        </w:tc>
        <w:tc>
          <w:tcPr>
            <w:tcW w:w="69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10</w:t>
            </w:r>
          </w:p>
        </w:tc>
        <w:tc>
          <w:tcPr>
            <w:tcW w:w="88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6</w:t>
            </w:r>
          </w:p>
        </w:tc>
        <w:tc>
          <w:tcPr>
            <w:tcW w:w="15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val="en-US" w:eastAsia="zh-CN" w:bidi="ar-SA"/>
              </w:rPr>
            </w:pPr>
            <w:r>
              <w:rPr>
                <w:rFonts w:hint="eastAsia" w:ascii="Times New Roman" w:hAnsi="Times New Roman" w:eastAsia="仿宋_GB2312" w:cs="Times New Roman"/>
                <w:color w:val="000000"/>
                <w:kern w:val="0"/>
                <w:sz w:val="21"/>
                <w:szCs w:val="21"/>
                <w:lang w:val="en-US" w:eastAsia="zh-CN" w:bidi="ar-SA"/>
              </w:rPr>
              <w:t>原因：部分企业申报书质量不高</w:t>
            </w:r>
          </w:p>
          <w:p>
            <w:pPr>
              <w:pStyle w:val="2"/>
              <w:ind w:left="0" w:leftChars="0" w:firstLine="0" w:firstLineChars="0"/>
              <w:rPr>
                <w:rFonts w:hint="eastAsia"/>
                <w:lang w:eastAsia="zh-CN"/>
              </w:rPr>
            </w:pPr>
            <w:r>
              <w:rPr>
                <w:rFonts w:hint="eastAsia" w:ascii="Times New Roman" w:hAnsi="Times New Roman" w:eastAsia="仿宋_GB2312" w:cs="Times New Roman"/>
                <w:color w:val="000000"/>
                <w:kern w:val="0"/>
                <w:sz w:val="21"/>
                <w:szCs w:val="21"/>
                <w:lang w:val="en-US" w:eastAsia="zh-CN" w:bidi="ar-SA"/>
              </w:rPr>
              <w:t>改进</w:t>
            </w:r>
            <w:r>
              <w:rPr>
                <w:rFonts w:hint="eastAsia" w:ascii="Times New Roman" w:hAnsi="Times New Roman" w:eastAsia="仿宋_GB2312" w:cs="Times New Roman"/>
                <w:color w:val="000000"/>
                <w:kern w:val="0"/>
                <w:sz w:val="21"/>
                <w:szCs w:val="21"/>
                <w:lang w:val="en-US" w:eastAsia="zh-CN"/>
              </w:rPr>
              <w:t>措</w:t>
            </w:r>
            <w:r>
              <w:rPr>
                <w:rFonts w:hint="eastAsia" w:ascii="Times New Roman" w:hAnsi="Times New Roman" w:eastAsia="仿宋_GB2312" w:cs="Times New Roman"/>
                <w:color w:val="000000"/>
                <w:kern w:val="0"/>
                <w:sz w:val="21"/>
                <w:szCs w:val="21"/>
                <w:lang w:eastAsia="zh-CN"/>
              </w:rPr>
              <w:t>施：加强对中介机构服务质量的跟踪统计</w:t>
            </w:r>
          </w:p>
        </w:tc>
      </w:tr>
      <w:tr>
        <w:tblPrEx>
          <w:tblCellMar>
            <w:top w:w="0" w:type="dxa"/>
            <w:left w:w="108" w:type="dxa"/>
            <w:bottom w:w="0" w:type="dxa"/>
            <w:right w:w="108" w:type="dxa"/>
          </w:tblCellMar>
        </w:tblPrEx>
        <w:trPr>
          <w:jc w:val="center"/>
        </w:trPr>
        <w:tc>
          <w:tcPr>
            <w:tcW w:w="1208" w:type="dxa"/>
            <w:vMerge w:val="continue"/>
            <w:tcBorders>
              <w:left w:val="single" w:color="auto" w:sz="4" w:space="0"/>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080" w:type="dxa"/>
            <w:vMerge w:val="continue"/>
            <w:tcBorders>
              <w:left w:val="nil"/>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121" w:type="dxa"/>
            <w:vMerge w:val="restart"/>
            <w:tcBorders>
              <w:top w:val="nil"/>
              <w:left w:val="nil"/>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时效指标</w:t>
            </w:r>
          </w:p>
        </w:tc>
        <w:tc>
          <w:tcPr>
            <w:tcW w:w="1183" w:type="dxa"/>
            <w:gridSpan w:val="2"/>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指标1：</w:t>
            </w:r>
            <w:r>
              <w:rPr>
                <w:rFonts w:hint="eastAsia" w:ascii="Times New Roman" w:hAnsi="Times New Roman" w:eastAsia="仿宋_GB2312" w:cs="Times New Roman"/>
                <w:color w:val="000000"/>
                <w:kern w:val="0"/>
                <w:sz w:val="21"/>
                <w:szCs w:val="21"/>
                <w:lang w:val="en-US" w:eastAsia="zh-CN"/>
              </w:rPr>
              <w:t>2022年9月前完成高企申报资料提交15家</w:t>
            </w:r>
          </w:p>
        </w:tc>
        <w:tc>
          <w:tcPr>
            <w:tcW w:w="1277"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15</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32</w:t>
            </w:r>
          </w:p>
        </w:tc>
        <w:tc>
          <w:tcPr>
            <w:tcW w:w="69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10</w:t>
            </w:r>
          </w:p>
        </w:tc>
        <w:tc>
          <w:tcPr>
            <w:tcW w:w="88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10</w:t>
            </w:r>
          </w:p>
        </w:tc>
        <w:tc>
          <w:tcPr>
            <w:tcW w:w="155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Times New Roman" w:hAnsi="Times New Roman" w:eastAsia="仿宋_GB2312" w:cs="Times New Roman"/>
                <w:color w:val="000000"/>
                <w:kern w:val="0"/>
                <w:sz w:val="21"/>
                <w:szCs w:val="21"/>
                <w:lang w:val="en-US" w:eastAsia="zh-CN"/>
              </w:rPr>
            </w:pPr>
            <w:r>
              <w:rPr>
                <w:rFonts w:hint="eastAsia" w:ascii="Times New Roman" w:hAnsi="Times New Roman" w:eastAsia="仿宋_GB2312" w:cs="Times New Roman"/>
                <w:color w:val="000000"/>
                <w:kern w:val="0"/>
                <w:sz w:val="21"/>
                <w:szCs w:val="21"/>
                <w:lang w:val="en-US" w:eastAsia="zh-CN"/>
              </w:rPr>
              <w:t>/</w:t>
            </w:r>
          </w:p>
        </w:tc>
      </w:tr>
      <w:tr>
        <w:tblPrEx>
          <w:tblCellMar>
            <w:top w:w="0" w:type="dxa"/>
            <w:left w:w="108" w:type="dxa"/>
            <w:bottom w:w="0" w:type="dxa"/>
            <w:right w:w="108" w:type="dxa"/>
          </w:tblCellMar>
        </w:tblPrEx>
        <w:trPr>
          <w:jc w:val="center"/>
        </w:trPr>
        <w:tc>
          <w:tcPr>
            <w:tcW w:w="1208" w:type="dxa"/>
            <w:vMerge w:val="continue"/>
            <w:tcBorders>
              <w:left w:val="single" w:color="auto" w:sz="4" w:space="0"/>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080" w:type="dxa"/>
            <w:vMerge w:val="continue"/>
            <w:tcBorders>
              <w:left w:val="nil"/>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121" w:type="dxa"/>
            <w:vMerge w:val="continue"/>
            <w:tcBorders>
              <w:left w:val="nil"/>
              <w:right w:val="single" w:color="auto" w:sz="4" w:space="0"/>
            </w:tcBorders>
            <w:noWrap w:val="0"/>
            <w:vAlign w:val="center"/>
          </w:tcPr>
          <w:p>
            <w:pPr>
              <w:spacing w:line="240" w:lineRule="exact"/>
              <w:jc w:val="center"/>
              <w:rPr>
                <w:rFonts w:ascii="Times New Roman" w:hAnsi="Times New Roman" w:eastAsia="仿宋_GB2312" w:cs="Times New Roman"/>
                <w:color w:val="000000"/>
                <w:kern w:val="0"/>
                <w:sz w:val="21"/>
                <w:szCs w:val="21"/>
              </w:rPr>
            </w:pPr>
          </w:p>
        </w:tc>
        <w:tc>
          <w:tcPr>
            <w:tcW w:w="1183" w:type="dxa"/>
            <w:gridSpan w:val="2"/>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指标2：</w:t>
            </w:r>
            <w:r>
              <w:rPr>
                <w:rFonts w:hint="eastAsia" w:ascii="Times New Roman" w:hAnsi="Times New Roman" w:eastAsia="仿宋_GB2312" w:cs="Times New Roman"/>
                <w:color w:val="000000"/>
                <w:kern w:val="0"/>
                <w:sz w:val="21"/>
                <w:szCs w:val="21"/>
                <w:lang w:val="en-US" w:eastAsia="zh-CN"/>
              </w:rPr>
              <w:t>2022年11月前完成科技型中小企业入库120家</w:t>
            </w:r>
          </w:p>
        </w:tc>
        <w:tc>
          <w:tcPr>
            <w:tcW w:w="1277"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120</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266</w:t>
            </w:r>
          </w:p>
        </w:tc>
        <w:tc>
          <w:tcPr>
            <w:tcW w:w="69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10</w:t>
            </w:r>
          </w:p>
        </w:tc>
        <w:tc>
          <w:tcPr>
            <w:tcW w:w="88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10</w:t>
            </w:r>
          </w:p>
        </w:tc>
        <w:tc>
          <w:tcPr>
            <w:tcW w:w="155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Times New Roman" w:hAnsi="Times New Roman" w:eastAsia="仿宋_GB2312" w:cs="Times New Roman"/>
                <w:color w:val="000000"/>
                <w:kern w:val="0"/>
                <w:sz w:val="21"/>
                <w:szCs w:val="21"/>
                <w:lang w:val="en-US" w:eastAsia="zh-CN"/>
              </w:rPr>
            </w:pPr>
            <w:r>
              <w:rPr>
                <w:rFonts w:hint="eastAsia" w:ascii="Times New Roman" w:hAnsi="Times New Roman" w:eastAsia="仿宋_GB2312" w:cs="Times New Roman"/>
                <w:color w:val="000000"/>
                <w:kern w:val="0"/>
                <w:sz w:val="21"/>
                <w:szCs w:val="21"/>
                <w:lang w:val="en-US" w:eastAsia="zh-CN"/>
              </w:rPr>
              <w:t>/</w:t>
            </w:r>
          </w:p>
        </w:tc>
      </w:tr>
      <w:tr>
        <w:tblPrEx>
          <w:tblCellMar>
            <w:top w:w="0" w:type="dxa"/>
            <w:left w:w="108" w:type="dxa"/>
            <w:bottom w:w="0" w:type="dxa"/>
            <w:right w:w="108" w:type="dxa"/>
          </w:tblCellMar>
        </w:tblPrEx>
        <w:trPr>
          <w:jc w:val="center"/>
        </w:trPr>
        <w:tc>
          <w:tcPr>
            <w:tcW w:w="1208" w:type="dxa"/>
            <w:vMerge w:val="continue"/>
            <w:tcBorders>
              <w:left w:val="single" w:color="auto" w:sz="4" w:space="0"/>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080" w:type="dxa"/>
            <w:vMerge w:val="continue"/>
            <w:tcBorders>
              <w:left w:val="nil"/>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121" w:type="dxa"/>
            <w:tcBorders>
              <w:top w:val="nil"/>
              <w:left w:val="nil"/>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成本指标</w:t>
            </w:r>
          </w:p>
        </w:tc>
        <w:tc>
          <w:tcPr>
            <w:tcW w:w="1183" w:type="dxa"/>
            <w:gridSpan w:val="2"/>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指标1：</w:t>
            </w:r>
            <w:r>
              <w:rPr>
                <w:rFonts w:hint="eastAsia" w:ascii="Times New Roman" w:hAnsi="Times New Roman" w:eastAsia="仿宋_GB2312" w:cs="Times New Roman"/>
                <w:color w:val="000000"/>
                <w:kern w:val="0"/>
                <w:sz w:val="21"/>
                <w:szCs w:val="21"/>
                <w:lang w:eastAsia="zh-CN"/>
              </w:rPr>
              <w:t>兑现区级科技创新奖励</w:t>
            </w:r>
          </w:p>
        </w:tc>
        <w:tc>
          <w:tcPr>
            <w:tcW w:w="1277"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150</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164</w:t>
            </w:r>
          </w:p>
        </w:tc>
        <w:tc>
          <w:tcPr>
            <w:tcW w:w="69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5</w:t>
            </w:r>
          </w:p>
        </w:tc>
        <w:tc>
          <w:tcPr>
            <w:tcW w:w="88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5</w:t>
            </w:r>
          </w:p>
        </w:tc>
        <w:tc>
          <w:tcPr>
            <w:tcW w:w="155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Times New Roman" w:hAnsi="Times New Roman" w:eastAsia="仿宋_GB2312" w:cs="Times New Roman"/>
                <w:color w:val="000000"/>
                <w:kern w:val="0"/>
                <w:sz w:val="21"/>
                <w:szCs w:val="21"/>
                <w:lang w:val="en-US" w:eastAsia="zh-CN"/>
              </w:rPr>
            </w:pPr>
            <w:r>
              <w:rPr>
                <w:rFonts w:hint="eastAsia" w:ascii="Times New Roman" w:hAnsi="Times New Roman" w:eastAsia="仿宋_GB2312" w:cs="Times New Roman"/>
                <w:color w:val="000000"/>
                <w:kern w:val="0"/>
                <w:sz w:val="21"/>
                <w:szCs w:val="21"/>
                <w:lang w:val="en-US" w:eastAsia="zh-CN"/>
              </w:rPr>
              <w:t>/</w:t>
            </w:r>
          </w:p>
        </w:tc>
      </w:tr>
      <w:tr>
        <w:tblPrEx>
          <w:tblCellMar>
            <w:top w:w="0" w:type="dxa"/>
            <w:left w:w="108" w:type="dxa"/>
            <w:bottom w:w="0" w:type="dxa"/>
            <w:right w:w="108" w:type="dxa"/>
          </w:tblCellMar>
        </w:tblPrEx>
        <w:trPr>
          <w:jc w:val="center"/>
        </w:trPr>
        <w:tc>
          <w:tcPr>
            <w:tcW w:w="1208" w:type="dxa"/>
            <w:vMerge w:val="continue"/>
            <w:tcBorders>
              <w:left w:val="single" w:color="auto" w:sz="4" w:space="0"/>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080" w:type="dxa"/>
            <w:vMerge w:val="restart"/>
            <w:tcBorders>
              <w:top w:val="nil"/>
              <w:left w:val="nil"/>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效益指标</w:t>
            </w:r>
          </w:p>
          <w:p>
            <w:pPr>
              <w:widowControl/>
              <w:spacing w:line="240" w:lineRule="exact"/>
              <w:jc w:val="left"/>
              <w:rPr>
                <w:rFonts w:ascii="Times New Roman" w:hAnsi="Times New Roman" w:eastAsia="仿宋_GB2312" w:cs="Times New Roman"/>
                <w:color w:val="000000"/>
                <w:kern w:val="0"/>
                <w:sz w:val="21"/>
                <w:szCs w:val="21"/>
              </w:rPr>
            </w:pPr>
          </w:p>
          <w:p>
            <w:pPr>
              <w:widowControl/>
              <w:spacing w:line="240" w:lineRule="exact"/>
              <w:jc w:val="left"/>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w:t>
            </w:r>
            <w:r>
              <w:rPr>
                <w:rFonts w:hint="eastAsia" w:ascii="Times New Roman" w:hAnsi="Times New Roman" w:cs="Times New Roman"/>
                <w:color w:val="000000"/>
                <w:kern w:val="0"/>
                <w:sz w:val="21"/>
                <w:szCs w:val="21"/>
                <w:lang w:val="en-US" w:eastAsia="zh-CN"/>
              </w:rPr>
              <w:t>4</w:t>
            </w:r>
            <w:r>
              <w:rPr>
                <w:rFonts w:ascii="Times New Roman" w:hAnsi="Times New Roman" w:eastAsia="仿宋_GB2312" w:cs="Times New Roman"/>
                <w:color w:val="000000"/>
                <w:kern w:val="0"/>
                <w:sz w:val="21"/>
                <w:szCs w:val="21"/>
              </w:rPr>
              <w:t>0分）</w:t>
            </w:r>
          </w:p>
          <w:p>
            <w:pPr>
              <w:widowControl/>
              <w:spacing w:line="240" w:lineRule="exact"/>
              <w:jc w:val="left"/>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　</w:t>
            </w:r>
          </w:p>
          <w:p>
            <w:pPr>
              <w:widowControl/>
              <w:spacing w:line="240" w:lineRule="exact"/>
              <w:jc w:val="center"/>
              <w:rPr>
                <w:rFonts w:ascii="Times New Roman" w:hAnsi="Times New Roman" w:eastAsia="仿宋_GB2312" w:cs="Times New Roman"/>
                <w:color w:val="000000"/>
                <w:kern w:val="0"/>
                <w:sz w:val="21"/>
                <w:szCs w:val="21"/>
              </w:rPr>
            </w:pPr>
          </w:p>
        </w:tc>
        <w:tc>
          <w:tcPr>
            <w:tcW w:w="1121" w:type="dxa"/>
            <w:vMerge w:val="restart"/>
            <w:tcBorders>
              <w:top w:val="nil"/>
              <w:left w:val="nil"/>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经济效</w:t>
            </w:r>
          </w:p>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益指标</w:t>
            </w:r>
          </w:p>
        </w:tc>
        <w:tc>
          <w:tcPr>
            <w:tcW w:w="1183" w:type="dxa"/>
            <w:gridSpan w:val="2"/>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eastAsia="zh-CN"/>
              </w:rPr>
            </w:pPr>
            <w:r>
              <w:rPr>
                <w:rFonts w:ascii="Times New Roman" w:hAnsi="Times New Roman" w:eastAsia="仿宋_GB2312" w:cs="Times New Roman"/>
                <w:color w:val="000000"/>
                <w:kern w:val="0"/>
                <w:sz w:val="21"/>
                <w:szCs w:val="21"/>
              </w:rPr>
              <w:t>指标1：</w:t>
            </w:r>
            <w:r>
              <w:rPr>
                <w:rFonts w:hint="eastAsia" w:ascii="Times New Roman" w:hAnsi="Times New Roman" w:eastAsia="仿宋_GB2312" w:cs="Times New Roman"/>
                <w:color w:val="000000"/>
                <w:kern w:val="0"/>
                <w:sz w:val="21"/>
                <w:szCs w:val="21"/>
                <w:lang w:eastAsia="zh-CN"/>
              </w:rPr>
              <w:t>推动企业加大研发投入</w:t>
            </w:r>
          </w:p>
        </w:tc>
        <w:tc>
          <w:tcPr>
            <w:tcW w:w="1277"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hint="eastAsia" w:ascii="Times New Roman" w:hAnsi="Times New Roman" w:eastAsia="仿宋_GB2312" w:cs="Times New Roman"/>
                <w:color w:val="000000"/>
                <w:kern w:val="0"/>
                <w:sz w:val="21"/>
                <w:szCs w:val="21"/>
                <w:lang w:eastAsia="zh-CN"/>
              </w:rPr>
              <w:t>争取研发投入达</w:t>
            </w:r>
            <w:r>
              <w:rPr>
                <w:rFonts w:hint="eastAsia" w:ascii="Times New Roman" w:hAnsi="Times New Roman" w:eastAsia="仿宋_GB2312" w:cs="Times New Roman"/>
                <w:color w:val="000000"/>
                <w:kern w:val="0"/>
                <w:sz w:val="21"/>
                <w:szCs w:val="21"/>
                <w:lang w:val="en-US" w:eastAsia="zh-CN"/>
              </w:rPr>
              <w:t>4亿</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eastAsia="zh-CN"/>
              </w:rPr>
              <w:t>研发投入</w:t>
            </w:r>
            <w:r>
              <w:rPr>
                <w:rFonts w:hint="eastAsia" w:ascii="Times New Roman" w:hAnsi="Times New Roman" w:eastAsia="仿宋_GB2312" w:cs="Times New Roman"/>
                <w:color w:val="000000"/>
                <w:kern w:val="0"/>
                <w:sz w:val="21"/>
                <w:szCs w:val="21"/>
                <w:lang w:val="en-US" w:eastAsia="zh-CN"/>
              </w:rPr>
              <w:t>5.8亿</w:t>
            </w:r>
          </w:p>
        </w:tc>
        <w:tc>
          <w:tcPr>
            <w:tcW w:w="69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10</w:t>
            </w:r>
          </w:p>
        </w:tc>
        <w:tc>
          <w:tcPr>
            <w:tcW w:w="88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10</w:t>
            </w:r>
          </w:p>
        </w:tc>
        <w:tc>
          <w:tcPr>
            <w:tcW w:w="155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Times New Roman" w:hAnsi="Times New Roman" w:eastAsia="仿宋_GB2312" w:cs="Times New Roman"/>
                <w:color w:val="000000"/>
                <w:kern w:val="0"/>
                <w:sz w:val="21"/>
                <w:szCs w:val="21"/>
                <w:lang w:val="en-US" w:eastAsia="zh-CN"/>
              </w:rPr>
            </w:pPr>
            <w:r>
              <w:rPr>
                <w:rFonts w:hint="eastAsia" w:ascii="Times New Roman" w:hAnsi="Times New Roman" w:eastAsia="仿宋_GB2312" w:cs="Times New Roman"/>
                <w:color w:val="000000"/>
                <w:kern w:val="0"/>
                <w:sz w:val="21"/>
                <w:szCs w:val="21"/>
                <w:lang w:val="en-US" w:eastAsia="zh-CN"/>
              </w:rPr>
              <w:t>/</w:t>
            </w:r>
          </w:p>
        </w:tc>
      </w:tr>
      <w:tr>
        <w:tblPrEx>
          <w:tblCellMar>
            <w:top w:w="0" w:type="dxa"/>
            <w:left w:w="108" w:type="dxa"/>
            <w:bottom w:w="0" w:type="dxa"/>
            <w:right w:w="108" w:type="dxa"/>
          </w:tblCellMar>
        </w:tblPrEx>
        <w:trPr>
          <w:jc w:val="center"/>
        </w:trPr>
        <w:tc>
          <w:tcPr>
            <w:tcW w:w="1208" w:type="dxa"/>
            <w:vMerge w:val="continue"/>
            <w:tcBorders>
              <w:left w:val="single" w:color="auto" w:sz="4" w:space="0"/>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080" w:type="dxa"/>
            <w:vMerge w:val="continue"/>
            <w:tcBorders>
              <w:left w:val="nil"/>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121" w:type="dxa"/>
            <w:vMerge w:val="continue"/>
            <w:tcBorders>
              <w:left w:val="nil"/>
              <w:right w:val="single" w:color="auto" w:sz="4" w:space="0"/>
            </w:tcBorders>
            <w:noWrap w:val="0"/>
            <w:vAlign w:val="center"/>
          </w:tcPr>
          <w:p>
            <w:pPr>
              <w:spacing w:line="240" w:lineRule="exact"/>
              <w:jc w:val="center"/>
              <w:rPr>
                <w:rFonts w:ascii="Times New Roman" w:hAnsi="Times New Roman" w:eastAsia="仿宋_GB2312" w:cs="Times New Roman"/>
                <w:color w:val="000000"/>
                <w:kern w:val="0"/>
                <w:sz w:val="21"/>
                <w:szCs w:val="21"/>
              </w:rPr>
            </w:pPr>
          </w:p>
        </w:tc>
        <w:tc>
          <w:tcPr>
            <w:tcW w:w="1183" w:type="dxa"/>
            <w:gridSpan w:val="2"/>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eastAsia="zh-CN"/>
              </w:rPr>
            </w:pPr>
            <w:r>
              <w:rPr>
                <w:rFonts w:ascii="Times New Roman" w:hAnsi="Times New Roman" w:eastAsia="仿宋_GB2312" w:cs="Times New Roman"/>
                <w:color w:val="000000"/>
                <w:kern w:val="0"/>
                <w:sz w:val="21"/>
                <w:szCs w:val="21"/>
              </w:rPr>
              <w:t>指标2：</w:t>
            </w:r>
            <w:r>
              <w:rPr>
                <w:rFonts w:hint="eastAsia" w:ascii="Times New Roman" w:hAnsi="Times New Roman" w:eastAsia="仿宋_GB2312" w:cs="Times New Roman"/>
                <w:color w:val="000000"/>
                <w:kern w:val="0"/>
                <w:sz w:val="21"/>
                <w:szCs w:val="21"/>
                <w:lang w:eastAsia="zh-CN"/>
              </w:rPr>
              <w:t>指导企业申报科技计划项目</w:t>
            </w:r>
          </w:p>
        </w:tc>
        <w:tc>
          <w:tcPr>
            <w:tcW w:w="1277"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hint="eastAsia" w:ascii="Times New Roman" w:hAnsi="Times New Roman" w:eastAsia="仿宋_GB2312" w:cs="Times New Roman"/>
                <w:color w:val="000000"/>
                <w:kern w:val="0"/>
                <w:sz w:val="21"/>
                <w:szCs w:val="21"/>
                <w:lang w:eastAsia="zh-CN"/>
              </w:rPr>
              <w:t>上门辅导</w:t>
            </w:r>
            <w:r>
              <w:rPr>
                <w:rFonts w:hint="eastAsia" w:ascii="Times New Roman" w:hAnsi="Times New Roman" w:eastAsia="仿宋_GB2312" w:cs="Times New Roman"/>
                <w:color w:val="000000"/>
                <w:kern w:val="0"/>
                <w:sz w:val="21"/>
                <w:szCs w:val="21"/>
                <w:lang w:val="en-US" w:eastAsia="zh-CN"/>
              </w:rPr>
              <w:t>20人次</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hint="eastAsia" w:ascii="Times New Roman" w:hAnsi="Times New Roman" w:eastAsia="仿宋_GB2312" w:cs="Times New Roman"/>
                <w:color w:val="000000"/>
                <w:kern w:val="0"/>
                <w:sz w:val="21"/>
                <w:szCs w:val="21"/>
                <w:lang w:eastAsia="zh-CN"/>
              </w:rPr>
              <w:t>上门辅导</w:t>
            </w:r>
            <w:r>
              <w:rPr>
                <w:rFonts w:hint="eastAsia" w:ascii="Times New Roman" w:hAnsi="Times New Roman" w:eastAsia="仿宋_GB2312" w:cs="Times New Roman"/>
                <w:color w:val="000000"/>
                <w:kern w:val="0"/>
                <w:sz w:val="21"/>
                <w:szCs w:val="21"/>
                <w:lang w:val="en-US" w:eastAsia="zh-CN"/>
              </w:rPr>
              <w:t>46人次</w:t>
            </w:r>
          </w:p>
        </w:tc>
        <w:tc>
          <w:tcPr>
            <w:tcW w:w="69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10</w:t>
            </w:r>
          </w:p>
        </w:tc>
        <w:tc>
          <w:tcPr>
            <w:tcW w:w="88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10</w:t>
            </w:r>
          </w:p>
        </w:tc>
        <w:tc>
          <w:tcPr>
            <w:tcW w:w="155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Times New Roman" w:hAnsi="Times New Roman" w:eastAsia="仿宋_GB2312" w:cs="Times New Roman"/>
                <w:color w:val="000000"/>
                <w:kern w:val="0"/>
                <w:sz w:val="21"/>
                <w:szCs w:val="21"/>
                <w:lang w:val="en-US" w:eastAsia="zh-CN"/>
              </w:rPr>
            </w:pPr>
            <w:r>
              <w:rPr>
                <w:rFonts w:hint="eastAsia" w:ascii="Times New Roman" w:hAnsi="Times New Roman" w:eastAsia="仿宋_GB2312" w:cs="Times New Roman"/>
                <w:color w:val="000000"/>
                <w:kern w:val="0"/>
                <w:sz w:val="21"/>
                <w:szCs w:val="21"/>
                <w:lang w:val="en-US" w:eastAsia="zh-CN"/>
              </w:rPr>
              <w:t>/</w:t>
            </w:r>
          </w:p>
        </w:tc>
      </w:tr>
      <w:tr>
        <w:tblPrEx>
          <w:tblCellMar>
            <w:top w:w="0" w:type="dxa"/>
            <w:left w:w="108" w:type="dxa"/>
            <w:bottom w:w="0" w:type="dxa"/>
            <w:right w:w="108" w:type="dxa"/>
          </w:tblCellMar>
        </w:tblPrEx>
        <w:trPr>
          <w:jc w:val="center"/>
        </w:trPr>
        <w:tc>
          <w:tcPr>
            <w:tcW w:w="1208" w:type="dxa"/>
            <w:vMerge w:val="continue"/>
            <w:tcBorders>
              <w:left w:val="single" w:color="auto" w:sz="4" w:space="0"/>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080" w:type="dxa"/>
            <w:vMerge w:val="continue"/>
            <w:tcBorders>
              <w:left w:val="nil"/>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121" w:type="dxa"/>
            <w:tcBorders>
              <w:top w:val="nil"/>
              <w:left w:val="nil"/>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社会效</w:t>
            </w:r>
          </w:p>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益指标</w:t>
            </w:r>
          </w:p>
        </w:tc>
        <w:tc>
          <w:tcPr>
            <w:tcW w:w="1183" w:type="dxa"/>
            <w:gridSpan w:val="2"/>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eastAsia="zh-CN"/>
              </w:rPr>
            </w:pPr>
            <w:r>
              <w:rPr>
                <w:rFonts w:ascii="Times New Roman" w:hAnsi="Times New Roman" w:eastAsia="仿宋_GB2312" w:cs="Times New Roman"/>
                <w:color w:val="000000"/>
                <w:kern w:val="0"/>
                <w:sz w:val="21"/>
                <w:szCs w:val="21"/>
              </w:rPr>
              <w:t>指标1：</w:t>
            </w:r>
            <w:r>
              <w:rPr>
                <w:rFonts w:hint="eastAsia" w:ascii="Times New Roman" w:hAnsi="Times New Roman" w:eastAsia="仿宋_GB2312" w:cs="Times New Roman"/>
                <w:color w:val="000000"/>
                <w:kern w:val="0"/>
                <w:sz w:val="21"/>
                <w:szCs w:val="21"/>
                <w:lang w:eastAsia="zh-CN"/>
              </w:rPr>
              <w:t>普及科技优惠政策</w:t>
            </w:r>
          </w:p>
        </w:tc>
        <w:tc>
          <w:tcPr>
            <w:tcW w:w="1277"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hint="eastAsia" w:ascii="Times New Roman" w:hAnsi="Times New Roman" w:eastAsia="仿宋_GB2312" w:cs="Times New Roman"/>
                <w:color w:val="000000"/>
                <w:kern w:val="0"/>
                <w:sz w:val="21"/>
                <w:szCs w:val="21"/>
                <w:lang w:eastAsia="zh-CN"/>
              </w:rPr>
              <w:t>上门宣传政策达</w:t>
            </w:r>
            <w:r>
              <w:rPr>
                <w:rFonts w:hint="eastAsia" w:ascii="Times New Roman" w:hAnsi="Times New Roman" w:eastAsia="仿宋_GB2312" w:cs="Times New Roman"/>
                <w:color w:val="000000"/>
                <w:kern w:val="0"/>
                <w:sz w:val="21"/>
                <w:szCs w:val="21"/>
                <w:lang w:val="en-US" w:eastAsia="zh-CN"/>
              </w:rPr>
              <w:t>50人次</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hint="eastAsia" w:ascii="Times New Roman" w:hAnsi="Times New Roman" w:eastAsia="仿宋_GB2312" w:cs="Times New Roman"/>
                <w:color w:val="000000"/>
                <w:kern w:val="0"/>
                <w:sz w:val="21"/>
                <w:szCs w:val="21"/>
                <w:lang w:eastAsia="zh-CN"/>
              </w:rPr>
              <w:t>上门宣传政策</w:t>
            </w:r>
            <w:r>
              <w:rPr>
                <w:rFonts w:hint="eastAsia" w:ascii="Times New Roman" w:hAnsi="Times New Roman" w:eastAsia="仿宋_GB2312" w:cs="Times New Roman"/>
                <w:color w:val="000000"/>
                <w:kern w:val="0"/>
                <w:sz w:val="21"/>
                <w:szCs w:val="21"/>
                <w:lang w:val="en-US" w:eastAsia="zh-CN"/>
              </w:rPr>
              <w:t>42人次</w:t>
            </w:r>
          </w:p>
        </w:tc>
        <w:tc>
          <w:tcPr>
            <w:tcW w:w="69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10</w:t>
            </w:r>
          </w:p>
        </w:tc>
        <w:tc>
          <w:tcPr>
            <w:tcW w:w="88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8</w:t>
            </w:r>
          </w:p>
        </w:tc>
        <w:tc>
          <w:tcPr>
            <w:tcW w:w="15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lang w:eastAsia="zh-CN"/>
              </w:rPr>
            </w:pPr>
            <w:r>
              <w:rPr>
                <w:rFonts w:hint="eastAsia" w:ascii="Times New Roman" w:hAnsi="Times New Roman" w:eastAsia="仿宋_GB2312" w:cs="Times New Roman"/>
                <w:color w:val="000000"/>
                <w:kern w:val="0"/>
                <w:sz w:val="21"/>
                <w:szCs w:val="21"/>
                <w:lang w:val="en-US" w:eastAsia="zh-CN" w:bidi="ar-SA"/>
              </w:rPr>
              <w:t>原因：人手少，工作事件安排有冲突</w:t>
            </w:r>
          </w:p>
          <w:p>
            <w:pPr>
              <w:pStyle w:val="2"/>
              <w:ind w:left="0" w:leftChars="0" w:firstLine="0" w:firstLineChars="0"/>
              <w:rPr>
                <w:rFonts w:hint="eastAsia"/>
                <w:lang w:eastAsia="zh-CN"/>
              </w:rPr>
            </w:pPr>
            <w:r>
              <w:rPr>
                <w:rFonts w:hint="eastAsia" w:ascii="Times New Roman" w:hAnsi="Times New Roman" w:eastAsia="仿宋_GB2312" w:cs="Times New Roman"/>
                <w:color w:val="000000"/>
                <w:kern w:val="0"/>
                <w:sz w:val="21"/>
                <w:szCs w:val="21"/>
                <w:lang w:eastAsia="zh-CN"/>
              </w:rPr>
              <w:t>改进措施：合理安排工作内容</w:t>
            </w:r>
          </w:p>
        </w:tc>
      </w:tr>
      <w:tr>
        <w:tblPrEx>
          <w:tblCellMar>
            <w:top w:w="0" w:type="dxa"/>
            <w:left w:w="108" w:type="dxa"/>
            <w:bottom w:w="0" w:type="dxa"/>
            <w:right w:w="108" w:type="dxa"/>
          </w:tblCellMar>
        </w:tblPrEx>
        <w:trPr>
          <w:jc w:val="center"/>
        </w:trPr>
        <w:tc>
          <w:tcPr>
            <w:tcW w:w="1208" w:type="dxa"/>
            <w:vMerge w:val="continue"/>
            <w:tcBorders>
              <w:left w:val="single" w:color="auto" w:sz="4" w:space="0"/>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080" w:type="dxa"/>
            <w:vMerge w:val="continue"/>
            <w:tcBorders>
              <w:left w:val="nil"/>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121" w:type="dxa"/>
            <w:tcBorders>
              <w:top w:val="nil"/>
              <w:left w:val="nil"/>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生态效</w:t>
            </w:r>
          </w:p>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益指标</w:t>
            </w:r>
          </w:p>
        </w:tc>
        <w:tc>
          <w:tcPr>
            <w:tcW w:w="1183" w:type="dxa"/>
            <w:gridSpan w:val="2"/>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eastAsia="zh-CN"/>
              </w:rPr>
            </w:pPr>
            <w:r>
              <w:rPr>
                <w:rFonts w:ascii="Times New Roman" w:hAnsi="Times New Roman" w:eastAsia="仿宋_GB2312" w:cs="Times New Roman"/>
                <w:color w:val="000000"/>
                <w:kern w:val="0"/>
                <w:sz w:val="21"/>
                <w:szCs w:val="21"/>
              </w:rPr>
              <w:t>指标1：</w:t>
            </w:r>
            <w:r>
              <w:rPr>
                <w:rFonts w:hint="eastAsia" w:ascii="Times New Roman" w:hAnsi="Times New Roman" w:eastAsia="仿宋_GB2312" w:cs="Times New Roman"/>
                <w:color w:val="000000"/>
                <w:kern w:val="0"/>
                <w:sz w:val="21"/>
                <w:szCs w:val="21"/>
                <w:lang w:eastAsia="zh-CN"/>
              </w:rPr>
              <w:t>严格限制有环境污染企业进行项目申报</w:t>
            </w:r>
          </w:p>
        </w:tc>
        <w:tc>
          <w:tcPr>
            <w:tcW w:w="1277"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eastAsia="zh-CN"/>
              </w:rPr>
            </w:pPr>
            <w:r>
              <w:rPr>
                <w:rFonts w:hint="eastAsia" w:ascii="Times New Roman" w:hAnsi="Times New Roman" w:eastAsia="仿宋_GB2312" w:cs="Times New Roman"/>
                <w:color w:val="000000"/>
                <w:kern w:val="0"/>
                <w:sz w:val="21"/>
                <w:szCs w:val="21"/>
                <w:lang w:eastAsia="zh-CN"/>
              </w:rPr>
              <w:t>无污染环境企业申报科技项目</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r>
              <w:rPr>
                <w:rFonts w:hint="eastAsia" w:ascii="Times New Roman" w:hAnsi="Times New Roman" w:eastAsia="仿宋_GB2312" w:cs="Times New Roman"/>
                <w:color w:val="000000"/>
                <w:kern w:val="0"/>
                <w:sz w:val="21"/>
                <w:szCs w:val="21"/>
                <w:lang w:eastAsia="zh-CN"/>
              </w:rPr>
              <w:t>无污染环境企业申报科技项目</w:t>
            </w:r>
          </w:p>
        </w:tc>
        <w:tc>
          <w:tcPr>
            <w:tcW w:w="69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5</w:t>
            </w:r>
          </w:p>
        </w:tc>
        <w:tc>
          <w:tcPr>
            <w:tcW w:w="88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5</w:t>
            </w:r>
          </w:p>
        </w:tc>
        <w:tc>
          <w:tcPr>
            <w:tcW w:w="155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Times New Roman" w:hAnsi="Times New Roman" w:eastAsia="仿宋_GB2312" w:cs="Times New Roman"/>
                <w:color w:val="000000"/>
                <w:kern w:val="0"/>
                <w:sz w:val="21"/>
                <w:szCs w:val="21"/>
                <w:lang w:val="en-US" w:eastAsia="zh-CN"/>
              </w:rPr>
            </w:pPr>
            <w:r>
              <w:rPr>
                <w:rFonts w:hint="eastAsia" w:ascii="Times New Roman" w:hAnsi="Times New Roman" w:eastAsia="仿宋_GB2312" w:cs="Times New Roman"/>
                <w:color w:val="000000"/>
                <w:kern w:val="0"/>
                <w:sz w:val="21"/>
                <w:szCs w:val="21"/>
                <w:lang w:val="en-US" w:eastAsia="zh-CN"/>
              </w:rPr>
              <w:t>/</w:t>
            </w:r>
          </w:p>
        </w:tc>
      </w:tr>
      <w:tr>
        <w:tblPrEx>
          <w:tblCellMar>
            <w:top w:w="0" w:type="dxa"/>
            <w:left w:w="108" w:type="dxa"/>
            <w:bottom w:w="0" w:type="dxa"/>
            <w:right w:w="108" w:type="dxa"/>
          </w:tblCellMar>
        </w:tblPrEx>
        <w:trPr>
          <w:trHeight w:val="480" w:hRule="atLeast"/>
          <w:jc w:val="center"/>
        </w:trPr>
        <w:tc>
          <w:tcPr>
            <w:tcW w:w="1208" w:type="dxa"/>
            <w:vMerge w:val="continue"/>
            <w:tcBorders>
              <w:left w:val="single" w:color="auto" w:sz="4" w:space="0"/>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p>
        </w:tc>
        <w:tc>
          <w:tcPr>
            <w:tcW w:w="1080" w:type="dxa"/>
            <w:vMerge w:val="continue"/>
            <w:tcBorders>
              <w:left w:val="nil"/>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p>
        </w:tc>
        <w:tc>
          <w:tcPr>
            <w:tcW w:w="1121" w:type="dxa"/>
            <w:tcBorders>
              <w:top w:val="single" w:color="auto" w:sz="4" w:space="0"/>
              <w:left w:val="single" w:color="auto" w:sz="4" w:space="0"/>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可持续影响指标</w:t>
            </w:r>
          </w:p>
        </w:tc>
        <w:tc>
          <w:tcPr>
            <w:tcW w:w="1183"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eastAsia="zh-CN"/>
              </w:rPr>
            </w:pPr>
            <w:r>
              <w:rPr>
                <w:rFonts w:ascii="Times New Roman" w:hAnsi="Times New Roman" w:eastAsia="仿宋_GB2312" w:cs="Times New Roman"/>
                <w:color w:val="000000"/>
                <w:kern w:val="0"/>
                <w:sz w:val="21"/>
                <w:szCs w:val="21"/>
              </w:rPr>
              <w:t>指标1：</w:t>
            </w:r>
            <w:r>
              <w:rPr>
                <w:rFonts w:hint="eastAsia" w:ascii="Times New Roman" w:hAnsi="Times New Roman" w:eastAsia="仿宋_GB2312" w:cs="Times New Roman"/>
                <w:color w:val="000000"/>
                <w:kern w:val="0"/>
                <w:sz w:val="21"/>
                <w:szCs w:val="21"/>
                <w:lang w:eastAsia="zh-CN"/>
              </w:rPr>
              <w:t>关注申报企业的环境影响</w:t>
            </w:r>
          </w:p>
        </w:tc>
        <w:tc>
          <w:tcPr>
            <w:tcW w:w="1277"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r>
              <w:rPr>
                <w:rFonts w:hint="eastAsia" w:ascii="Times New Roman" w:hAnsi="Times New Roman" w:eastAsia="仿宋_GB2312" w:cs="Times New Roman"/>
                <w:color w:val="000000"/>
                <w:kern w:val="0"/>
                <w:sz w:val="21"/>
                <w:szCs w:val="21"/>
                <w:lang w:eastAsia="zh-CN"/>
              </w:rPr>
              <w:t>无污染环境企业申报科技项目</w:t>
            </w:r>
          </w:p>
        </w:tc>
        <w:tc>
          <w:tcPr>
            <w:tcW w:w="132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r>
              <w:rPr>
                <w:rFonts w:hint="eastAsia" w:ascii="Times New Roman" w:hAnsi="Times New Roman" w:eastAsia="仿宋_GB2312" w:cs="Times New Roman"/>
                <w:color w:val="000000"/>
                <w:kern w:val="0"/>
                <w:sz w:val="21"/>
                <w:szCs w:val="21"/>
                <w:lang w:eastAsia="zh-CN"/>
              </w:rPr>
              <w:t>无污染环境企业申报科技项目</w:t>
            </w:r>
          </w:p>
        </w:tc>
        <w:tc>
          <w:tcPr>
            <w:tcW w:w="69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5</w:t>
            </w:r>
          </w:p>
        </w:tc>
        <w:tc>
          <w:tcPr>
            <w:tcW w:w="88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5</w:t>
            </w:r>
          </w:p>
        </w:tc>
        <w:tc>
          <w:tcPr>
            <w:tcW w:w="155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Times New Roman" w:hAnsi="Times New Roman" w:eastAsia="仿宋_GB2312" w:cs="Times New Roman"/>
                <w:color w:val="000000"/>
                <w:kern w:val="0"/>
                <w:sz w:val="21"/>
                <w:szCs w:val="21"/>
                <w:lang w:val="en-US" w:eastAsia="zh-CN"/>
              </w:rPr>
            </w:pPr>
            <w:r>
              <w:rPr>
                <w:rFonts w:hint="eastAsia" w:ascii="Times New Roman" w:hAnsi="Times New Roman" w:eastAsia="仿宋_GB2312" w:cs="Times New Roman"/>
                <w:color w:val="000000"/>
                <w:kern w:val="0"/>
                <w:sz w:val="21"/>
                <w:szCs w:val="21"/>
                <w:lang w:val="en-US" w:eastAsia="zh-CN"/>
              </w:rPr>
              <w:t>/</w:t>
            </w:r>
          </w:p>
        </w:tc>
      </w:tr>
      <w:tr>
        <w:tblPrEx>
          <w:tblCellMar>
            <w:top w:w="0" w:type="dxa"/>
            <w:left w:w="108" w:type="dxa"/>
            <w:bottom w:w="0" w:type="dxa"/>
            <w:right w:w="108" w:type="dxa"/>
          </w:tblCellMar>
        </w:tblPrEx>
        <w:trPr>
          <w:trHeight w:val="480" w:hRule="atLeast"/>
          <w:jc w:val="center"/>
        </w:trPr>
        <w:tc>
          <w:tcPr>
            <w:tcW w:w="1208" w:type="dxa"/>
            <w:vMerge w:val="continue"/>
            <w:tcBorders>
              <w:left w:val="single" w:color="auto" w:sz="4" w:space="0"/>
              <w:right w:val="single" w:color="auto" w:sz="4" w:space="0"/>
            </w:tcBorders>
            <w:noWrap w:val="0"/>
            <w:vAlign w:val="center"/>
          </w:tcPr>
          <w:p>
            <w:pPr>
              <w:spacing w:line="240" w:lineRule="exact"/>
              <w:jc w:val="left"/>
              <w:rPr>
                <w:rFonts w:ascii="Times New Roman" w:hAnsi="Times New Roman" w:eastAsia="仿宋_GB2312" w:cs="Times New Roman"/>
                <w:color w:val="000000"/>
                <w:kern w:val="0"/>
                <w:sz w:val="21"/>
                <w:szCs w:val="21"/>
              </w:rPr>
            </w:pPr>
          </w:p>
        </w:tc>
        <w:tc>
          <w:tcPr>
            <w:tcW w:w="1080" w:type="dxa"/>
            <w:vMerge w:val="continue"/>
            <w:tcBorders>
              <w:left w:val="nil"/>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p>
        </w:tc>
        <w:tc>
          <w:tcPr>
            <w:tcW w:w="1121" w:type="dxa"/>
            <w:tcBorders>
              <w:top w:val="nil"/>
              <w:left w:val="nil"/>
              <w:right w:val="single" w:color="auto"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服务对象满意度指标</w:t>
            </w:r>
          </w:p>
        </w:tc>
        <w:tc>
          <w:tcPr>
            <w:tcW w:w="1183" w:type="dxa"/>
            <w:gridSpan w:val="2"/>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指标1：</w:t>
            </w:r>
            <w:r>
              <w:rPr>
                <w:rFonts w:hint="eastAsia" w:ascii="Times New Roman" w:hAnsi="Times New Roman" w:eastAsia="仿宋_GB2312" w:cs="Times New Roman"/>
                <w:color w:val="000000"/>
                <w:kern w:val="0"/>
                <w:sz w:val="21"/>
                <w:szCs w:val="21"/>
                <w:lang w:eastAsia="zh-CN"/>
              </w:rPr>
              <w:t>企业满意度</w:t>
            </w:r>
          </w:p>
        </w:tc>
        <w:tc>
          <w:tcPr>
            <w:tcW w:w="1277"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eastAsia="zh-CN"/>
              </w:rPr>
              <w:t>达</w:t>
            </w:r>
            <w:r>
              <w:rPr>
                <w:rFonts w:hint="eastAsia" w:ascii="Times New Roman" w:hAnsi="Times New Roman" w:eastAsia="仿宋_GB2312" w:cs="Times New Roman"/>
                <w:color w:val="000000"/>
                <w:kern w:val="0"/>
                <w:sz w:val="21"/>
                <w:szCs w:val="21"/>
                <w:lang w:val="en-US" w:eastAsia="zh-CN"/>
              </w:rPr>
              <w:t>95%</w:t>
            </w:r>
          </w:p>
        </w:tc>
        <w:tc>
          <w:tcPr>
            <w:tcW w:w="132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94%</w:t>
            </w:r>
          </w:p>
        </w:tc>
        <w:tc>
          <w:tcPr>
            <w:tcW w:w="69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5</w:t>
            </w:r>
          </w:p>
        </w:tc>
        <w:tc>
          <w:tcPr>
            <w:tcW w:w="88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3</w:t>
            </w:r>
          </w:p>
        </w:tc>
        <w:tc>
          <w:tcPr>
            <w:tcW w:w="15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Times New Roman" w:hAnsi="Times New Roman" w:eastAsia="仿宋_GB2312" w:cs="Times New Roman"/>
                <w:color w:val="000000"/>
                <w:kern w:val="0"/>
                <w:sz w:val="21"/>
                <w:szCs w:val="21"/>
                <w:lang w:eastAsia="zh-CN"/>
              </w:rPr>
            </w:pPr>
            <w:r>
              <w:rPr>
                <w:rFonts w:hint="eastAsia" w:ascii="Times New Roman" w:hAnsi="Times New Roman" w:eastAsia="仿宋_GB2312" w:cs="Times New Roman"/>
                <w:color w:val="000000"/>
                <w:kern w:val="0"/>
                <w:sz w:val="21"/>
                <w:szCs w:val="21"/>
                <w:lang w:eastAsia="zh-CN"/>
              </w:rPr>
              <w:t>原因：部分申报高企未成功企业满意度不高</w:t>
            </w:r>
          </w:p>
          <w:p>
            <w:pPr>
              <w:widowControl/>
              <w:spacing w:line="240" w:lineRule="exact"/>
              <w:jc w:val="left"/>
              <w:rPr>
                <w:rFonts w:ascii="Times New Roman" w:hAnsi="Times New Roman" w:eastAsia="仿宋_GB2312" w:cs="Times New Roman"/>
                <w:color w:val="000000"/>
                <w:kern w:val="0"/>
                <w:sz w:val="21"/>
                <w:szCs w:val="21"/>
              </w:rPr>
            </w:pPr>
            <w:r>
              <w:rPr>
                <w:rFonts w:hint="eastAsia" w:ascii="Times New Roman" w:hAnsi="Times New Roman" w:eastAsia="仿宋_GB2312" w:cs="Times New Roman"/>
                <w:color w:val="000000"/>
                <w:kern w:val="0"/>
                <w:sz w:val="21"/>
                <w:szCs w:val="21"/>
                <w:lang w:eastAsia="zh-CN"/>
              </w:rPr>
              <w:t>改进措施：加大申报指导力度，加强对中介服务质量监督</w:t>
            </w:r>
            <w:r>
              <w:rPr>
                <w:rFonts w:ascii="Times New Roman" w:hAnsi="Times New Roman" w:eastAsia="仿宋_GB2312" w:cs="Times New Roman"/>
                <w:color w:val="000000"/>
                <w:kern w:val="0"/>
                <w:sz w:val="21"/>
                <w:szCs w:val="21"/>
              </w:rPr>
              <w:t>　</w:t>
            </w:r>
          </w:p>
        </w:tc>
      </w:tr>
      <w:tr>
        <w:tblPrEx>
          <w:tblCellMar>
            <w:top w:w="0" w:type="dxa"/>
            <w:left w:w="108" w:type="dxa"/>
            <w:bottom w:w="0" w:type="dxa"/>
            <w:right w:w="108" w:type="dxa"/>
          </w:tblCellMar>
        </w:tblPrEx>
        <w:trPr>
          <w:trHeight w:val="270" w:hRule="atLeast"/>
          <w:jc w:val="center"/>
        </w:trPr>
        <w:tc>
          <w:tcPr>
            <w:tcW w:w="7189" w:type="dxa"/>
            <w:gridSpan w:val="7"/>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总分</w:t>
            </w:r>
          </w:p>
        </w:tc>
        <w:tc>
          <w:tcPr>
            <w:tcW w:w="691"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Times New Roman" w:hAnsi="Times New Roman" w:eastAsia="仿宋_GB2312" w:cs="Times New Roman"/>
                <w:color w:val="000000"/>
                <w:kern w:val="0"/>
                <w:sz w:val="21"/>
                <w:szCs w:val="21"/>
                <w:lang w:eastAsia="zh-CN"/>
              </w:rPr>
            </w:pPr>
            <w:r>
              <w:rPr>
                <w:rFonts w:ascii="Times New Roman" w:hAnsi="Times New Roman" w:eastAsia="仿宋_GB2312" w:cs="Times New Roman"/>
                <w:color w:val="000000"/>
                <w:kern w:val="0"/>
                <w:sz w:val="21"/>
                <w:szCs w:val="21"/>
              </w:rPr>
              <w:t>100</w:t>
            </w:r>
            <w:r>
              <w:rPr>
                <w:rFonts w:hint="eastAsia" w:ascii="Times New Roman" w:hAnsi="Times New Roman" w:cs="Times New Roman"/>
                <w:color w:val="000000"/>
                <w:kern w:val="0"/>
                <w:sz w:val="21"/>
                <w:szCs w:val="21"/>
                <w:lang w:eastAsia="zh-CN"/>
              </w:rPr>
              <w:t>分</w:t>
            </w:r>
          </w:p>
        </w:tc>
        <w:tc>
          <w:tcPr>
            <w:tcW w:w="88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仿宋_GB2312" w:cs="Times New Roman"/>
                <w:color w:val="000000"/>
                <w:kern w:val="0"/>
                <w:sz w:val="21"/>
                <w:szCs w:val="21"/>
                <w:lang w:val="en-US" w:eastAsia="zh-CN"/>
              </w:rPr>
            </w:pPr>
            <w:r>
              <w:rPr>
                <w:rFonts w:ascii="Times New Roman" w:hAnsi="Times New Roman" w:eastAsia="仿宋_GB2312" w:cs="Times New Roman"/>
                <w:color w:val="000000"/>
                <w:kern w:val="0"/>
                <w:sz w:val="21"/>
                <w:szCs w:val="21"/>
              </w:rPr>
              <w:t>　</w:t>
            </w:r>
            <w:r>
              <w:rPr>
                <w:rFonts w:hint="eastAsia" w:ascii="Times New Roman" w:hAnsi="Times New Roman" w:eastAsia="仿宋_GB2312" w:cs="Times New Roman"/>
                <w:color w:val="000000"/>
                <w:kern w:val="0"/>
                <w:sz w:val="21"/>
                <w:szCs w:val="21"/>
                <w:lang w:val="en-US" w:eastAsia="zh-CN"/>
              </w:rPr>
              <w:t>92</w:t>
            </w:r>
          </w:p>
        </w:tc>
        <w:tc>
          <w:tcPr>
            <w:tcW w:w="1555" w:type="dxa"/>
            <w:tcBorders>
              <w:top w:val="nil"/>
              <w:left w:val="nil"/>
              <w:bottom w:val="single" w:color="auto" w:sz="4" w:space="0"/>
              <w:right w:val="single" w:color="auto" w:sz="4" w:space="0"/>
            </w:tcBorders>
            <w:noWrap w:val="0"/>
            <w:vAlign w:val="center"/>
          </w:tcPr>
          <w:p>
            <w:pPr>
              <w:widowControl/>
              <w:spacing w:line="240" w:lineRule="exact"/>
              <w:jc w:val="left"/>
              <w:rPr>
                <w:rFonts w:ascii="Times New Roman" w:hAnsi="Times New Roman" w:eastAsia="仿宋_GB2312" w:cs="Times New Roman"/>
                <w:color w:val="000000"/>
                <w:kern w:val="0"/>
                <w:sz w:val="21"/>
                <w:szCs w:val="21"/>
              </w:rPr>
            </w:pPr>
            <w:r>
              <w:rPr>
                <w:rFonts w:ascii="Times New Roman" w:hAnsi="Times New Roman" w:eastAsia="仿宋_GB2312" w:cs="Times New Roman"/>
                <w:color w:val="000000"/>
                <w:kern w:val="0"/>
                <w:sz w:val="21"/>
                <w:szCs w:val="21"/>
              </w:rPr>
              <w:t>　</w:t>
            </w:r>
          </w:p>
        </w:tc>
      </w:tr>
    </w:tbl>
    <w:p>
      <w:pPr>
        <w:pStyle w:val="5"/>
        <w:keepNext w:val="0"/>
        <w:keepLines w:val="0"/>
        <w:pageBreakBefore w:val="0"/>
        <w:widowControl/>
        <w:kinsoku/>
        <w:wordWrap/>
        <w:overflowPunct/>
        <w:topLinePunct w:val="0"/>
        <w:autoSpaceDE/>
        <w:autoSpaceDN/>
        <w:bidi w:val="0"/>
        <w:spacing w:beforeAutospacing="0" w:afterAutospacing="0" w:line="600" w:lineRule="exact"/>
        <w:textAlignment w:val="auto"/>
        <w:rPr>
          <w:rFonts w:hint="eastAsia" w:ascii="仿宋_GB2312" w:hAnsi="宋体" w:eastAsia="仿宋_GB2312" w:cs="仿宋_GB2312"/>
          <w:color w:val="333333"/>
          <w:sz w:val="32"/>
          <w:szCs w:val="32"/>
          <w:shd w:val="clear" w:color="auto" w:fill="FFFFFF"/>
        </w:rPr>
      </w:pPr>
      <w:r>
        <w:rPr>
          <w:rFonts w:eastAsia="仿宋_GB2312"/>
          <w:kern w:val="0"/>
          <w:sz w:val="22"/>
          <w:szCs w:val="24"/>
        </w:rPr>
        <w:t>填表人：</w:t>
      </w:r>
      <w:r>
        <w:rPr>
          <w:rFonts w:hint="eastAsia" w:eastAsia="仿宋_GB2312"/>
          <w:kern w:val="0"/>
          <w:sz w:val="22"/>
          <w:szCs w:val="24"/>
          <w:lang w:eastAsia="zh-CN"/>
        </w:rPr>
        <w:t>杨丛笑</w:t>
      </w:r>
      <w:r>
        <w:rPr>
          <w:rFonts w:hint="eastAsia" w:eastAsia="仿宋_GB2312"/>
          <w:kern w:val="0"/>
          <w:sz w:val="22"/>
          <w:szCs w:val="24"/>
          <w:lang w:val="en-US" w:eastAsia="zh-CN"/>
        </w:rPr>
        <w:t xml:space="preserve"> </w:t>
      </w:r>
      <w:r>
        <w:rPr>
          <w:rFonts w:eastAsia="仿宋_GB2312"/>
          <w:kern w:val="0"/>
          <w:sz w:val="22"/>
          <w:szCs w:val="24"/>
        </w:rPr>
        <w:t xml:space="preserve">  填报日期：</w:t>
      </w:r>
      <w:r>
        <w:rPr>
          <w:rFonts w:hint="eastAsia" w:eastAsia="仿宋_GB2312"/>
          <w:kern w:val="0"/>
          <w:sz w:val="22"/>
          <w:szCs w:val="24"/>
          <w:lang w:val="en-US" w:eastAsia="zh-CN"/>
        </w:rPr>
        <w:t>2023年4月25日</w:t>
      </w:r>
      <w:r>
        <w:rPr>
          <w:rFonts w:eastAsia="仿宋_GB2312"/>
          <w:kern w:val="0"/>
          <w:sz w:val="22"/>
          <w:szCs w:val="24"/>
        </w:rPr>
        <w:t xml:space="preserve">   联系电话：</w:t>
      </w:r>
      <w:r>
        <w:rPr>
          <w:rFonts w:hint="eastAsia" w:eastAsia="仿宋_GB2312"/>
          <w:kern w:val="0"/>
          <w:sz w:val="22"/>
          <w:szCs w:val="24"/>
          <w:lang w:val="en-US" w:eastAsia="zh-CN"/>
        </w:rPr>
        <w:t>15173712217</w:t>
      </w:r>
      <w:r>
        <w:rPr>
          <w:rFonts w:eastAsia="仿宋_GB2312"/>
          <w:kern w:val="0"/>
          <w:sz w:val="22"/>
          <w:szCs w:val="24"/>
        </w:rPr>
        <w:t xml:space="preserve">  单位负责人签字：</w:t>
      </w:r>
    </w:p>
    <w:sectPr>
      <w:pgSz w:w="11906" w:h="16838"/>
      <w:pgMar w:top="1440" w:right="1230" w:bottom="1440" w:left="123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4ZDYwYzMxMTc3YWIyOTc3YjY1NDY5ODcxY2Q5MjgifQ=="/>
  </w:docVars>
  <w:rsids>
    <w:rsidRoot w:val="001C03F5"/>
    <w:rsid w:val="000170EB"/>
    <w:rsid w:val="00035240"/>
    <w:rsid w:val="000D0EC1"/>
    <w:rsid w:val="0017040A"/>
    <w:rsid w:val="001C03F5"/>
    <w:rsid w:val="00205271"/>
    <w:rsid w:val="00251982"/>
    <w:rsid w:val="00295B6B"/>
    <w:rsid w:val="002C6D19"/>
    <w:rsid w:val="002D35F3"/>
    <w:rsid w:val="002F6883"/>
    <w:rsid w:val="00330A51"/>
    <w:rsid w:val="0038662B"/>
    <w:rsid w:val="004342A0"/>
    <w:rsid w:val="00455159"/>
    <w:rsid w:val="004B682A"/>
    <w:rsid w:val="004C69E0"/>
    <w:rsid w:val="004E23E7"/>
    <w:rsid w:val="004F7F63"/>
    <w:rsid w:val="005440EB"/>
    <w:rsid w:val="005F62A8"/>
    <w:rsid w:val="006505CC"/>
    <w:rsid w:val="00653730"/>
    <w:rsid w:val="006C1E96"/>
    <w:rsid w:val="00741E80"/>
    <w:rsid w:val="008208CE"/>
    <w:rsid w:val="00826AB3"/>
    <w:rsid w:val="00853AD1"/>
    <w:rsid w:val="008C1B72"/>
    <w:rsid w:val="009A33F9"/>
    <w:rsid w:val="00A31433"/>
    <w:rsid w:val="00A53552"/>
    <w:rsid w:val="00B248F3"/>
    <w:rsid w:val="00C4462D"/>
    <w:rsid w:val="00C63A43"/>
    <w:rsid w:val="00CF73B0"/>
    <w:rsid w:val="00D10262"/>
    <w:rsid w:val="00D222BC"/>
    <w:rsid w:val="00D50C82"/>
    <w:rsid w:val="00D57B10"/>
    <w:rsid w:val="00DE1DCC"/>
    <w:rsid w:val="00DF02B2"/>
    <w:rsid w:val="00F933FC"/>
    <w:rsid w:val="07934CA9"/>
    <w:rsid w:val="08041986"/>
    <w:rsid w:val="0D3D50F0"/>
    <w:rsid w:val="163C4A78"/>
    <w:rsid w:val="1F831F45"/>
    <w:rsid w:val="24E5595D"/>
    <w:rsid w:val="2B11162F"/>
    <w:rsid w:val="34DD3BE0"/>
    <w:rsid w:val="359B60B5"/>
    <w:rsid w:val="3EC72BD4"/>
    <w:rsid w:val="3FE03F00"/>
    <w:rsid w:val="491E63A2"/>
    <w:rsid w:val="6B0E0457"/>
    <w:rsid w:val="782F31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pPr>
  </w:style>
  <w:style w:type="paragraph" w:styleId="3">
    <w:name w:val="footer"/>
    <w:basedOn w:val="1"/>
    <w:link w:val="9"/>
    <w:semiHidden/>
    <w:unhideWhenUsed/>
    <w:qFormat/>
    <w:uiPriority w:val="99"/>
    <w:pPr>
      <w:tabs>
        <w:tab w:val="center" w:pos="4153"/>
        <w:tab w:val="right" w:pos="8306"/>
      </w:tabs>
      <w:snapToGrid w:val="0"/>
      <w:jc w:val="left"/>
    </w:pPr>
    <w:rPr>
      <w:sz w:val="18"/>
      <w:szCs w:val="18"/>
    </w:rPr>
  </w:style>
  <w:style w:type="paragraph" w:styleId="4">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szCs w:val="24"/>
    </w:rPr>
  </w:style>
  <w:style w:type="character" w:customStyle="1" w:styleId="8">
    <w:name w:val="页眉 Char"/>
    <w:basedOn w:val="7"/>
    <w:link w:val="4"/>
    <w:semiHidden/>
    <w:qFormat/>
    <w:uiPriority w:val="99"/>
    <w:rPr>
      <w:sz w:val="18"/>
      <w:szCs w:val="18"/>
    </w:rPr>
  </w:style>
  <w:style w:type="character" w:customStyle="1" w:styleId="9">
    <w:name w:val="页脚 Char"/>
    <w:basedOn w:val="7"/>
    <w:link w:val="3"/>
    <w:semiHidden/>
    <w:qFormat/>
    <w:uiPriority w:val="99"/>
    <w:rPr>
      <w:sz w:val="18"/>
      <w:szCs w:val="18"/>
    </w:rPr>
  </w:style>
  <w:style w:type="paragraph" w:customStyle="1" w:styleId="10">
    <w:name w:val="179"/>
    <w:basedOn w:val="1"/>
    <w:qFormat/>
    <w:uiPriority w:val="0"/>
    <w:pPr>
      <w:ind w:firstLine="420" w:firstLineChars="200"/>
      <w:jc w:val="both"/>
      <w:textAlignment w:val="baseline"/>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51A9631-55A6-4369-84B7-8FA5C8B55C91}">
  <ds:schemaRefs/>
</ds:datastoreItem>
</file>

<file path=docProps/app.xml><?xml version="1.0" encoding="utf-8"?>
<Properties xmlns="http://schemas.openxmlformats.org/officeDocument/2006/extended-properties" xmlns:vt="http://schemas.openxmlformats.org/officeDocument/2006/docPropsVTypes">
  <Template>Normal</Template>
  <Pages>11</Pages>
  <Words>5075</Words>
  <Characters>5450</Characters>
  <Lines>29</Lines>
  <Paragraphs>8</Paragraphs>
  <TotalTime>20</TotalTime>
  <ScaleCrop>false</ScaleCrop>
  <LinksUpToDate>false</LinksUpToDate>
  <CharactersWithSpaces>5778</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2022-09-09T07:45:00Z</dcterms:created>
  <dc:creator>lenovo</dc:creator>
  <cp:lastModifiedBy>Administrator</cp:lastModifiedBy>
  <cp:lastPrinted>2023-04-25T01:23:36Z</cp:lastPrinted>
  <dcterms:modified xsi:type="dcterms:W3CDTF">2023-04-25T01:25:48Z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1A2E96730DE747E1BD7A3520F78DFDA0_13</vt:lpwstr>
  </property>
</Properties>
</file>