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2021年度益阳南洞庭湖自然保护区资阳区管理局部门决算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益阳南洞庭湖自然保护区资阳区管理局概况</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2021年度部门决算表</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b/>
          <w:bCs/>
          <w:color w:val="000000"/>
          <w:sz w:val="32"/>
          <w:szCs w:val="32"/>
        </w:rPr>
        <w:t>第三部分 2021年度部门决算情况说明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九、关于机关运行经费支出说明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十一、政府采购支出说明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十二、国有资产占用情况说明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十三、2021年度预算绩效情况的说明</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益阳南洞庭湖自然保护区资阳区管理局概况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（一）负责开展自然保护区法规政策宣传教育和自然保护区资源展示，向社会公示自然保护区地理地图和界限。</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（二）按照自然保护区规划明确的核心区、缓冲区、实验区，设置醒目的标志标牌和必要的防护设施。</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（三）负责组织专门机构、相关职能部门和乡镇开展自然保护区的巡查保护、监督检查和行政执法工作。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（四）负责自然保护区保护修复建设项目的策划、获准后的组织实施。</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（五）负责自然保护区的合理利用工作。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（六）制定和组织实施全区（不含黄家湖新区）湿地保护、湖洲林业发展规划；负责湿地保护的组织、协调和监督，湿地资源的普查、监测和保护。</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（七）负责监督考核本级相关部门和乡镇政府履职情况。</w:t>
      </w:r>
      <w:r>
        <w:rPr>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益阳南洞庭湖自然保护区资阳区管理局内设机构包括：根据上述职责，益阳南洞庭湖自然保护区资阳区管理局拟设3个内设机构：1、办公室(加挂宣教股牌子)；2、资源保护股(加挂综合执法大队牌子)；3、巡护监测股。</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w:t>
      </w:r>
      <w:r>
        <w:rPr>
          <w:rFonts w:ascii="宋体" w:hAnsi="宋体" w:eastAsia="宋体" w:cs="宋体"/>
          <w:color w:val="000000"/>
          <w:sz w:val="32"/>
          <w:szCs w:val="32"/>
        </w:rPr>
        <w:t>益阳南洞庭湖自然保护区资阳区管理局2021年部门决算汇总公开单位构成包括：益阳南洞庭湖自然保护区资阳区管理局本级。</w:t>
      </w:r>
      <w:r>
        <w:rPr>
          <w:color w:val="000000"/>
          <w:sz w:val="27"/>
          <w:szCs w:val="27"/>
        </w:rPr>
        <w:t xml:space="preserve"> </w:t>
      </w:r>
    </w:p>
    <w:p>
      <w:pPr>
        <w:rPr>
          <w:color w:val="000000"/>
          <w:sz w:val="32"/>
          <w:szCs w:val="32"/>
        </w:rPr>
        <w:sectPr>
          <w:pgSz w:w="11906" w:h="16838" w:orient="landscape"/>
          <w:pgMar w:top="1440" w:right="1080" w:bottom="1440" w:left="1080" w:header="851" w:footer="992" w:gutter="0"/>
          <w:paperSrc/>
          <w:cols w:space="0" w:num="1"/>
          <w:docGrid w:type="lines" w:linePitch="160" w:charSpace="0"/>
        </w:sectPr>
      </w:pPr>
    </w:p>
    <w:p>
      <w:pPr>
        <w:spacing w:before="0" w:beforeAutospacing="0" w:after="2" w:afterAutospacing="0"/>
        <w:ind w:left="0" w:firstLine="721"/>
        <w:jc w:val="center"/>
        <w:rPr>
          <w:sz w:val="21"/>
          <w:szCs w:val="21"/>
        </w:rPr>
      </w:pPr>
    </w:p>
    <w:p>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2021年度部门决算表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center"/>
            </w:pPr>
            <w:r>
              <w:rPr>
                <w:b w:val="0"/>
                <w:bCs w:val="0"/>
                <w:sz w:val="40"/>
                <w:szCs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shd w:val="clear"/>
            <w:vAlign w:val="center"/>
          </w:tcPr>
          <w:p>
            <w:pPr>
              <w:pStyle w:val="9"/>
              <w:keepNext w:val="0"/>
              <w:keepLines w:val="0"/>
              <w:widowControl/>
              <w:suppressLineNumbers w:val="0"/>
            </w:pPr>
          </w:p>
        </w:tc>
        <w:tc>
          <w:tcPr>
            <w:tcW w:w="202" w:type="pct"/>
            <w:shd w:val="clear"/>
            <w:vAlign w:val="center"/>
          </w:tcPr>
          <w:p>
            <w:pPr>
              <w:pStyle w:val="9"/>
              <w:keepNext w:val="0"/>
              <w:keepLines w:val="0"/>
              <w:widowControl/>
              <w:suppressLineNumbers w:val="0"/>
            </w:pPr>
          </w:p>
        </w:tc>
        <w:tc>
          <w:tcPr>
            <w:tcW w:w="799" w:type="pct"/>
            <w:shd w:val="clear"/>
            <w:vAlign w:val="center"/>
          </w:tcPr>
          <w:p>
            <w:pPr>
              <w:pStyle w:val="9"/>
              <w:keepNext w:val="0"/>
              <w:keepLines w:val="0"/>
              <w:widowControl/>
              <w:suppressLineNumbers w:val="0"/>
            </w:pPr>
          </w:p>
        </w:tc>
        <w:tc>
          <w:tcPr>
            <w:tcW w:w="1497" w:type="pct"/>
            <w:shd w:val="clear"/>
            <w:vAlign w:val="center"/>
          </w:tcPr>
          <w:p>
            <w:pPr>
              <w:pStyle w:val="9"/>
              <w:keepNext w:val="0"/>
              <w:keepLines w:val="0"/>
              <w:widowControl/>
              <w:suppressLineNumbers w:val="0"/>
            </w:pPr>
          </w:p>
        </w:tc>
        <w:tc>
          <w:tcPr>
            <w:tcW w:w="1002" w:type="pct"/>
            <w:gridSpan w:val="2"/>
            <w:shd w:val="clear"/>
            <w:vAlign w:val="center"/>
          </w:tcPr>
          <w:p>
            <w:pPr>
              <w:pStyle w:val="9"/>
              <w:keepNext w:val="0"/>
              <w:keepLines w:val="0"/>
              <w:widowControl/>
              <w:suppressLineNumbers w:val="0"/>
              <w:jc w:val="right"/>
            </w:pPr>
            <w:r>
              <w:rPr>
                <w:b w:val="0"/>
                <w:bCs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97" w:type="pct"/>
            <w:gridSpan w:val="4"/>
            <w:shd w:val="clear"/>
            <w:vAlign w:val="center"/>
          </w:tcPr>
          <w:p>
            <w:pPr>
              <w:pStyle w:val="9"/>
              <w:keepNext w:val="0"/>
              <w:keepLines w:val="0"/>
              <w:widowControl/>
              <w:suppressLineNumbers w:val="0"/>
              <w:jc w:val="left"/>
            </w:pPr>
            <w:r>
              <w:rPr>
                <w:b w:val="0"/>
                <w:bCs w:val="0"/>
                <w:sz w:val="22"/>
                <w:szCs w:val="22"/>
              </w:rPr>
              <w:t>部门：益阳南洞庭湖自然保护区资阳区管理局</w:t>
            </w:r>
          </w:p>
        </w:tc>
        <w:tc>
          <w:tcPr>
            <w:tcW w:w="1002" w:type="pct"/>
            <w:gridSpan w:val="2"/>
            <w:shd w:val="clear"/>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收入</w:t>
            </w:r>
          </w:p>
        </w:tc>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金额</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一、一般公共预算财政拨款收入</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102.97</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一、一般公共服务支出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32</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二、政府性基金预算财政拨款收入</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二、外交支出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33</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三、国有资本经营预算财政拨款收入</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三、国防支出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34</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四、上级补助收入</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四、公共安全支出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35</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五、事业收入</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五、教育支出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36</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六、经营收入</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六、科学技术支出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37</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七、附属单位上缴收入</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7</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七、文化旅游体育与传媒支出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38</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八、其他收入</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8</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八、社会保障和就业支出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39</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9</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九、卫生健康支出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40</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10</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十、节能环保支出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41</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11</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十一、城乡社区支出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42</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12</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十二、农林水支出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43</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13</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十三、交通运输支出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44</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14</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十四、资源勘探工业信息等支出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45</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15</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十五、商业服务业等支出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46</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16</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十六、金融支出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47</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17</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十七、援助其他地区支出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48</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18</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十八、自然资源海洋气象等支出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49</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19</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十九、住房保障支出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50</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20</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二十、粮油物资储备支出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51</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21</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二十一、国有资本经营预算支出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52</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22</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二十二、灾害防治及应急管理支出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53</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23</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二十三、其他支出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54</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0"/>
                <w:szCs w:val="20"/>
              </w:rPr>
              <w:t>24</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二十四、债务还本支出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55</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0"/>
                <w:szCs w:val="20"/>
              </w:rPr>
              <w:t>25</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二十五、债务付息支出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56</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0"/>
                <w:szCs w:val="20"/>
              </w:rPr>
              <w:t>26</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二十六、抗疫特别国债安排的支出</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57</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本年收入合计</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27</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133.97</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本年支出合计</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58</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135.62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使用非财政拨款结余</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28</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结余分配</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59</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年初结转和结余</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29</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1.65</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年末结转和结余</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60</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30</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61</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31</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135.62</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62</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135.62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left"/>
            </w:pPr>
            <w:r>
              <w:rPr>
                <w:b w:val="0"/>
                <w:bCs w:val="0"/>
                <w:sz w:val="22"/>
                <w:szCs w:val="22"/>
              </w:rPr>
              <w:t>注：本表反映部门本年度的总收支和年末结转结余情况。本表金额转换为万元时，因四舍五入可能存在尾数误差。</w:t>
            </w:r>
          </w:p>
        </w:tc>
      </w:tr>
    </w:tbl>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center"/>
            </w:pPr>
            <w:r>
              <w:rPr>
                <w:b w:val="0"/>
                <w:bCs w:val="0"/>
                <w:sz w:val="40"/>
                <w:szCs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3" w:type="pct"/>
            <w:shd w:val="clear"/>
            <w:vAlign w:val="center"/>
          </w:tcPr>
          <w:p>
            <w:pPr>
              <w:pStyle w:val="9"/>
              <w:keepNext w:val="0"/>
              <w:keepLines w:val="0"/>
              <w:widowControl/>
              <w:suppressLineNumbers w:val="0"/>
            </w:pPr>
          </w:p>
        </w:tc>
        <w:tc>
          <w:tcPr>
            <w:tcW w:w="113" w:type="pct"/>
            <w:shd w:val="clear"/>
            <w:vAlign w:val="center"/>
          </w:tcPr>
          <w:p>
            <w:pPr>
              <w:pStyle w:val="9"/>
              <w:keepNext w:val="0"/>
              <w:keepLines w:val="0"/>
              <w:widowControl/>
              <w:suppressLineNumbers w:val="0"/>
            </w:pPr>
          </w:p>
        </w:tc>
        <w:tc>
          <w:tcPr>
            <w:tcW w:w="113" w:type="pct"/>
            <w:shd w:val="clear"/>
            <w:vAlign w:val="center"/>
          </w:tcPr>
          <w:p>
            <w:pPr>
              <w:pStyle w:val="9"/>
              <w:keepNext w:val="0"/>
              <w:keepLines w:val="0"/>
              <w:widowControl/>
              <w:suppressLineNumbers w:val="0"/>
            </w:pPr>
          </w:p>
        </w:tc>
        <w:tc>
          <w:tcPr>
            <w:tcW w:w="995" w:type="pct"/>
            <w:shd w:val="clear"/>
            <w:vAlign w:val="center"/>
          </w:tcPr>
          <w:p>
            <w:pPr>
              <w:pStyle w:val="9"/>
              <w:keepNext w:val="0"/>
              <w:keepLines w:val="0"/>
              <w:widowControl/>
              <w:suppressLineNumbers w:val="0"/>
            </w:pPr>
          </w:p>
        </w:tc>
        <w:tc>
          <w:tcPr>
            <w:tcW w:w="678"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995" w:type="pct"/>
            <w:gridSpan w:val="2"/>
            <w:shd w:val="clear"/>
            <w:vAlign w:val="center"/>
          </w:tcPr>
          <w:p>
            <w:pPr>
              <w:pStyle w:val="9"/>
              <w:keepNext w:val="0"/>
              <w:keepLines w:val="0"/>
              <w:widowControl/>
              <w:suppressLineNumbers w:val="0"/>
              <w:jc w:val="right"/>
            </w:pPr>
            <w:r>
              <w:rPr>
                <w:b w:val="0"/>
                <w:bCs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04" w:type="pct"/>
            <w:gridSpan w:val="9"/>
            <w:shd w:val="clear"/>
            <w:vAlign w:val="center"/>
          </w:tcPr>
          <w:p>
            <w:pPr>
              <w:pStyle w:val="9"/>
              <w:keepNext w:val="0"/>
              <w:keepLines w:val="0"/>
              <w:widowControl/>
              <w:suppressLineNumbers w:val="0"/>
              <w:jc w:val="left"/>
            </w:pPr>
            <w:r>
              <w:rPr>
                <w:b w:val="0"/>
                <w:bCs w:val="0"/>
                <w:sz w:val="22"/>
                <w:szCs w:val="22"/>
              </w:rPr>
              <w:t>部门：益阳南洞庭湖自然保护区资阳区管理局</w:t>
            </w:r>
          </w:p>
        </w:tc>
        <w:tc>
          <w:tcPr>
            <w:tcW w:w="995" w:type="pct"/>
            <w:gridSpan w:val="2"/>
            <w:shd w:val="clear"/>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本年收入合计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财政拨款收入</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上级补助收入</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事业收入</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经营收入</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附属单位上缴收入</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栏次</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合计</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133.97</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102.97</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31.00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208</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社会保障和就业支出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20805</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行政事业单位养老支出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2080505</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机关事业单位基本养老保险缴费支出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卫生健康支出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21011</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行政事业单位医疗</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2101102</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事业单位医疗</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1.88</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1.88</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2101103</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公务员医疗补助</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1.14</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1.14</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节能环保支出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92.00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92.00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21101</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环境保护管理事务</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48.98</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48.98</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2110101</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行政运行</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45.98</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45.98</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2110199</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其他环境保护管理事务支出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21104</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自然生态保护</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43.02</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43.02</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2110499</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其他自然生态保护支出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43.02</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43.02</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221</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住房保障支出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22102</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住房改革支出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2210201</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住房公积金</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229</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22999</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2299999</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其他支出</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left"/>
            </w:pPr>
            <w:r>
              <w:rPr>
                <w:b w:val="0"/>
                <w:bCs w:val="0"/>
                <w:sz w:val="22"/>
                <w:szCs w:val="22"/>
              </w:rPr>
              <w:t>注：本表反映部门本年度取得的各项收入情况。本表金额转换为万元时，因四舍五入可能存在尾数误差。</w:t>
            </w:r>
          </w:p>
        </w:tc>
      </w:tr>
    </w:tbl>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b w:val="0"/>
                <w:bCs w:val="0"/>
                <w:sz w:val="40"/>
                <w:szCs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105" w:type="pct"/>
            <w:shd w:val="clear"/>
            <w:vAlign w:val="center"/>
          </w:tcPr>
          <w:p>
            <w:pPr>
              <w:pStyle w:val="9"/>
              <w:keepNext w:val="0"/>
              <w:keepLines w:val="0"/>
              <w:widowControl/>
              <w:suppressLineNumbers w:val="0"/>
            </w:pPr>
          </w:p>
        </w:tc>
        <w:tc>
          <w:tcPr>
            <w:tcW w:w="753"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1105" w:type="pct"/>
            <w:gridSpan w:val="2"/>
            <w:shd w:val="clear"/>
            <w:vAlign w:val="center"/>
          </w:tcPr>
          <w:p>
            <w:pPr>
              <w:pStyle w:val="9"/>
              <w:keepNext w:val="0"/>
              <w:keepLines w:val="0"/>
              <w:widowControl/>
              <w:suppressLineNumbers w:val="0"/>
              <w:jc w:val="right"/>
            </w:pPr>
            <w:r>
              <w:rPr>
                <w:b w:val="0"/>
                <w:bCs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94" w:type="pct"/>
            <w:gridSpan w:val="8"/>
            <w:shd w:val="clear"/>
            <w:vAlign w:val="center"/>
          </w:tcPr>
          <w:p>
            <w:pPr>
              <w:pStyle w:val="9"/>
              <w:keepNext w:val="0"/>
              <w:keepLines w:val="0"/>
              <w:widowControl/>
              <w:suppressLineNumbers w:val="0"/>
              <w:jc w:val="left"/>
            </w:pPr>
            <w:r>
              <w:rPr>
                <w:b w:val="0"/>
                <w:bCs w:val="0"/>
                <w:sz w:val="22"/>
                <w:szCs w:val="22"/>
              </w:rPr>
              <w:t>部门：益阳南洞庭湖自然保护区资阳区管理局</w:t>
            </w:r>
          </w:p>
        </w:tc>
        <w:tc>
          <w:tcPr>
            <w:tcW w:w="1105" w:type="pct"/>
            <w:gridSpan w:val="2"/>
            <w:shd w:val="clear"/>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本年支出合计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项目支出</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上缴上级支出</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经营支出</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栏次</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合计</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135.62</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90.95</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44.67</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208</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社会保障和就业支出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20805</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行政事业单位养老支出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2080505</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机关事业单位基本养老保险缴费支出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卫生健康支出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21011</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行政事业单位医疗</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2101102</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事业单位医疗</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1.88</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1.88</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2101103</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公务员医疗补助</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1.14</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1.14</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节能环保支出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93.65</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48.98</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21101</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环境保护管理事务</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48.98</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48.98</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2110101</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行政运行</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45.98</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45.98</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2110199</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其他环境保护管理事务支出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3.00</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3.00</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21104</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自然生态保护</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2110499</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其他自然生态保护支出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221</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住房保障支出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22102</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住房改革支出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2210201</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住房公积金</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229</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22999</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2299999</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其他支出</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31.00</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b w:val="0"/>
                <w:bCs w:val="0"/>
                <w:sz w:val="22"/>
                <w:szCs w:val="22"/>
              </w:rPr>
              <w:t>注：本表反映部门本年度各项支出情况。本表金额转换为万元时，因四舍五入可能存在尾数误差。</w:t>
            </w:r>
          </w:p>
        </w:tc>
      </w:tr>
    </w:tbl>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b w:val="0"/>
                <w:bCs w:val="0"/>
                <w:sz w:val="40"/>
                <w:szCs w:val="4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486" w:type="pct"/>
            <w:shd w:val="clear"/>
            <w:vAlign w:val="center"/>
          </w:tcPr>
          <w:p>
            <w:pPr>
              <w:pStyle w:val="9"/>
              <w:keepNext w:val="0"/>
              <w:keepLines w:val="0"/>
              <w:widowControl/>
              <w:suppressLineNumbers w:val="0"/>
            </w:pPr>
          </w:p>
        </w:tc>
        <w:tc>
          <w:tcPr>
            <w:tcW w:w="1151"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664" w:type="pct"/>
            <w:shd w:val="clear"/>
            <w:vAlign w:val="center"/>
          </w:tcPr>
          <w:p>
            <w:pPr>
              <w:pStyle w:val="9"/>
              <w:keepNext w:val="0"/>
              <w:keepLines w:val="0"/>
              <w:widowControl/>
              <w:suppressLineNumbers w:val="0"/>
            </w:pPr>
          </w:p>
        </w:tc>
        <w:tc>
          <w:tcPr>
            <w:tcW w:w="456" w:type="pct"/>
            <w:shd w:val="clear"/>
            <w:vAlign w:val="center"/>
          </w:tcPr>
          <w:p>
            <w:pPr>
              <w:pStyle w:val="9"/>
              <w:keepNext w:val="0"/>
              <w:keepLines w:val="0"/>
              <w:widowControl/>
              <w:suppressLineNumbers w:val="0"/>
            </w:pPr>
          </w:p>
        </w:tc>
        <w:tc>
          <w:tcPr>
            <w:tcW w:w="912" w:type="pct"/>
            <w:gridSpan w:val="2"/>
            <w:shd w:val="clear"/>
            <w:vAlign w:val="center"/>
          </w:tcPr>
          <w:p>
            <w:pPr>
              <w:pStyle w:val="9"/>
              <w:keepNext w:val="0"/>
              <w:keepLines w:val="0"/>
              <w:widowControl/>
              <w:suppressLineNumbers w:val="0"/>
              <w:jc w:val="right"/>
            </w:pPr>
            <w:r>
              <w:rPr>
                <w:b w:val="0"/>
                <w:bCs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087" w:type="pct"/>
            <w:gridSpan w:val="7"/>
            <w:shd w:val="clear"/>
            <w:vAlign w:val="center"/>
          </w:tcPr>
          <w:p>
            <w:pPr>
              <w:pStyle w:val="9"/>
              <w:keepNext w:val="0"/>
              <w:keepLines w:val="0"/>
              <w:widowControl/>
              <w:suppressLineNumbers w:val="0"/>
              <w:jc w:val="left"/>
            </w:pPr>
            <w:r>
              <w:rPr>
                <w:b w:val="0"/>
                <w:bCs w:val="0"/>
                <w:sz w:val="22"/>
                <w:szCs w:val="22"/>
              </w:rPr>
              <w:t>部门：益阳南洞庭湖自然保护区资阳区管理局</w:t>
            </w:r>
          </w:p>
        </w:tc>
        <w:tc>
          <w:tcPr>
            <w:tcW w:w="912" w:type="pct"/>
            <w:gridSpan w:val="2"/>
            <w:shd w:val="clear"/>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收 入</w:t>
            </w:r>
          </w:p>
        </w:tc>
        <w:tc>
          <w:tcPr>
            <w:tcW w:w="3349"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金额</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一般公共预算财政拨款</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政府性基金预算财政拨款</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一、一般公共预算财政拨款</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102.97</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一、一般公共服务支出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33</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二、政府性基金预算财政拨款</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二、外交支出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34</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三、国有资本经营财政拨款</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三、国防支出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35</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四、公共安全支出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36</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五、教育支出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37</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六、科学技术支出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38</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7</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七、文化旅游体育与传媒支出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39</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8</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八、社会保障和就业支出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40</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9</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九、卫生健康支出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41</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10</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十、节能环保支出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42</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93.65</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93.65</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11</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十一、城乡社区支出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43</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12</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十二、农林水支出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44</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13</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十三、交通运输支出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45</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14</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十四、资源勘探工业信息等支出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46</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15</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十五、商业服务业等支出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47</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16</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十六、金融支出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48</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17</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十七、援助其他地区支出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49</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18</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十八、自然资源海洋气象等支出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50</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19</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十九、住房保障支出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51</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20</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二十、粮油物资储备支出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52</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21</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二十一、国有资本经营预算支出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53</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22</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二十二、灾害防治及应急管理支出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54</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23</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二十三、其他支出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55</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24</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二十四、债务还本支出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56</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25</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二十五、债务付息支出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57</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26</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二十六、抗疫特别国债安排的支出</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58</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本年收入合计</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27</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102.97</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本年支出合计</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59</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104.62</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104.62</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年初财政拨款结转和结余</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28</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1.65</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年末财政拨款结转和结余</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60</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一般公共预算财政拨款</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29</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1.65</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61</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政府性基金预算财政拨款</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30</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62</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国有资本经营预算财政拨款</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31</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63</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32</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104.62</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64</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104.62</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104.62</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b w:val="0"/>
                <w:bCs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b w:val="0"/>
                <w:bCs w:val="0"/>
                <w:sz w:val="40"/>
                <w:szCs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683" w:type="pct"/>
            <w:shd w:val="clear"/>
            <w:vAlign w:val="center"/>
          </w:tcPr>
          <w:p>
            <w:pPr>
              <w:pStyle w:val="9"/>
              <w:keepNext w:val="0"/>
              <w:keepLines w:val="0"/>
              <w:widowControl/>
              <w:suppressLineNumbers w:val="0"/>
            </w:pPr>
          </w:p>
        </w:tc>
        <w:tc>
          <w:tcPr>
            <w:tcW w:w="964" w:type="pct"/>
            <w:shd w:val="clear"/>
            <w:vAlign w:val="center"/>
          </w:tcPr>
          <w:p>
            <w:pPr>
              <w:pStyle w:val="9"/>
              <w:keepNext w:val="0"/>
              <w:keepLines w:val="0"/>
              <w:widowControl/>
              <w:suppressLineNumbers w:val="0"/>
            </w:pPr>
          </w:p>
        </w:tc>
        <w:tc>
          <w:tcPr>
            <w:tcW w:w="1928" w:type="pct"/>
            <w:gridSpan w:val="2"/>
            <w:shd w:val="clear"/>
            <w:vAlign w:val="center"/>
          </w:tcPr>
          <w:p>
            <w:pPr>
              <w:pStyle w:val="9"/>
              <w:keepNext w:val="0"/>
              <w:keepLines w:val="0"/>
              <w:widowControl/>
              <w:suppressLineNumbers w:val="0"/>
              <w:jc w:val="right"/>
            </w:pPr>
            <w:r>
              <w:rPr>
                <w:b w:val="0"/>
                <w:bCs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071" w:type="pct"/>
            <w:gridSpan w:val="5"/>
            <w:shd w:val="clear"/>
            <w:vAlign w:val="center"/>
          </w:tcPr>
          <w:p>
            <w:pPr>
              <w:pStyle w:val="9"/>
              <w:keepNext w:val="0"/>
              <w:keepLines w:val="0"/>
              <w:widowControl/>
              <w:suppressLineNumbers w:val="0"/>
              <w:jc w:val="left"/>
            </w:pPr>
            <w:r>
              <w:rPr>
                <w:b w:val="0"/>
                <w:bCs w:val="0"/>
                <w:sz w:val="22"/>
                <w:szCs w:val="22"/>
              </w:rPr>
              <w:t>部门：益阳南洞庭湖自然保护区资阳区管理局</w:t>
            </w:r>
          </w:p>
        </w:tc>
        <w:tc>
          <w:tcPr>
            <w:tcW w:w="1928" w:type="pct"/>
            <w:gridSpan w:val="2"/>
            <w:shd w:val="clear"/>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w:t>
            </w:r>
          </w:p>
        </w:tc>
        <w:tc>
          <w:tcPr>
            <w:tcW w:w="289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栏次</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合计</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104.62</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59.95</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44.67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208</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社会保障和就业支出</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20805</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行政事业单位养老支出</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2080505</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机关事业单位基本养老保险缴费支出</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4.54</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卫生健康支出</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21011</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行政事业单位医疗</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3.02</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2101102</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事业单位医疗</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1.88</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1.88</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2101103</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公务员医疗补助</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1.14</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1.14</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节能环保支出</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93.65</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48.98</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21101</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环境保护管理事务</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48.98</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48.98</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2110101</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行政运行</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45.98</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45.98</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2110199</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其他环境保护管理事务支出</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3.00</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3.00</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21104</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自然生态保护</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2110499</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其他自然生态保护支出</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221</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住房保障支出</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22102</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住房改革支出</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2210201</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住房公积金</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3.41</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left"/>
            </w:pPr>
            <w:r>
              <w:rPr>
                <w:b w:val="0"/>
                <w:bCs w:val="0"/>
                <w:sz w:val="22"/>
                <w:szCs w:val="22"/>
              </w:rPr>
              <w:t>注：本表反映部门本年度一般公共预算财政拨款支出情况。本表金额转换为万元时，因四舍五入可能存在尾数误差。</w:t>
            </w:r>
          </w:p>
        </w:tc>
      </w:tr>
    </w:tbl>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b w:val="0"/>
                <w:bCs w:val="0"/>
                <w:sz w:val="40"/>
                <w:szCs w:val="40"/>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shd w:val="clear"/>
            <w:vAlign w:val="center"/>
          </w:tcPr>
          <w:p>
            <w:pPr>
              <w:pStyle w:val="9"/>
              <w:keepNext w:val="0"/>
              <w:keepLines w:val="0"/>
              <w:widowControl/>
              <w:suppressLineNumbers w:val="0"/>
            </w:pPr>
          </w:p>
        </w:tc>
        <w:tc>
          <w:tcPr>
            <w:tcW w:w="1053"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829"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1367" w:type="pct"/>
            <w:gridSpan w:val="2"/>
            <w:shd w:val="clear"/>
            <w:vAlign w:val="center"/>
          </w:tcPr>
          <w:p>
            <w:pPr>
              <w:pStyle w:val="9"/>
              <w:keepNext w:val="0"/>
              <w:keepLines w:val="0"/>
              <w:widowControl/>
              <w:suppressLineNumbers w:val="0"/>
              <w:jc w:val="right"/>
            </w:pPr>
            <w:r>
              <w:rPr>
                <w:b w:val="0"/>
                <w:bCs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32" w:type="pct"/>
            <w:gridSpan w:val="7"/>
            <w:shd w:val="clear"/>
            <w:vAlign w:val="center"/>
          </w:tcPr>
          <w:p>
            <w:pPr>
              <w:pStyle w:val="9"/>
              <w:keepNext w:val="0"/>
              <w:keepLines w:val="0"/>
              <w:widowControl/>
              <w:suppressLineNumbers w:val="0"/>
              <w:jc w:val="left"/>
            </w:pPr>
            <w:r>
              <w:rPr>
                <w:b w:val="0"/>
                <w:bCs w:val="0"/>
                <w:sz w:val="22"/>
                <w:szCs w:val="22"/>
              </w:rPr>
              <w:t>部门：益阳南洞庭湖自然保护区资阳区管理局</w:t>
            </w:r>
          </w:p>
        </w:tc>
        <w:tc>
          <w:tcPr>
            <w:tcW w:w="1367" w:type="pct"/>
            <w:gridSpan w:val="2"/>
            <w:shd w:val="clear"/>
            <w:vAlign w:val="center"/>
          </w:tcPr>
          <w:p>
            <w:pPr>
              <w:pStyle w:val="9"/>
              <w:keepNext w:val="0"/>
              <w:keepLines w:val="0"/>
              <w:widowControl/>
              <w:suppressLineNumbers w:val="0"/>
              <w:jc w:val="right"/>
            </w:pPr>
            <w:r>
              <w:rPr>
                <w:b w:val="0"/>
                <w:bCs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人员经费</w:t>
            </w:r>
          </w:p>
        </w:tc>
        <w:tc>
          <w:tcPr>
            <w:tcW w:w="3183"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301</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工资福利支出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51.49</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302</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商品和服务支出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3.00</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307</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债务利息及费用支出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30101</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基本工资</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19.35</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30201</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办公费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30701</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国内债务付息</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30102</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津贴补贴</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12.61</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30202</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印刷费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30702</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国外债务付息</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30103</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奖金</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4.95</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30203</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咨询费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310</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资本性支出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30106</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伙食补助费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30204</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手续费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31001</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房屋建筑物购建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30107</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绩效工资</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30205</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水费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31002</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办公设备购置</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30108</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机关事业单位基本养老保险缴费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4.95</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30206</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电费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31003</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专用设备购置</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30109</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职业年金缴费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30207</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邮电费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31005</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基础设施建设</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30110</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职工基本医疗保险缴费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2.45</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30208</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取暖费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31006</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大型修缮</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30111</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公务员医疗补助缴费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1.14</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30209</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物业管理费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31007</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信息网络及软件购置更新</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30112</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其他社会保障缴费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30211</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差旅费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31008</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物资储备</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30113</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住房公积金</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4.43</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30212</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因公出国（境）费用</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31009</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土地补偿</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30114</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医疗费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30213</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维修（护）费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31010</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安置补助</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30199</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其他工资福利支出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1.61</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30214</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租赁费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31011</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地上附着物和青苗补偿</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303</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对个人和家庭的补助</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5.46</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30215</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会议费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31012</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拆迁补偿</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30301</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离休费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30216</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培训费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31013</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公务用车购置</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30302</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退休费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30217</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公务接待费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31019</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其他交通工具购置</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30303</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退职（役）费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30218</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专用材料费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31021</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文物和陈列品购置</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30304</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抚恤金</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0.05</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30224</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被装购置费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31022</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无形资产购置</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30305</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生活补助</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4.31</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30225</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专用燃料费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1.80</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31099</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其他资本性支出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30306</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救济费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30226</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劳务费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399</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bCs/>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30307</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医疗费补助</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30227</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委托业务费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1.20</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39906</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赠与</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30308</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助学金</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30228</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工会经费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39907</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国家赔偿费用支出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30309</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奖励金</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30229</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福利费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39908</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对民间非营利组织和群众性自治组织补贴</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30310</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个人农业生产补贴</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30231</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公务用车运行维护费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39999</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30311</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代缴社会保险费</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30239</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其他交通费用</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30399</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其他对个人和家庭的补助</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1.10</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30240</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税金及附加费用</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30299</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其他商品和服务支出</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人员经费合计</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56.95</w:t>
            </w:r>
          </w:p>
        </w:tc>
        <w:tc>
          <w:tcPr>
            <w:tcW w:w="2645" w:type="pct"/>
            <w:gridSpan w:val="5"/>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bCs/>
                <w:sz w:val="22"/>
                <w:szCs w:val="22"/>
              </w:rPr>
              <w:t>公用经费合计</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b w:val="0"/>
                <w:bCs w:val="0"/>
                <w:sz w:val="22"/>
                <w:szCs w:val="22"/>
              </w:rPr>
              <w:t>注：本表反映部门本年度一般公共预算财政拨款基本支出明细情况。本表金额转换为万元时，因四舍五入可能存在尾数误差。</w:t>
            </w:r>
          </w:p>
        </w:tc>
      </w:tr>
    </w:tbl>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center"/>
            </w:pPr>
            <w:r>
              <w:rPr>
                <w:b w:val="0"/>
                <w:bCs w:val="0"/>
                <w:sz w:val="40"/>
                <w:szCs w:val="4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833" w:type="pct"/>
            <w:gridSpan w:val="2"/>
            <w:shd w:val="clear"/>
            <w:vAlign w:val="center"/>
          </w:tcPr>
          <w:p>
            <w:pPr>
              <w:pStyle w:val="9"/>
              <w:keepNext w:val="0"/>
              <w:keepLines w:val="0"/>
              <w:widowControl/>
              <w:suppressLineNumbers w:val="0"/>
              <w:jc w:val="right"/>
            </w:pPr>
            <w:r>
              <w:rPr>
                <w:b w:val="0"/>
                <w:bCs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6" w:type="pct"/>
            <w:gridSpan w:val="10"/>
            <w:shd w:val="clear"/>
            <w:vAlign w:val="center"/>
          </w:tcPr>
          <w:p>
            <w:pPr>
              <w:pStyle w:val="9"/>
              <w:keepNext w:val="0"/>
              <w:keepLines w:val="0"/>
              <w:widowControl/>
              <w:suppressLineNumbers w:val="0"/>
              <w:jc w:val="left"/>
            </w:pPr>
            <w:r>
              <w:rPr>
                <w:b w:val="0"/>
                <w:bCs w:val="0"/>
                <w:sz w:val="22"/>
                <w:szCs w:val="22"/>
              </w:rPr>
              <w:t>部门：益阳南洞庭湖自然保护区资阳区管理局</w:t>
            </w:r>
          </w:p>
        </w:tc>
        <w:tc>
          <w:tcPr>
            <w:tcW w:w="833" w:type="pct"/>
            <w:gridSpan w:val="2"/>
            <w:shd w:val="clear"/>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预算数</w:t>
            </w:r>
          </w:p>
        </w:tc>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公务接待费</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7</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8</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9</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11</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left"/>
            </w:pPr>
            <w:r>
              <w:rPr>
                <w:b w:val="0"/>
                <w:bCs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b w:val="0"/>
                <w:bCs w:val="0"/>
                <w:sz w:val="40"/>
                <w:szCs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04" w:type="pct"/>
            <w:shd w:val="clear"/>
            <w:vAlign w:val="center"/>
          </w:tcPr>
          <w:p>
            <w:pPr>
              <w:pStyle w:val="9"/>
              <w:keepNext w:val="0"/>
              <w:keepLines w:val="0"/>
              <w:widowControl/>
              <w:suppressLineNumbers w:val="0"/>
            </w:pPr>
          </w:p>
        </w:tc>
        <w:tc>
          <w:tcPr>
            <w:tcW w:w="104" w:type="pct"/>
            <w:shd w:val="clear"/>
            <w:vAlign w:val="center"/>
          </w:tcPr>
          <w:p>
            <w:pPr>
              <w:pStyle w:val="9"/>
              <w:keepNext w:val="0"/>
              <w:keepLines w:val="0"/>
              <w:widowControl/>
              <w:suppressLineNumbers w:val="0"/>
            </w:pPr>
          </w:p>
        </w:tc>
        <w:tc>
          <w:tcPr>
            <w:tcW w:w="104" w:type="pct"/>
            <w:shd w:val="clear"/>
            <w:vAlign w:val="center"/>
          </w:tcPr>
          <w:p>
            <w:pPr>
              <w:pStyle w:val="9"/>
              <w:keepNext w:val="0"/>
              <w:keepLines w:val="0"/>
              <w:widowControl/>
              <w:suppressLineNumbers w:val="0"/>
            </w:pPr>
          </w:p>
        </w:tc>
        <w:tc>
          <w:tcPr>
            <w:tcW w:w="1078" w:type="pct"/>
            <w:shd w:val="clear"/>
            <w:vAlign w:val="center"/>
          </w:tcPr>
          <w:p>
            <w:pPr>
              <w:pStyle w:val="9"/>
              <w:keepNext w:val="0"/>
              <w:keepLines w:val="0"/>
              <w:widowControl/>
              <w:suppressLineNumbers w:val="0"/>
            </w:pPr>
          </w:p>
        </w:tc>
        <w:tc>
          <w:tcPr>
            <w:tcW w:w="368" w:type="pct"/>
            <w:shd w:val="clear"/>
            <w:vAlign w:val="center"/>
          </w:tcPr>
          <w:p>
            <w:pPr>
              <w:pStyle w:val="9"/>
              <w:keepNext w:val="0"/>
              <w:keepLines w:val="0"/>
              <w:widowControl/>
              <w:suppressLineNumbers w:val="0"/>
            </w:pPr>
          </w:p>
        </w:tc>
        <w:tc>
          <w:tcPr>
            <w:tcW w:w="614" w:type="pct"/>
            <w:shd w:val="clear"/>
            <w:vAlign w:val="center"/>
          </w:tcPr>
          <w:p>
            <w:pPr>
              <w:pStyle w:val="9"/>
              <w:keepNext w:val="0"/>
              <w:keepLines w:val="0"/>
              <w:widowControl/>
              <w:suppressLineNumbers w:val="0"/>
            </w:pPr>
          </w:p>
        </w:tc>
        <w:tc>
          <w:tcPr>
            <w:tcW w:w="335" w:type="pct"/>
            <w:shd w:val="clear"/>
            <w:vAlign w:val="center"/>
          </w:tcPr>
          <w:p>
            <w:pPr>
              <w:pStyle w:val="9"/>
              <w:keepNext w:val="0"/>
              <w:keepLines w:val="0"/>
              <w:widowControl/>
              <w:suppressLineNumbers w:val="0"/>
            </w:pPr>
          </w:p>
        </w:tc>
        <w:tc>
          <w:tcPr>
            <w:tcW w:w="473" w:type="pct"/>
            <w:shd w:val="clear"/>
            <w:vAlign w:val="center"/>
          </w:tcPr>
          <w:p>
            <w:pPr>
              <w:pStyle w:val="9"/>
              <w:keepNext w:val="0"/>
              <w:keepLines w:val="0"/>
              <w:widowControl/>
              <w:suppressLineNumbers w:val="0"/>
            </w:pPr>
          </w:p>
        </w:tc>
        <w:tc>
          <w:tcPr>
            <w:tcW w:w="1816" w:type="pct"/>
            <w:gridSpan w:val="2"/>
            <w:shd w:val="clear"/>
            <w:vAlign w:val="center"/>
          </w:tcPr>
          <w:p>
            <w:pPr>
              <w:pStyle w:val="9"/>
              <w:keepNext w:val="0"/>
              <w:keepLines w:val="0"/>
              <w:widowControl/>
              <w:suppressLineNumbers w:val="0"/>
              <w:jc w:val="right"/>
            </w:pPr>
            <w:r>
              <w:rPr>
                <w:b w:val="0"/>
                <w:bCs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83" w:type="pct"/>
            <w:gridSpan w:val="8"/>
            <w:shd w:val="clear"/>
            <w:vAlign w:val="center"/>
          </w:tcPr>
          <w:p>
            <w:pPr>
              <w:pStyle w:val="9"/>
              <w:keepNext w:val="0"/>
              <w:keepLines w:val="0"/>
              <w:widowControl/>
              <w:suppressLineNumbers w:val="0"/>
              <w:jc w:val="left"/>
            </w:pPr>
            <w:r>
              <w:rPr>
                <w:b w:val="0"/>
                <w:bCs w:val="0"/>
                <w:sz w:val="22"/>
                <w:szCs w:val="22"/>
              </w:rPr>
              <w:t>部门：益阳南洞庭湖自然保护区资阳区管理局</w:t>
            </w:r>
          </w:p>
        </w:tc>
        <w:tc>
          <w:tcPr>
            <w:tcW w:w="1816" w:type="pct"/>
            <w:gridSpan w:val="2"/>
            <w:shd w:val="clear"/>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年初结转和结余</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本年收入</w:t>
            </w:r>
          </w:p>
        </w:tc>
        <w:tc>
          <w:tcPr>
            <w:tcW w:w="1281"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本年支出</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项目支出</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栏次</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4</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5</w:t>
            </w: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合计</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0.00</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0.00</w:t>
            </w: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0.00</w:t>
            </w: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本年度无内容</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b w:val="0"/>
                <w:bCs w:val="0"/>
                <w:sz w:val="22"/>
                <w:szCs w:val="22"/>
              </w:rPr>
              <w:t>注：本表反映部门本年度政府性基金预算财政拨款收入、支出及结转和结余情况。本表金额转换为万元时，因四舍五入可能存在尾数误差。</w:t>
            </w:r>
          </w:p>
        </w:tc>
      </w:tr>
    </w:tbl>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b w:val="0"/>
                <w:bCs w:val="0"/>
                <w:sz w:val="40"/>
                <w:szCs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5"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1972" w:type="pct"/>
            <w:shd w:val="clear"/>
            <w:vAlign w:val="center"/>
          </w:tcPr>
          <w:p>
            <w:pPr>
              <w:pStyle w:val="9"/>
              <w:keepNext w:val="0"/>
              <w:keepLines w:val="0"/>
              <w:widowControl/>
              <w:suppressLineNumbers w:val="0"/>
            </w:pPr>
          </w:p>
        </w:tc>
        <w:tc>
          <w:tcPr>
            <w:tcW w:w="843" w:type="pct"/>
            <w:shd w:val="clear"/>
            <w:vAlign w:val="center"/>
          </w:tcPr>
          <w:p>
            <w:pPr>
              <w:pStyle w:val="9"/>
              <w:keepNext w:val="0"/>
              <w:keepLines w:val="0"/>
              <w:widowControl/>
              <w:suppressLineNumbers w:val="0"/>
            </w:pPr>
          </w:p>
        </w:tc>
        <w:tc>
          <w:tcPr>
            <w:tcW w:w="1686" w:type="pct"/>
            <w:gridSpan w:val="2"/>
            <w:shd w:val="clear"/>
            <w:vAlign w:val="center"/>
          </w:tcPr>
          <w:p>
            <w:pPr>
              <w:pStyle w:val="9"/>
              <w:keepNext w:val="0"/>
              <w:keepLines w:val="0"/>
              <w:widowControl/>
              <w:suppressLineNumbers w:val="0"/>
              <w:jc w:val="right"/>
            </w:pPr>
            <w:r>
              <w:rPr>
                <w:b w:val="0"/>
                <w:bCs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13" w:type="pct"/>
            <w:gridSpan w:val="5"/>
            <w:shd w:val="clear"/>
            <w:vAlign w:val="center"/>
          </w:tcPr>
          <w:p>
            <w:pPr>
              <w:pStyle w:val="9"/>
              <w:keepNext w:val="0"/>
              <w:keepLines w:val="0"/>
              <w:widowControl/>
              <w:suppressLineNumbers w:val="0"/>
              <w:jc w:val="left"/>
            </w:pPr>
            <w:r>
              <w:rPr>
                <w:b w:val="0"/>
                <w:bCs w:val="0"/>
                <w:sz w:val="22"/>
                <w:szCs w:val="22"/>
              </w:rPr>
              <w:t>部门：益阳南洞庭湖自然保护区资阳区管理局</w:t>
            </w:r>
          </w:p>
        </w:tc>
        <w:tc>
          <w:tcPr>
            <w:tcW w:w="1686" w:type="pct"/>
            <w:gridSpan w:val="2"/>
            <w:shd w:val="clear"/>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w:t>
            </w:r>
          </w:p>
        </w:tc>
        <w:tc>
          <w:tcPr>
            <w:tcW w:w="25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栏次</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1</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2</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b w:val="0"/>
                <w:bCs w:val="0"/>
                <w:sz w:val="22"/>
                <w:szCs w:val="22"/>
              </w:rPr>
              <w:t>合计</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b w:val="0"/>
                <w:bCs w:val="0"/>
                <w:sz w:val="22"/>
                <w:szCs w:val="22"/>
              </w:rPr>
              <w:t>本年度无内容</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left"/>
            </w:pPr>
            <w:r>
              <w:rPr>
                <w:b w:val="0"/>
                <w:bCs w:val="0"/>
                <w:sz w:val="22"/>
                <w:szCs w:val="22"/>
              </w:rPr>
              <w:t>注：本表反映部门本年度国有资本经营预算财政拨款支出情况。本表金额转换为万元时，因四舍五入可能存在尾数误差。</w:t>
            </w:r>
          </w:p>
        </w:tc>
      </w:tr>
    </w:tbl>
    <w:p>
      <w:pPr>
        <w:rPr>
          <w:color w:val="000000"/>
          <w:sz w:val="32"/>
          <w:szCs w:val="32"/>
        </w:rPr>
        <w:sectPr>
          <w:pgSz w:w="16838" w:h="11906"/>
          <w:pgMar w:top="1080" w:right="400" w:bottom="1080" w:left="400" w:header="851" w:footer="992" w:gutter="0"/>
          <w:paperSrc/>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2021年度部门决算情况说明</w:t>
      </w:r>
      <w:r>
        <w:rPr>
          <w:color w:val="000000"/>
          <w:sz w:val="21"/>
          <w:szCs w:val="21"/>
        </w:rPr>
        <w:t xml:space="preserve"> </w:t>
      </w:r>
    </w:p>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2021年度收、支总计135.62万元。与上一年度相比，收、支总计各增加38.96万元，增长40.31%。主要是因为本年度增加湿地、国卫复审等工作经费。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2021年度收入合计133.97万元，其中：财政拨款收入102.97万元，占76.86%；上级补助收入0万元，占0%；事业收入31万元，占23.14%；经营收入0万元，占0%；附属单位上缴收入0万元，占0%；其他收入0万元，占0%。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2021年度支出合计135.62万元，其中：基本支出90.95万元，占67.06%；项目支出44.67万元，占32.94%；上缴上级支出0万元，占0%；经营支出0万元，占0%；对附属单位补助支出0万元，占0%。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2021年度财政拨款收、支总计104.62万元。与上一年度相比，财政拨款收、支总计各增加11.01万元，增长11.76%。主要是因为本年度增加湿地、国卫复审等工作经费。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855"/>
        <w:rPr>
          <w:sz w:val="27"/>
          <w:szCs w:val="27"/>
        </w:rPr>
      </w:pPr>
      <w:r>
        <w:rPr>
          <w:rFonts w:ascii="宋体" w:hAnsi="宋体" w:eastAsia="宋体" w:cs="宋体"/>
          <w:color w:val="000000"/>
          <w:sz w:val="32"/>
          <w:szCs w:val="32"/>
        </w:rPr>
        <w:t>2021年度财政拨款支出104.62万元，占本年支出合计的77.14%。与上一年度相比，财政拨款支出增加12.66万元，增长13.77%。主要是因为本年度增加湿地、国卫复审等工作经费。</w:t>
      </w:r>
      <w:r>
        <w:rPr>
          <w:rFonts w:hint="eastAsia" w:ascii="宋体" w:hAnsi="宋体" w:eastAsia="宋体" w:cs="宋体"/>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2021年度财政拨款支出104.62万元，主要用于以下方面：社会保障和就业支出4.54万元，占4.34%；卫生健康支出3.02万元，占2.89%；节能环保支出93.65万元，占89.51%；住房保障支出3.41万元，占3.26%。</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2021年度财政拨款支出年初预算数为85.27万元，支出决算数为104.62万元，完成年初预算的122.69%，其中：</w:t>
      </w:r>
      <w:r>
        <w:rPr>
          <w:color w:val="000000"/>
          <w:sz w:val="27"/>
          <w:szCs w:val="27"/>
        </w:rPr>
        <w:t xml:space="preserve"> </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年初预算为4.54万元，支出决算为4.54万元，完成年初预算的100%。决算数与年初预算数一致，我单位严格按预算执行决算。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2、卫生健康支出（类）行政事业单位医疗（款）事业单位医疗（项）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年初预算为1.88万元，支出决算为1.88万元，完成年初预算的100%。决算数与年初预算数一致，我单位严格按预算执行决算。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3、卫生健康支出（类）行政事业单位医疗（款）公务员医疗补助（项）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年初预算为1.14万元，支出决算为1.14万元，完成年初预算的100%。决算数与年初预算数一致，我单位严格按预算执行决算。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4、节能环保支出（类）环境保护管理事务（款）行政运行（项）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年初预算为35.28万元，支出决算为45.98万元，完成年初预算的130.33%。决算数大于年初预算数的主要原因是：发放2020年度绩效考核奖励。</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5、节能环保支出（类）环境保护管理事务（款）其他环境保护管理事务支出（项）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年初预算为0万元，支出决算为3万元，决算数大于年初预算数的主要原因是：本年度增国卫复审工作经费。</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6、节能环保支出（类）自然生态保护（款）其他自然生态保护支出（项）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年初预算为39.02万元，支出决算为44.67万元，完成年初预算的114.48%。决算数大于年初预算数的主要原因是：本年度增加洞庭湖自然环境保护专项经费。</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7、住房保障支出（类）住房改革支出（款）住房公积金（项）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年初预算为3.41万元，支出决算为3.41万元，完成年初预算的100%。决算数与年初预算数一致，我单位严格按预算执行决算。</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财政拨款基本支出59.95万元，其中：人员经费56.95万元，占基本支出的95%，主要包括：基本工资、津贴补贴、奖金、机关事业单位基本养老保险缴费、职工基本医疗保险缴费、公务员医疗补助缴费、住房公积金、其他工资福利支出、抚恤金、生活补助、其他对个人和家庭的补助。公用经费3万元，占基本支出的5%，主要包括：专用燃料费、委托业务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2021年度“三公”经费财政拨款支出预算为0万元，支出决算为0万元，由于预算数为0万元，无法计算百分比，</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公务接待费支出预算为0万元，支出决算为0万元，决算数与预算数一致，我单位严格按预算执行决算，公务接待费支出与上年持平。</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公务用车运行维护费支出预算为0万元，支出决算为0万元，决算数与预算数一致，我单位严格按预算执行决算，公务用车运行维护费支出与上年持平。</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决算中，公务接待费支出决算0万元，由于支出为0万元，无法计算百分比，因公出国（境）费支出决算0万元，由于支出为0万元，无法计算百分比，公务用车购置费及运行维护费支出决算0万元，由于支出为0万元，无法计算百分比。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1、因公出国（境）费支出决算为0万元，全年安排因公出国（境）团组0个，累计0人次，我单位2021年度无因公出国（境）费支出。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2、公务接待费支出决算为0万元，全年共接待来访团组0个、来宾0人次，我单位2021年度无公务接待费支出。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0万元，其中：公务用车购置费0万元，更新公务用车0辆。公务用车运行维护费0万元，截至2021年12月31日，我单位开支财政拨款的公务用车保有量为0辆。我单位2021年度无公务用车购置费及运行维护费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益阳南洞庭湖自然保护区资阳区管理局2021年度没有政府性基金收入，也没有使用政府性基金安排的支出，并已公开空表。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益阳南洞庭湖自然保护区资阳区管理局为非参公事业单位和非行政单位，未纳入机关运行经费统计范围，故机关运行经费为0万元。</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益阳南洞庭湖自然保护区资阳区管理局开支会议费0万元，我单位2021年度无会议费支出；开支培训费0万元，我单位2021年度无培训费支出；举办0场节庆、晚会、论坛、赛事活动，开支0万元，本单位无此项活动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益阳南洞庭湖自然保护区资阳区管理局2021年度政府采购支出总额73.71万元，其中：政府采购货物支出0万元、政府采购工程支出0万元、政府采购服务支出73.71万元。授予中小企业合同金额0万元，占政府采购支出总额的0%，其中：授予小微企业合同金额0万元，占政府采购支出总额的0%。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2021年12月31日，益阳南洞庭湖自然保护区资阳区管理局共有车辆0辆（台），其中：机要通信用车0辆、应急保障用车0辆、执法执勤用车0辆、特种专业技术用车0辆、其他用车0辆；单价50万元（含）以上通用设备0台（套），单价100万元（含）以上专用设备0台（套）。</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十三、关于2021年度预算绩效情况说明</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（1）绩效管理评价工作开展情况。</w:t>
      </w:r>
    </w:p>
    <w:p>
      <w:pPr>
        <w:pStyle w:val="14"/>
        <w:spacing w:before="0" w:beforeAutospacing="0" w:after="2" w:afterAutospacing="0"/>
        <w:ind w:left="0" w:firstLine="640"/>
        <w:rPr>
          <w:sz w:val="27"/>
          <w:szCs w:val="27"/>
        </w:rPr>
      </w:pPr>
      <w:r>
        <w:rPr>
          <w:rFonts w:ascii="宋体" w:hAnsi="宋体" w:eastAsia="宋体" w:cs="宋体"/>
          <w:color w:val="000000"/>
          <w:sz w:val="32"/>
          <w:szCs w:val="32"/>
        </w:rPr>
        <w:t>根据预算绩效管理要求，我部门组织对2021年度一般公共预算项目支出全面开展绩效自评，其中，一级项目1个，二级项目0个，共涉及资金39.02万元，占一般公共预算项目支出总额的100%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组织对 其他自然生态保护支出1个项目开展了部门评价，涉及一般公共预算支出39.02万元，政府性基金预算支出0万元，国有资本经营预算支出0万元。从评价情况来看，2021年，本单位按照有关政策文件和要求开展预算绩效管理工作，一是加强绩效目标管理。在编制2021年部门预算时，本部门将所有预算资金纳入绩效目标管理，实现了绩效目标与部门预算同步编制、同步申报。经人大批准后，在规定时间内，将绩效目标批复给本部门作为预算执行和监督的依据；二是开展绩效运行跟踪监控。按照资阳区绩效考核文件要求，本单位对重点专项开展跟踪监控，对存在的问题及时予以纠正；三是做好绩效自评和结果公开。按照相关文件要求，本单位对部门整体支出绩效开展了自评，并向财政部门上交了绩效评价报告。绩效评价结果显示，本单位2021年度绩效目标完成较好，在预算配置、预算执行、预算管理等方面较好地支持了工作发展。从整体情况来看，严格按照年初预算进行部门整体支出。在支出过程中，能严格遵守各项规章制度。所有项目都详细制定了方案，严格按方案组织实施，并加强了监督。尤其是在专项经费支出上，专款专用，按项目实施计划的进度情况进行资金拨付，无截留、无挪用等现象。2021年我局在省、市各部门和区委、区政府的正确领导下，在全体干部职工的共同努力下，按照省、市区的工作部署，认真组织实施，全面发动，分级负责，全面完成了各项工作目标任务。通过加强预算收支管理，不断建立健全内部管理制度，梳理内部管理流程，部门整体支出管理水平得到提升</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组织对1个单位开展整体支出绩效评价，涉及一般公共预算支出104.62万元，政府性基金预算支出0万元。从评价情况来看，从整体情况来看，严格按照年初预算进行部门整体支出。在支出过程中，能严格遵守各项规章制度。所有项目都详细制定了方案，严格按方案组织实施，并加强了监督。尤其是在专项经费支出上，专款专用，按项目实施计划的进度情况进行资金拨付，无截留、无挪用等现象。</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（2）部门决算中项目绩效自评结果。</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本单位无绩效自评结果项目绩效自评综述：本单位无绩效自评结果</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（3）部门评价项目绩效评价结果。</w:t>
      </w:r>
    </w:p>
    <w:p>
      <w:pPr>
        <w:pStyle w:val="14"/>
        <w:spacing w:before="0" w:beforeAutospacing="0" w:after="2" w:afterAutospacing="0"/>
        <w:ind w:left="0" w:firstLine="640"/>
        <w:rPr>
          <w:sz w:val="27"/>
          <w:szCs w:val="27"/>
        </w:rPr>
      </w:pPr>
      <w:r>
        <w:rPr>
          <w:rFonts w:ascii="宋体" w:hAnsi="宋体" w:eastAsia="宋体" w:cs="宋体"/>
          <w:color w:val="000000"/>
          <w:sz w:val="32"/>
          <w:szCs w:val="32"/>
        </w:rPr>
        <w:t>部门评价项目数量3个以内的，至少将1个部门评价报告向社会公开；部门评价项目数量大于3个的，至少将2个部门评价报告向社会公开。报告框架可参考《项目支出绩效评价办法》（财预〔2020〕10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号）中《项目支出绩效评价报告（参考提纲）》、《湖南省预算支出绩效评价管理办法》（湘财绩〔2020〕7号）。</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2" w:afterAutospacing="0"/>
        <w:jc w:val="center"/>
        <w:rPr>
          <w:sz w:val="21"/>
          <w:szCs w:val="21"/>
        </w:rPr>
      </w:pP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"http://yjs.jbreport.com/home/downloadAttachment?attachGUID=88784a05b5504c418696e1e5f5de9dae"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益阳南洞庭湖自然保护区资阳区管理局2021年预算绩效自评报告.docx</w:t>
      </w:r>
      <w:r>
        <w:rPr>
          <w:rFonts w:ascii="宋体" w:hAnsi="宋体" w:eastAsia="宋体" w:cs="宋体"/>
          <w:sz w:val="28"/>
          <w:szCs w:val="28"/>
          <w:shd w:val="clear" w:fill="FFFFFF"/>
        </w:rPr>
        <w:fldChar w:fldCharType="end"/>
      </w: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paperSrc/>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fixed"/>
    <w:sig w:usb0="00000283" w:usb1="288F0000" w:usb2="00000006" w:usb3="00000000" w:csb0="00040001" w:csb1="00000000"/>
  </w:font>
  <w:font w:name="微软雅黑">
    <w:panose1 w:val="020B0503020204020204"/>
    <w:charset w:val="86"/>
    <w:family w:val="auto"/>
    <w:pitch w:val="variable"/>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楷体">
    <w:panose1 w:val="02010609060101010101"/>
    <w:charset w:val="86"/>
    <w:family w:val="auto"/>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auto"/>
    <w:pitch w:val="variable"/>
    <w:sig w:usb0="A00006FF" w:usb1="4000205B" w:usb2="0000001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Arial Black">
    <w:panose1 w:val="020B0A04020102020204"/>
    <w:charset w:val="00"/>
    <w:family w:val="auto"/>
    <w:pitch w:val="variable"/>
    <w:sig w:usb0="A00002AF" w:usb1="400078FB" w:usb2="00000000" w:usb3="00000000" w:csb0="6000009F" w:csb1="DFD70000"/>
  </w:font>
  <w:font w:name="新宋体">
    <w:panose1 w:val="02010609030101010101"/>
    <w:charset w:val="86"/>
    <w:family w:val="auto"/>
    <w:pitch w:val="fixed"/>
    <w:sig w:usb0="0000028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auto"/>
    <w:pitch w:val="variable"/>
    <w:sig w:usb0="E1002EFF" w:usb1="C000605B" w:usb2="00000029" w:usb3="00000000" w:csb0="200101FF" w:csb1="2028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A0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2023-09-26T00:54:44Z</dcterms:created>
  <dc:creator>lenovo</dc:creator>
  <cp:lastModifiedBy>   1⃣</cp:lastModifiedBy>
  <dcterms:modified xsi:type="dcterms:W3CDTF">2023-09-26T00:55:03Z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A63156AEB34B4DBF8078D3483AE2DE88_13</vt:lpwstr>
  </property>
</Properties>
</file>