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48"/>
          <w:szCs w:val="48"/>
          <w:bdr w:val="none" w:color="auto" w:sz="0" w:space="0"/>
          <w:shd w:val="clear" w:fill="FFFFFF"/>
          <w:lang w:val="en-US" w:eastAsia="zh-CN" w:bidi="ar"/>
        </w:rPr>
        <w:br w:type="textWrapping"/>
      </w:r>
      <w:r>
        <w:rPr>
          <w:rFonts w:hint="eastAsia" w:ascii="宋体" w:hAnsi="宋体" w:eastAsia="宋体" w:cs="宋体"/>
          <w:i w:val="0"/>
          <w:iCs w:val="0"/>
          <w:caps w:val="0"/>
          <w:color w:val="212529"/>
          <w:spacing w:val="0"/>
          <w:kern w:val="0"/>
          <w:sz w:val="48"/>
          <w:szCs w:val="48"/>
          <w:bdr w:val="none" w:color="auto" w:sz="0" w:space="0"/>
          <w:shd w:val="clear" w:fill="FFFFFF"/>
          <w:lang w:val="en-US" w:eastAsia="zh-CN" w:bidi="ar"/>
        </w:rPr>
        <w:t>益阳市资阳区自然资源局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kern w:val="0"/>
          <w:sz w:val="48"/>
          <w:szCs w:val="48"/>
          <w:bdr w:val="none" w:color="auto" w:sz="0" w:space="0"/>
          <w:shd w:val="clear" w:fill="FFFFFF"/>
          <w:lang w:val="en-US" w:eastAsia="zh-CN" w:bidi="ar"/>
        </w:rPr>
        <w:t>2022</w:t>
      </w:r>
      <w:r>
        <w:rPr>
          <w:rFonts w:ascii="宋体" w:hAnsi="宋体" w:eastAsia="宋体" w:cs="宋体"/>
          <w:i w:val="0"/>
          <w:iCs w:val="0"/>
          <w:caps w:val="0"/>
          <w:color w:val="212529"/>
          <w:spacing w:val="0"/>
          <w:kern w:val="0"/>
          <w:sz w:val="48"/>
          <w:szCs w:val="48"/>
          <w:bdr w:val="none" w:color="auto" w:sz="0" w:space="0"/>
          <w:shd w:val="clear" w:fill="FFFFFF"/>
          <w:lang w:val="en-US" w:eastAsia="zh-CN" w:bidi="ar"/>
        </w:rPr>
        <w:t>年部门预算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6"/>
          <w:szCs w:val="36"/>
          <w:bdr w:val="none" w:color="auto" w:sz="0" w:space="0"/>
          <w:shd w:val="clear" w:fill="FFFFFF"/>
          <w:lang w:val="en-US" w:eastAsia="zh-CN" w:bidi="ar"/>
        </w:rPr>
        <w:t>目</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 </w:t>
      </w:r>
      <w:r>
        <w:rPr>
          <w:rFonts w:ascii="宋体" w:hAnsi="宋体" w:eastAsia="宋体" w:cs="宋体"/>
          <w:i w:val="0"/>
          <w:iCs w:val="0"/>
          <w:caps w:val="0"/>
          <w:color w:val="212529"/>
          <w:spacing w:val="0"/>
          <w:kern w:val="0"/>
          <w:sz w:val="36"/>
          <w:szCs w:val="36"/>
          <w:bdr w:val="none" w:color="auto" w:sz="0" w:space="0"/>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第一部分</w:t>
      </w:r>
      <w:r>
        <w:rPr>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 </w:t>
      </w: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2022年部门预算说明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一、部门预算说明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（一）职能职责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三、部门预算收支概况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（一）收入预算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（二）支出预算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四、一般公共预算拨款支出预算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（一）基本支出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（二）项目支出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五、机关运行及三公经费情况说明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（一）机关运行经费情况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（二）“三公”经费情况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六、国有资产及政府采购情况说明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（一）国有资产占用情况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（二）政府采购安排情况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七、政府性基金预算支出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八、预算绩效情况及其他重要事项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九、名词解释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第二部分</w:t>
      </w:r>
      <w:r>
        <w:rPr>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 </w:t>
      </w: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2022年部门预算公开表格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3、支出预算总表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4、支出预算分类汇总表（按部门预算经济分类）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、支出预算分类汇总表（按政府预算经济分类）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6、财政拨款收支预算表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7、一般公共预算支出预算分类汇总表（按部门预算经济分类）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8、一般公共预算支出预算分类汇总表（按政府预算经济分类）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9、政府性基金拨款支出预算分类汇总表（按部门预算经济分类）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10、政府性基金拨款支出预算分类汇总表（按政府预算经济分类）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11、一般公共预算基本支出表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12、基本支出预算明细表-工资福利与对个人和家庭的补助（按部门预算经济分类）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13、基本支出预算明细表-工资福利与对个人和家庭的补助（按政府预算经济分类）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14、基本支出预算明细表-商品和服务支出（按部门预算经济分类）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15、基本支出预算明细表-商品和服务支出（按政府预算经济分类）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16、一般公共预算基本支出预算明细表-工资福利与对个人和家庭的补助（按部门预算经济分类）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17、一般公共预算基本支出预算明细表-工资福利与对个人和家庭的补助（按政府预算经济分类）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18、一般公共预算基本支出预算明细表-商品和服务支出（按部门预算经济分类）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19、一般公共预算基本支出预算明细表-商品和服务支出（按政府预算经济分类）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20、“三公”经费情况表-一般公共预算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Style w:val="5"/>
          <w:rFonts w:ascii="宋体" w:hAnsi="宋体" w:eastAsia="宋体" w:cs="宋体"/>
          <w:b/>
          <w:bCs/>
          <w:i w:val="0"/>
          <w:iCs w:val="0"/>
          <w:caps w:val="0"/>
          <w:color w:val="212529"/>
          <w:spacing w:val="0"/>
          <w:kern w:val="0"/>
          <w:sz w:val="28"/>
          <w:szCs w:val="28"/>
          <w:bdr w:val="none" w:color="auto" w:sz="0" w:space="0"/>
          <w:shd w:val="clear" w:fill="FFFFFF"/>
          <w:lang w:val="en-US" w:eastAsia="zh-CN" w:bidi="ar"/>
        </w:rPr>
        <w:t>注：以上部门预算报表中，空表表示本部门无相关收支情况。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6"/>
          <w:szCs w:val="36"/>
          <w:bdr w:val="none" w:color="auto" w:sz="0" w:space="0"/>
          <w:shd w:val="clear" w:fill="FFFFFF"/>
          <w:lang w:val="en-US" w:eastAsia="zh-CN" w:bidi="ar"/>
        </w:rPr>
        <w:t>第一部分</w:t>
      </w:r>
      <w:r>
        <w:rPr>
          <w:rFonts w:hint="eastAsia" w:ascii="宋体" w:hAnsi="宋体" w:eastAsia="宋体" w:cs="宋体"/>
          <w:i w:val="0"/>
          <w:iCs w:val="0"/>
          <w:caps w:val="0"/>
          <w:color w:val="212529"/>
          <w:spacing w:val="0"/>
          <w:kern w:val="0"/>
          <w:sz w:val="36"/>
          <w:szCs w:val="36"/>
          <w:bdr w:val="none" w:color="auto" w:sz="0" w:space="0"/>
          <w:shd w:val="clear" w:fill="FFFFFF"/>
          <w:lang w:val="en-US" w:eastAsia="zh-CN" w:bidi="ar"/>
        </w:rPr>
        <w:t> </w:t>
      </w:r>
      <w:r>
        <w:rPr>
          <w:rFonts w:ascii="宋体" w:hAnsi="宋体" w:eastAsia="宋体" w:cs="宋体"/>
          <w:i w:val="0"/>
          <w:iCs w:val="0"/>
          <w:caps w:val="0"/>
          <w:color w:val="212529"/>
          <w:spacing w:val="0"/>
          <w:kern w:val="0"/>
          <w:sz w:val="36"/>
          <w:szCs w:val="36"/>
          <w:bdr w:val="none" w:color="auto" w:sz="0" w:space="0"/>
          <w:shd w:val="clear" w:fill="FFFFFF"/>
          <w:lang w:val="en-US" w:eastAsia="zh-CN" w:bidi="ar"/>
        </w:rPr>
        <w:t>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一、部门基本概况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（一）职能职责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1、依法履行辖区内(除市直管中心城区范围以外)全民所有土地、矿产、森林、草原、湿地、水等自然资源资产所有者职责和国土空间用途管制职责。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2、负责实施自然资源基础调查、专项调查和动态监测。负责自然资源调查监测评价成果的监督管理和信息发布。负责全区自然资源调查监测评价工作。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3、负责自然资源统一确权登记工作。履行各类自然资源和不动产统一确权登记、权籍调查、不动产测绘、争议调处、成果应用的制度、标准、规范。建立健全自然资源和不动产登记信息管理基础平台。负责自然资源和不动产登记资料收集、整理、共享、汇交管理等。指导监督全区自然资源和不动产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4、负责自然资源资产有偿使用工作。负责全民所有自然资源资产统计和资产核算。编制全民所有自然资源资产负债表,拟订考核标准。负责全民所有自然资源资产划拨、出让、租赁、作价出资和土地储备工作,合理配置全民所有自然资源资产。负责自然资源资产价值评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5、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建立健全和组织实施国土空间用途管制制度。承担全区城乡规划管理工作,研究拟订城乡规划政策并监督实施。组织实施土地等自然资源年度利用计划。负责土地等国土空间用途转用工作。负责土地征收征用管理。负责山体水体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7、负责统筹国土空间生态修复。牵头组织编制全区国土空间生态修复规划并实施有关生态修复工程。负责国土空间综合整治、土地整理复垦、矿山地质环境恢复治理等工作。执行生态保护补偿制度,制定合理利用社会资金进行生态修复的制度措施,并提出区级所有各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8、负责组织实施最严格的耕地保护制度。执行耕地保护政策,负责耕地数量和生态保护,做好耕地质量保护有关工作。组织实施耕地保护责任目标考核和永久基本农田特殊保护。执行耕地占补平衡制度。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9、负责管理仝区地质工作和联系辖区内地勘单位。编制全区地质勘查规划并监督检查执行情况。监督管理区级地质勘查项目。监督管理地下水过量开采及引发的地面沉降等地质问题。负责古生物化石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10、负责地质灾害预防和治理。负责落实综合防灾减灾规划相关要求,组织编制地质灾害防治规划并组织实施。组织指导协调和监督地质灾害调查评价及隐患普查、详查、排查。指导开展群测群防、专业监测和预报预警等工作,指导开展地质灾害工程治理工作。承担地质灾害应急救援的技术支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11、负责矿产资源管理工作。负责矿产资源储量管理及矿业权管理。监督指导矿产资源合理利用和保护。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12、负责测绘地理信息管理工作。负责辖区内基础测绘。负责监督管理地理信息安全和市场秩序。负责地图管理、地理信·憝公共服务工作。负责测量标志保护。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13、根据区委授权,对乡(镇、街道)以及园区相关部门落实区委、区政府关于自然资源和国土空间规划重太政策、决策部署及法律法规执行情况进行督察。查处自然资源开发利用和国土空间规划及测绘违法案件。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14、统一领导和管理区林业局。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iCs w:val="0"/>
          <w:caps w:val="0"/>
          <w:color w:val="212529"/>
          <w:spacing w:val="0"/>
          <w:sz w:val="27"/>
          <w:szCs w:val="27"/>
        </w:rPr>
      </w:pPr>
      <w:r>
        <w:rPr>
          <w:rFonts w:ascii="宋体" w:hAnsi="宋体" w:eastAsia="宋体" w:cs="宋体"/>
          <w:i w:val="0"/>
          <w:iCs w:val="0"/>
          <w:caps w:val="0"/>
          <w:color w:val="212529"/>
          <w:spacing w:val="0"/>
          <w:sz w:val="32"/>
          <w:szCs w:val="32"/>
          <w:bdr w:val="none" w:color="auto" w:sz="0" w:space="0"/>
          <w:shd w:val="clear" w:fill="FFFFFF"/>
        </w:rPr>
        <w:t>15、完成区委、区政府交办的其他任务。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经编办核定，全局现有编制人数51人。实有在编在岗51人，其中：行政编制人员11人，全额事业编制人员36人，差额编制人员4人。 我局设7个内设机构及6个公益一类事业单位： （1）办公室（人事股，财务股） （2）法规信息综合股（档案信息股、测绘股、政务服务办公室） （3）国土空间保护修复股 （4）国土空间规划股（自然资源规划监管股） （5）国土空间用途管制股（自然资源开发利用股） （6）自然资源调查监测股 （7）矿产资源保护监督股（地质勘查矿业权管理股） （8）益阳市资阳区自然资源执法监察大队 （9）益阳市资阳区国土空间生态修复中心 （10）益阳市资阳区不动产登记中心 （11）益阳市资阳区征地和测绘队 （12）益阳市资阳区土地储备中心 （13）益阳市资阳区国土空间规划事务中心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益阳市资阳区自然资源局只有本级，没有其他二级预算单位，因此，纳入2022年部门预算编制范围的只有益阳市资阳区自然资源局本级。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三、部门预算收支概况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2022年部门预算包括收入和支出，收入包括一般公共预算和政府性基金预算支出，支出包括机关基本运行的经费和专项经费。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（一）收入预算：</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2022年本部门收入预算759.38万元，其中，一般公共预算拨款759.38万元。收入相较于去年增加0.65万元，主要是经费拨款增加。</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br w:type="textWrapping"/>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本单位没有政府性基金预算收入和国有资本经营预算收入，也就没有使用政府性基金预算和国有资本经营预算安排的支出。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（二）支出预算：</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2022年本部门支出预算</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759.38</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万元，其中</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，社会保障和就业支出51.79万元，卫生健康支出33.66万元，自然资源海洋气象等支出635.88万元，住房保障支出38.05万元。</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支出相较于去年增加0.65万元，主要是社会保障和就业支出及住房保障支出的增加。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四、一般公共预算拨款支出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2022年本部门一般公共预算拨款支出预算</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759.38</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万元，具体安排情况如下：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（一）</w:t>
      </w: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基本支出：</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2022年年初预算数</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497.88</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万元，是指为保障单位机构正常运转、完成日常工作任务而发生的各项支出，包括用于基本工资、津贴补贴等人员经费以及办公费、印刷费、水电费、办公设备购置等日常公用经费。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（二）项目支出：</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2022年年初预算数</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261.5</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万元，是指单位为完成特定行政工作任务或事业发展目标而发生的支出，包括有关事业发展专项、专项业务费、基本建设支出等。</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其中</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，按项目管理的商品和服务支出261.5万元，主要用于地质灾害防治工作，多规合一村庄规划试点专项，不动产登记存量数据整合和统计分析专项等方面。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五、</w:t>
      </w:r>
      <w:r>
        <w:rPr>
          <w:rStyle w:val="5"/>
          <w:rFonts w:ascii="宋体" w:hAnsi="宋体" w:eastAsia="宋体" w:cs="宋体"/>
          <w:b/>
          <w:bCs/>
          <w:i w:val="0"/>
          <w:iCs w:val="0"/>
          <w:caps w:val="0"/>
          <w:color w:val="212529"/>
          <w:spacing w:val="0"/>
          <w:kern w:val="0"/>
          <w:sz w:val="32"/>
          <w:szCs w:val="32"/>
          <w:bdr w:val="none" w:color="auto" w:sz="0" w:space="0"/>
          <w:shd w:val="clear" w:fill="FFFFFF"/>
          <w:lang w:val="en-US" w:eastAsia="zh-CN" w:bidi="ar"/>
        </w:rPr>
        <w:t>机关运行及三公经费情况说明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（一）机关运行经费情况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2022年本部门机关运行经费47.76万元，比上年预算减少2.99万元，下降5.89%，主要是厉行节约，从严控制机关运行经费的支出。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（二）“三公”经费情况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2022年本部门“三公”经费预算数为</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2</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万元，其中：经费拨款</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2</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万元，分别为公务接待费</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2</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万元，公务用车购置</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万元，公务用车运行维护费</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万元，因公出国（境）费</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万元；纳入公共预算管理的非税收入拨款</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万元，分别为公务接待费</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万元，公务用车购置</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万元，公务用车运行维护费</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万元，因公出国（境）费</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万元。2022年“三公”经费预算较上年持平。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六、国有资产及政府采购情况说明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（一）国有资产占用情况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截至2021年10月31日，本部门共有车辆0辆，其中，领导干部用车0辆，一般公务用车</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0</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辆，一般执法执勤用车0辆，特种专业技术用车0辆，其他用车0辆。单位价值50万元以上通用设备0台，单位价值100万元以上专用设备0台。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2022年部门预算安排车辆0台，单位价值200万元以上专用设备0台。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（二）政府采购安排情况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2022年本部门政府采购预算数额271.5万元，其中：政府采购货物预算0万元、政府采购工程预算0万元、政府采购服务预算271.5万元。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七、政府性基金预算支出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2022本部门无政府性基金安排的支出。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八、</w:t>
      </w: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预算绩效情况及其他重要事项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（一）重点项目预算的绩效目标等预算绩效情况说明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本部门整体支出和项目支出实行绩效目标管理，纳入2022年部门整体支出绩效目标的金额为</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759.38</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万元，其中：基本支出</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497.88</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万元，项目支出</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261.5</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万元，主要绩效目标是：国土空间规划编制，农村房地一体确权登记颁证。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（二）其他重要事项说明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Fonts w:ascii="宋体" w:hAnsi="宋体" w:eastAsia="宋体" w:cs="宋体"/>
          <w:b/>
          <w:bCs/>
          <w:i w:val="0"/>
          <w:iCs w:val="0"/>
          <w:caps w:val="0"/>
          <w:color w:val="212529"/>
          <w:spacing w:val="0"/>
          <w:kern w:val="0"/>
          <w:sz w:val="32"/>
          <w:szCs w:val="32"/>
          <w:bdr w:val="none" w:color="auto" w:sz="0" w:space="0"/>
          <w:shd w:val="clear" w:fill="FFFFFF"/>
          <w:lang w:val="en-US" w:eastAsia="zh-CN" w:bidi="ar"/>
        </w:rPr>
        <w:t>一般性支出情况：</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2022年本部门会议费预算1.5</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w:t>
      </w:r>
      <w:r>
        <w:rPr>
          <w:rFonts w:ascii="宋体" w:hAnsi="宋体" w:eastAsia="宋体" w:cs="宋体"/>
          <w:i w:val="0"/>
          <w:iCs w:val="0"/>
          <w:caps w:val="0"/>
          <w:color w:val="212529"/>
          <w:spacing w:val="0"/>
          <w:sz w:val="32"/>
          <w:szCs w:val="32"/>
          <w:shd w:val="clear" w:fill="FFFFFF"/>
        </w:rPr>
        <w:t>拟召开20次会议，人数5</w:t>
      </w:r>
      <w:r>
        <w:rPr>
          <w:rFonts w:hint="eastAsia" w:ascii="宋体" w:hAnsi="宋体" w:eastAsia="宋体" w:cs="宋体"/>
          <w:i w:val="0"/>
          <w:iCs w:val="0"/>
          <w:caps w:val="0"/>
          <w:color w:val="212529"/>
          <w:spacing w:val="0"/>
          <w:sz w:val="32"/>
          <w:szCs w:val="32"/>
          <w:shd w:val="clear" w:fill="FFFFFF"/>
          <w:lang w:val="en-US" w:eastAsia="zh-CN"/>
        </w:rPr>
        <w:t>0</w:t>
      </w:r>
      <w:r>
        <w:rPr>
          <w:rFonts w:ascii="宋体" w:hAnsi="宋体" w:eastAsia="宋体" w:cs="宋体"/>
          <w:i w:val="0"/>
          <w:iCs w:val="0"/>
          <w:caps w:val="0"/>
          <w:color w:val="212529"/>
          <w:spacing w:val="0"/>
          <w:sz w:val="32"/>
          <w:szCs w:val="32"/>
          <w:shd w:val="clear" w:fill="FFFFFF"/>
        </w:rPr>
        <w:t>人</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；培训费预算1.5</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万元</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w:t>
      </w:r>
      <w:r>
        <w:rPr>
          <w:rFonts w:ascii="宋体" w:hAnsi="宋体" w:eastAsia="宋体" w:cs="宋体"/>
          <w:i w:val="0"/>
          <w:iCs w:val="0"/>
          <w:caps w:val="0"/>
          <w:color w:val="212529"/>
          <w:spacing w:val="0"/>
          <w:sz w:val="32"/>
          <w:szCs w:val="32"/>
          <w:shd w:val="clear" w:fill="FFFFFF"/>
        </w:rPr>
        <w:t>拟召开执法监督工作业务、行政执法知识专题及开展业务知识等培训，人数30人</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w:t>
      </w:r>
      <w:r>
        <w:rPr>
          <w:rFonts w:ascii="宋体" w:hAnsi="宋体" w:eastAsia="宋体" w:cs="宋体"/>
          <w:i w:val="0"/>
          <w:iCs w:val="0"/>
          <w:caps w:val="0"/>
          <w:color w:val="212529"/>
          <w:spacing w:val="0"/>
          <w:sz w:val="32"/>
          <w:szCs w:val="32"/>
          <w:shd w:val="clear" w:fill="FFFFFF"/>
        </w:rPr>
        <w:t>未计划举办节庆、晚会、论坛、赛事，经费预算0万元。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其他事项：</w:t>
      </w: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本单位无其他重要事项需要说明。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宋体" w:hAnsi="宋体" w:eastAsia="宋体" w:cs="宋体"/>
          <w:i w:val="0"/>
          <w:iCs w:val="0"/>
          <w:caps w:val="0"/>
          <w:color w:val="212529"/>
          <w:spacing w:val="0"/>
          <w:sz w:val="24"/>
          <w:szCs w:val="24"/>
        </w:rPr>
      </w:pPr>
      <w:r>
        <w:rPr>
          <w:rStyle w:val="5"/>
          <w:rFonts w:hint="eastAsia" w:ascii="宋体" w:hAnsi="宋体" w:eastAsia="宋体" w:cs="宋体"/>
          <w:b/>
          <w:bCs/>
          <w:i w:val="0"/>
          <w:iCs w:val="0"/>
          <w:caps w:val="0"/>
          <w:color w:val="212529"/>
          <w:spacing w:val="0"/>
          <w:kern w:val="0"/>
          <w:sz w:val="32"/>
          <w:szCs w:val="32"/>
          <w:bdr w:val="none" w:color="auto" w:sz="0" w:space="0"/>
          <w:shd w:val="clear" w:fill="FFFFFF"/>
          <w:lang w:val="en-US" w:eastAsia="zh-CN" w:bidi="ar"/>
        </w:rPr>
        <w:t>九、名词解释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1、财政拨款（补助）收入：指财政预算安排且当年拨付的资金。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2、一般公共服务支出（201类）：反映政府提供一般公共服务的支出。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3、政府办公厅（室）及相关机构事务（20103款）：反映各级政府办公厅（室）及相关机构的支出。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4、行政运行（2010301项）：反映行政单位（包括实行公务员管理的事业单位）的基本支出。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5、专项业务及机关事务管理（2010305项）：反映各级政府举行各类重大活动、召开重要会议（如国务院一类会议、国庆招待会、全国劳模大会）的支出，政府机关房地产管理、公务用车管理等方面的支出。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6、社会保障和就业支出（208类）：反映政府在社会保障与就业方面的支出。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7、行政事业单位养老支出（20805款）：反映用于行政事业单位养老方面的支出。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8、机关事业单位基本养老保险缴费支出（2080505类）：反映机关事业单位实施养老保险制度由单位缴纳的基本养老保险费支出。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9、机关事业单位职业年金缴费支出（2080506类）：反映机关事业单位实施养老保险制度由单位缴纳的职业年金支出。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10、卫生健康支出（210类）：反映政府卫生健康方面的支出。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11、行政事业单位医疗（21011款）：反映行政事业单位医疗方面的支出。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13、基本支出：指为保障机构正常运转、完成日常工作任务而发生的人员支出（包括基本工资、津贴补贴等）和公用支出（包括办公费、水电费、邮电费、交通费、会议费、差旅费等）。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14、项目支出：指在基本支出之外为完成特定行政任务和事业发展目标所发生的支出。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15、“三公”经费：按照有关规定，“三公”经费包括因公出国（境）费用、公务接待费、公务用车购置及运行费。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16、公务用车：指单位用于履行公务的车辆，包括领导干部专车、一般公务用车和执法执勤用车。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3"/>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21252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21252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6"/>
          <w:szCs w:val="36"/>
          <w:bdr w:val="none" w:color="auto" w:sz="0" w:space="0"/>
          <w:shd w:val="clear" w:fill="FFFFFF"/>
          <w:lang w:val="en-US" w:eastAsia="zh-CN" w:bidi="ar"/>
        </w:rPr>
        <w:t>第二部分 部门预算公开表格（见附件）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3、支出预算总表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4、支出预算分类汇总表（按部门预算经济分类）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212529"/>
          <w:spacing w:val="0"/>
          <w:kern w:val="0"/>
          <w:sz w:val="32"/>
          <w:szCs w:val="32"/>
          <w:bdr w:val="none" w:color="auto" w:sz="0" w:space="0"/>
          <w:shd w:val="clear" w:fill="FFFFFF"/>
          <w:lang w:val="en-US" w:eastAsia="zh-CN" w:bidi="ar"/>
        </w:rPr>
        <w:t>、支出预算分类汇总表（按政府预算经济分类）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6、财政拨款收支预算表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7、一般公共预算支出预算分类汇总表（按部门预算经济分类）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8、一般公共预算支出预算分类汇总表（按政府预算经济分类）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9、政府性基金拨款支出预算分类汇总表（按部门预算经济分类）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10、政府性基金拨款支出预算分类汇总表（按政府预算经济分类）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11、一般公共预算基本支出表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12、基本支出预算明细表-工资福利与对个人和家庭的补助（按部门预算经济分类）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13、基本支出预算明细表-工资福利与对个人和家庭的补助（按政府预算经济分类）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14、基本支出预算明细表-商品和服务支出（按部门预算经济分类）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15、基本支出预算明细表-商品和服务支出（按政府预算经济分类）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16、一般公共预算基本支出预算明细表-工资福利与对个人和家庭的补助（按部门预算经济分类）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17、一般公共预算基本支出预算明细表-工资福利与对个人和家庭的补助（按政府预算经济分类）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18、一般公共预算基本支出预算明细表-商品和服务支出（按部门预算经济分类）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19、一般公共预算基本支出预算明细表-商品和服务支出（按政府预算经济分类）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ascii="宋体" w:hAnsi="宋体" w:eastAsia="宋体" w:cs="宋体"/>
          <w:i w:val="0"/>
          <w:iCs w:val="0"/>
          <w:caps w:val="0"/>
          <w:color w:val="212529"/>
          <w:spacing w:val="0"/>
          <w:kern w:val="0"/>
          <w:sz w:val="32"/>
          <w:szCs w:val="32"/>
          <w:bdr w:val="none" w:color="auto" w:sz="0" w:space="0"/>
          <w:shd w:val="clear" w:fill="FFFFFF"/>
          <w:lang w:val="en-US" w:eastAsia="zh-CN" w:bidi="ar"/>
        </w:rPr>
        <w:t>20、“三公”经费情况表-一般公共预算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007BFF"/>
          <w:spacing w:val="0"/>
          <w:kern w:val="0"/>
          <w:sz w:val="32"/>
          <w:szCs w:val="32"/>
          <w:u w:val="none"/>
          <w:bdr w:val="none" w:color="auto" w:sz="0" w:space="0"/>
          <w:shd w:val="clear" w:fill="FFFFFF"/>
          <w:lang w:val="en-US" w:eastAsia="zh-CN" w:bidi="ar"/>
        </w:rPr>
        <w:fldChar w:fldCharType="begin"/>
      </w:r>
      <w:r>
        <w:rPr>
          <w:rFonts w:hint="eastAsia" w:ascii="宋体" w:hAnsi="宋体" w:eastAsia="宋体" w:cs="宋体"/>
          <w:i w:val="0"/>
          <w:iCs w:val="0"/>
          <w:caps w:val="0"/>
          <w:color w:val="007BFF"/>
          <w:spacing w:val="0"/>
          <w:kern w:val="0"/>
          <w:sz w:val="32"/>
          <w:szCs w:val="32"/>
          <w:u w:val="none"/>
          <w:bdr w:val="none" w:color="auto" w:sz="0" w:space="0"/>
          <w:shd w:val="clear" w:fill="FFFFFF"/>
          <w:lang w:val="en-US" w:eastAsia="zh-CN" w:bidi="ar"/>
        </w:rPr>
        <w:instrText xml:space="preserve"> HYPERLINK "http://yjs.jbreport.com/home/downloadAttachment?attachGUID=7439c9a368ee40779f6a3c03b9247ded" \t "http://yjs.jbreport.com/manager/_blank" </w:instrText>
      </w:r>
      <w:r>
        <w:rPr>
          <w:rFonts w:hint="eastAsia" w:ascii="宋体" w:hAnsi="宋体" w:eastAsia="宋体" w:cs="宋体"/>
          <w:i w:val="0"/>
          <w:iCs w:val="0"/>
          <w:caps w:val="0"/>
          <w:color w:val="007BFF"/>
          <w:spacing w:val="0"/>
          <w:kern w:val="0"/>
          <w:sz w:val="32"/>
          <w:szCs w:val="32"/>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007BFF"/>
          <w:spacing w:val="0"/>
          <w:sz w:val="32"/>
          <w:szCs w:val="32"/>
          <w:u w:val="none"/>
          <w:bdr w:val="none" w:color="auto" w:sz="0" w:space="0"/>
          <w:shd w:val="clear" w:fill="FFFFFF"/>
        </w:rPr>
        <w:t>益阳市资阳区自然资源局2022年</w:t>
      </w:r>
      <w:bookmarkStart w:id="0" w:name="_GoBack"/>
      <w:bookmarkEnd w:id="0"/>
      <w:r>
        <w:rPr>
          <w:rStyle w:val="6"/>
          <w:rFonts w:hint="eastAsia" w:ascii="宋体" w:hAnsi="宋体" w:eastAsia="宋体" w:cs="宋体"/>
          <w:i w:val="0"/>
          <w:iCs w:val="0"/>
          <w:caps w:val="0"/>
          <w:color w:val="007BFF"/>
          <w:spacing w:val="0"/>
          <w:sz w:val="32"/>
          <w:szCs w:val="32"/>
          <w:u w:val="none"/>
          <w:bdr w:val="none" w:color="auto" w:sz="0" w:space="0"/>
          <w:shd w:val="clear" w:fill="FFFFFF"/>
        </w:rPr>
        <w:t>部门预算公开表.xls</w:t>
      </w:r>
      <w:r>
        <w:rPr>
          <w:rFonts w:hint="eastAsia" w:ascii="宋体" w:hAnsi="宋体" w:eastAsia="宋体" w:cs="宋体"/>
          <w:i w:val="0"/>
          <w:iCs w:val="0"/>
          <w:caps w:val="0"/>
          <w:color w:val="007BFF"/>
          <w:spacing w:val="0"/>
          <w:kern w:val="0"/>
          <w:sz w:val="32"/>
          <w:szCs w:val="32"/>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GRhNTgwY2VkN2ZjZGM1NTljODQwMGEyNmVkOTgifQ=="/>
  </w:docVars>
  <w:rsids>
    <w:rsidRoot w:val="72514654"/>
    <w:rsid w:val="7251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2023-09-25T01:07:00Z</dcterms:created>
  <dc:creator>曹艳</dc:creator>
  <cp:lastModifiedBy>曹艳</cp:lastModifiedBy>
  <dcterms:modified xsi:type="dcterms:W3CDTF">2023-09-25T01:16:18Z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4B2EA557489F41F1B4ADA8D02549AEE5_11</vt:lpwstr>
  </property>
</Properties>
</file>