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333333"/>
          <w:kern w:val="2"/>
          <w:sz w:val="36"/>
          <w:szCs w:val="36"/>
          <w:lang w:val="en-US" w:eastAsia="zh-CN" w:bidi="ar-SA"/>
        </w:rPr>
      </w:pPr>
      <w:r>
        <w:rPr>
          <w:rFonts w:hint="eastAsia" w:ascii="宋体" w:hAnsi="宋体" w:eastAsia="宋体" w:cs="宋体"/>
          <w:b w:val="0"/>
          <w:bCs w:val="0"/>
          <w:color w:val="333333"/>
          <w:kern w:val="2"/>
          <w:sz w:val="36"/>
          <w:szCs w:val="36"/>
          <w:lang w:val="en-US" w:eastAsia="zh-CN" w:bidi="ar-SA"/>
        </w:rPr>
        <w:t>2021年度益阳市资阳区水利局整体支出绩效</w:t>
      </w:r>
    </w:p>
    <w:p>
      <w:pPr>
        <w:pStyle w:val="5"/>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333333"/>
          <w:kern w:val="2"/>
          <w:sz w:val="36"/>
          <w:szCs w:val="36"/>
          <w:lang w:val="en-US" w:eastAsia="zh-CN" w:bidi="ar-SA"/>
        </w:rPr>
      </w:pPr>
      <w:r>
        <w:rPr>
          <w:rFonts w:hint="eastAsia" w:ascii="宋体" w:hAnsi="宋体" w:eastAsia="宋体" w:cs="宋体"/>
          <w:b w:val="0"/>
          <w:bCs w:val="0"/>
          <w:color w:val="333333"/>
          <w:kern w:val="2"/>
          <w:sz w:val="36"/>
          <w:szCs w:val="36"/>
          <w:lang w:val="en-US" w:eastAsia="zh-CN" w:bidi="ar-SA"/>
        </w:rPr>
        <w:t>自评报告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为了加强财政资金绩效管理，提高资金使用效益，按照《益阳市资阳区财政局关于开展2021年度预算绩效自评工作的通知》要求，我会认真组织开展了2021年部门整体支出绩效自评工作。现将有关情况报告如下：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一、单位基本情况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（一）主要职能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1、拟定全区水利工作规划性文件及中、长期水利规划，组织起草有关政策性法规，并督促实现施。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2、统一管理水资源（含空中水、地表水、地下水）。组织有关城区规划及重大建设项目的水资源和防洪的论证工作；组织实行取水许可制度和水资源费征收制度。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3、组织、指导水政监察和水行政执法，协调并仲裁区域内的水事纠纷。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4、合法使用、调控水利资金，搞好水利行业的供水、水电及多种经营工作。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5、编制、上报年度水利基建项目设计书，搞好基建项目的施工及技术监理工作，严格操作规划。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6、搞好水利设施、水域及其岸线的管理与保护；组织指导河滩的治理与开发；组织建设和管理水利工程，组织、指导水库大坝的安全监管。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7、组织协调农田水利基本建设和乡镇供水工作。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8、搞好全区水土保持工作，研究制定水土保持的工程措施规划，组织水土流失的监测和综合防治。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9、负责水利方面的科技工作，搞好全区水利队伍建设。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10、指导河长制工作；指导全区砂石市场管理工作；指导区防汛抗旱工作，对水库、内湖实施防汛抗旱调度。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11、承担区政府交办的其他事项。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（二）机构情况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kern w:val="0"/>
          <w:sz w:val="28"/>
          <w:szCs w:val="28"/>
        </w:rPr>
        <w:t>机构设置情况：根据工作职责，益阳市资阳区水利</w:t>
      </w:r>
      <w:r>
        <w:rPr>
          <w:rFonts w:hint="eastAsia" w:asciiTheme="majorEastAsia" w:hAnsiTheme="majorEastAsia" w:eastAsiaTheme="majorEastAsia" w:cstheme="majorEastAsia"/>
          <w:b w:val="0"/>
          <w:bCs w:val="0"/>
          <w:color w:val="333333"/>
          <w:sz w:val="28"/>
          <w:szCs w:val="28"/>
        </w:rPr>
        <w:t>局本级设办公室、人事股、财务股、安全生产与质量安全监督办公室、水资源股、河长制工作股6个内设机构；设置资阳区水利工程站、资阳区水旱灾害防御事务中心、资阳区河道湖泊管理站、益阳市资阳区村镇供水工程管理站、益阳市资阳区砂石市场管理办公室、资阳区水政监察大队、资阳区机电排灌站、资阳区库区移民事务中心、资阳区迎丰水库管理处9个事业单位。下辖资阳区长春镇水利管理站、资阳区城区水利管理站、资阳区新桥河水利管理站、资阳区迎</w:t>
      </w:r>
      <w:r>
        <w:rPr>
          <w:rFonts w:hint="eastAsia" w:asciiTheme="majorEastAsia" w:hAnsiTheme="majorEastAsia" w:eastAsiaTheme="majorEastAsia" w:cstheme="majorEastAsia"/>
          <w:b w:val="0"/>
          <w:bCs w:val="0"/>
          <w:color w:val="333333"/>
          <w:sz w:val="28"/>
          <w:szCs w:val="28"/>
          <w:lang w:eastAsia="zh-CN"/>
        </w:rPr>
        <w:t>风桥镇水利管理站</w:t>
      </w:r>
      <w:r>
        <w:rPr>
          <w:rFonts w:hint="eastAsia" w:asciiTheme="majorEastAsia" w:hAnsiTheme="majorEastAsia" w:eastAsiaTheme="majorEastAsia" w:cstheme="majorEastAsia"/>
          <w:b w:val="0"/>
          <w:bCs w:val="0"/>
          <w:color w:val="333333"/>
          <w:sz w:val="28"/>
          <w:szCs w:val="28"/>
        </w:rPr>
        <w:t>、资阳区</w:t>
      </w:r>
      <w:r>
        <w:rPr>
          <w:rFonts w:hint="eastAsia" w:asciiTheme="majorEastAsia" w:hAnsiTheme="majorEastAsia" w:eastAsiaTheme="majorEastAsia" w:cstheme="majorEastAsia"/>
          <w:b w:val="0"/>
          <w:bCs w:val="0"/>
          <w:color w:val="333333"/>
          <w:sz w:val="28"/>
          <w:szCs w:val="28"/>
          <w:lang w:eastAsia="zh-CN"/>
        </w:rPr>
        <w:t>黄</w:t>
      </w:r>
      <w:r>
        <w:rPr>
          <w:rFonts w:hint="eastAsia" w:asciiTheme="majorEastAsia" w:hAnsiTheme="majorEastAsia" w:eastAsiaTheme="majorEastAsia" w:cstheme="majorEastAsia"/>
          <w:b w:val="0"/>
          <w:bCs w:val="0"/>
          <w:color w:val="333333"/>
          <w:sz w:val="28"/>
          <w:szCs w:val="28"/>
        </w:rPr>
        <w:t>家湖电排管理站、资阳区沙头镇水利管理站、资阳区民主垸中心水利管理站、资阳区水利张家塞乡水利管理站、资阳区茈湖口镇水利管理站9个二级事业单位。</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二、一般公共预算支出情况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（一）基本支出情况</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b w:val="0"/>
          <w:bCs w:val="0"/>
          <w:color w:val="333333"/>
          <w:sz w:val="28"/>
          <w:szCs w:val="28"/>
          <w:lang w:eastAsia="zh-CN"/>
        </w:rPr>
      </w:pPr>
      <w:r>
        <w:rPr>
          <w:rFonts w:hint="eastAsia" w:asciiTheme="majorEastAsia" w:hAnsiTheme="majorEastAsia" w:eastAsiaTheme="majorEastAsia" w:cstheme="majorEastAsia"/>
          <w:b w:val="0"/>
          <w:bCs w:val="0"/>
          <w:color w:val="333333"/>
          <w:sz w:val="28"/>
          <w:szCs w:val="28"/>
        </w:rPr>
        <w:t>区水利系统</w:t>
      </w:r>
      <w:r>
        <w:rPr>
          <w:rFonts w:hint="eastAsia" w:asciiTheme="majorEastAsia" w:hAnsiTheme="majorEastAsia" w:eastAsiaTheme="majorEastAsia" w:cstheme="majorEastAsia"/>
          <w:b w:val="0"/>
          <w:bCs w:val="0"/>
          <w:color w:val="333333"/>
          <w:sz w:val="28"/>
          <w:szCs w:val="28"/>
          <w:lang w:eastAsia="zh-CN"/>
        </w:rPr>
        <w:t>2021</w:t>
      </w:r>
      <w:r>
        <w:rPr>
          <w:rFonts w:hint="eastAsia" w:asciiTheme="majorEastAsia" w:hAnsiTheme="majorEastAsia" w:eastAsiaTheme="majorEastAsia" w:cstheme="majorEastAsia"/>
          <w:b w:val="0"/>
          <w:bCs w:val="0"/>
          <w:color w:val="333333"/>
          <w:sz w:val="28"/>
          <w:szCs w:val="28"/>
        </w:rPr>
        <w:t>年全年基本支出</w:t>
      </w:r>
      <w:r>
        <w:rPr>
          <w:rFonts w:hint="eastAsia" w:asciiTheme="majorEastAsia" w:hAnsiTheme="majorEastAsia" w:eastAsiaTheme="majorEastAsia" w:cstheme="majorEastAsia"/>
          <w:b w:val="0"/>
          <w:bCs w:val="0"/>
          <w:color w:val="333333"/>
          <w:sz w:val="28"/>
          <w:szCs w:val="28"/>
          <w:lang w:val="en-US" w:eastAsia="zh-CN"/>
        </w:rPr>
        <w:t>3043.63</w:t>
      </w:r>
      <w:r>
        <w:rPr>
          <w:rFonts w:hint="eastAsia" w:asciiTheme="majorEastAsia" w:hAnsiTheme="majorEastAsia" w:eastAsiaTheme="majorEastAsia" w:cstheme="majorEastAsia"/>
          <w:b w:val="0"/>
          <w:bCs w:val="0"/>
          <w:color w:val="333333"/>
          <w:sz w:val="28"/>
          <w:szCs w:val="28"/>
        </w:rPr>
        <w:t>万元</w:t>
      </w:r>
      <w:r>
        <w:rPr>
          <w:rFonts w:hint="eastAsia" w:asciiTheme="majorEastAsia" w:hAnsiTheme="majorEastAsia" w:eastAsiaTheme="majorEastAsia" w:cstheme="majorEastAsia"/>
          <w:b w:val="0"/>
          <w:bCs w:val="0"/>
          <w:color w:val="333333"/>
          <w:sz w:val="28"/>
          <w:szCs w:val="28"/>
          <w:lang w:eastAsia="zh-CN"/>
        </w:rPr>
        <w:t>，</w:t>
      </w:r>
      <w:r>
        <w:rPr>
          <w:rFonts w:hint="eastAsia" w:ascii="宋体" w:hAnsi="宋体" w:eastAsia="宋体" w:cs="宋体"/>
          <w:b w:val="0"/>
          <w:bCs w:val="0"/>
          <w:sz w:val="30"/>
          <w:szCs w:val="30"/>
        </w:rPr>
        <w:t>其中工资福利支出</w:t>
      </w:r>
      <w:r>
        <w:rPr>
          <w:rFonts w:hint="eastAsia" w:ascii="宋体" w:hAnsi="宋体" w:eastAsia="宋体" w:cs="宋体"/>
          <w:b w:val="0"/>
          <w:bCs w:val="0"/>
          <w:sz w:val="30"/>
          <w:szCs w:val="30"/>
          <w:lang w:val="en-US" w:eastAsia="zh-CN"/>
        </w:rPr>
        <w:t>2856.71</w:t>
      </w:r>
      <w:r>
        <w:rPr>
          <w:rFonts w:hint="eastAsia" w:ascii="宋体" w:hAnsi="宋体" w:eastAsia="宋体" w:cs="宋体"/>
          <w:b w:val="0"/>
          <w:bCs w:val="0"/>
          <w:sz w:val="30"/>
          <w:szCs w:val="30"/>
        </w:rPr>
        <w:t>万元，主要包括：基本工资、津贴补贴、社会保障缴费、绩效工资、住房公积金、乡镇补贴等；商品和服务性支出</w:t>
      </w:r>
      <w:r>
        <w:rPr>
          <w:rFonts w:hint="eastAsia" w:ascii="宋体" w:hAnsi="宋体" w:eastAsia="宋体" w:cs="宋体"/>
          <w:b w:val="0"/>
          <w:bCs w:val="0"/>
          <w:sz w:val="30"/>
          <w:szCs w:val="30"/>
          <w:lang w:val="en-US" w:eastAsia="zh-CN"/>
        </w:rPr>
        <w:t>168.04</w:t>
      </w:r>
      <w:r>
        <w:rPr>
          <w:rFonts w:hint="eastAsia" w:ascii="宋体" w:hAnsi="宋体" w:eastAsia="宋体" w:cs="宋体"/>
          <w:b w:val="0"/>
          <w:bCs w:val="0"/>
          <w:sz w:val="30"/>
          <w:szCs w:val="30"/>
        </w:rPr>
        <w:t>万元，主要包括：办公费、印刷费、水费、电费、邮电费、差旅费、公务接待费、工会经费、福利费、其他商品和服务支出等；对个人和家庭的补助</w:t>
      </w:r>
      <w:r>
        <w:rPr>
          <w:rFonts w:hint="eastAsia" w:ascii="宋体" w:hAnsi="宋体" w:eastAsia="宋体" w:cs="宋体"/>
          <w:b w:val="0"/>
          <w:bCs w:val="0"/>
          <w:sz w:val="30"/>
          <w:szCs w:val="30"/>
          <w:lang w:val="en-US" w:eastAsia="zh-CN"/>
        </w:rPr>
        <w:t>18.88</w:t>
      </w:r>
      <w:r>
        <w:rPr>
          <w:rFonts w:hint="eastAsia" w:ascii="宋体" w:hAnsi="宋体" w:eastAsia="宋体" w:cs="宋体"/>
          <w:b w:val="0"/>
          <w:bCs w:val="0"/>
          <w:sz w:val="30"/>
          <w:szCs w:val="30"/>
        </w:rPr>
        <w:t>万元，主要包括：抚恤金、生活补助、奖励金、其他对个人和家庭的补助。</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（二）项目支出情况</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kern w:val="0"/>
          <w:sz w:val="30"/>
          <w:szCs w:val="30"/>
          <w:lang w:eastAsia="zh-CN"/>
        </w:rPr>
      </w:pPr>
      <w:r>
        <w:rPr>
          <w:rFonts w:hint="eastAsia" w:ascii="宋体" w:hAnsi="宋体" w:eastAsia="宋体" w:cs="宋体"/>
          <w:b w:val="0"/>
          <w:bCs w:val="0"/>
          <w:spacing w:val="-2"/>
          <w:kern w:val="0"/>
          <w:sz w:val="30"/>
          <w:szCs w:val="30"/>
        </w:rPr>
        <w:t></w:t>
      </w:r>
      <w:r>
        <w:rPr>
          <w:rFonts w:hint="eastAsia" w:ascii="宋体" w:hAnsi="宋体" w:eastAsia="宋体" w:cs="宋体"/>
          <w:b w:val="0"/>
          <w:bCs w:val="0"/>
          <w:spacing w:val="-2"/>
          <w:kern w:val="0"/>
          <w:sz w:val="30"/>
          <w:szCs w:val="30"/>
          <w:lang w:val="en-US" w:eastAsia="zh-CN"/>
        </w:rPr>
        <w:t xml:space="preserve"> 1</w:t>
      </w:r>
      <w:r>
        <w:rPr>
          <w:rFonts w:hint="eastAsia" w:ascii="宋体" w:hAnsi="宋体" w:eastAsia="宋体" w:cs="宋体"/>
          <w:b w:val="0"/>
          <w:bCs w:val="0"/>
          <w:spacing w:val="-2"/>
          <w:kern w:val="0"/>
          <w:sz w:val="30"/>
          <w:szCs w:val="30"/>
        </w:rPr>
        <w:t>、防汛抗旱费</w:t>
      </w:r>
      <w:r>
        <w:rPr>
          <w:rFonts w:hint="eastAsia" w:ascii="宋体" w:hAnsi="宋体" w:eastAsia="宋体" w:cs="宋体"/>
          <w:b w:val="0"/>
          <w:bCs w:val="0"/>
          <w:spacing w:val="-2"/>
          <w:kern w:val="0"/>
          <w:sz w:val="30"/>
          <w:szCs w:val="30"/>
          <w:lang w:val="en-US" w:eastAsia="zh-CN"/>
        </w:rPr>
        <w:t>100</w:t>
      </w:r>
      <w:r>
        <w:rPr>
          <w:rFonts w:hint="eastAsia" w:ascii="宋体" w:hAnsi="宋体" w:eastAsia="宋体" w:cs="宋体"/>
          <w:b w:val="0"/>
          <w:bCs w:val="0"/>
          <w:spacing w:val="-2"/>
          <w:kern w:val="0"/>
          <w:sz w:val="30"/>
          <w:szCs w:val="30"/>
        </w:rPr>
        <w:t>万元，区水利局用于购入防汛物资</w:t>
      </w:r>
      <w:r>
        <w:rPr>
          <w:rFonts w:hint="eastAsia" w:ascii="宋体" w:hAnsi="宋体" w:eastAsia="宋体" w:cs="宋体"/>
          <w:b w:val="0"/>
          <w:bCs w:val="0"/>
          <w:spacing w:val="-2"/>
          <w:kern w:val="0"/>
          <w:sz w:val="30"/>
          <w:szCs w:val="30"/>
          <w:lang w:eastAsia="zh-CN"/>
        </w:rPr>
        <w:t>、</w:t>
      </w:r>
      <w:r>
        <w:rPr>
          <w:rFonts w:hint="eastAsia" w:ascii="宋体" w:hAnsi="宋体" w:eastAsia="宋体" w:cs="宋体"/>
          <w:b w:val="0"/>
          <w:bCs w:val="0"/>
          <w:kern w:val="0"/>
          <w:sz w:val="30"/>
          <w:szCs w:val="30"/>
        </w:rPr>
        <w:t>防汛标牌，标志</w:t>
      </w:r>
      <w:r>
        <w:rPr>
          <w:rFonts w:hint="eastAsia" w:ascii="宋体" w:hAnsi="宋体" w:eastAsia="宋体" w:cs="宋体"/>
          <w:b w:val="0"/>
          <w:bCs w:val="0"/>
          <w:kern w:val="0"/>
          <w:sz w:val="30"/>
          <w:szCs w:val="30"/>
          <w:lang w:eastAsia="zh-CN"/>
        </w:rPr>
        <w:t>、</w:t>
      </w:r>
      <w:r>
        <w:rPr>
          <w:rFonts w:hint="eastAsia" w:ascii="宋体" w:hAnsi="宋体" w:eastAsia="宋体" w:cs="宋体"/>
          <w:b w:val="0"/>
          <w:bCs w:val="0"/>
          <w:kern w:val="0"/>
          <w:sz w:val="30"/>
          <w:szCs w:val="30"/>
        </w:rPr>
        <w:t>气象，电信、移动、雨水情系统服务费</w:t>
      </w:r>
      <w:r>
        <w:rPr>
          <w:rFonts w:hint="eastAsia" w:ascii="宋体" w:hAnsi="宋体" w:eastAsia="宋体" w:cs="宋体"/>
          <w:b w:val="0"/>
          <w:bCs w:val="0"/>
          <w:kern w:val="0"/>
          <w:sz w:val="30"/>
          <w:szCs w:val="30"/>
          <w:lang w:eastAsia="zh-CN"/>
        </w:rPr>
        <w:t>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2" w:firstLineChars="200"/>
        <w:textAlignment w:val="auto"/>
        <w:rPr>
          <w:rFonts w:hint="eastAsia" w:ascii="宋体" w:hAnsi="宋体" w:eastAsia="宋体" w:cs="宋体"/>
          <w:b w:val="0"/>
          <w:bCs w:val="0"/>
          <w:kern w:val="0"/>
          <w:sz w:val="30"/>
          <w:szCs w:val="30"/>
        </w:rPr>
      </w:pPr>
      <w:r>
        <w:rPr>
          <w:rFonts w:hint="eastAsia" w:ascii="宋体" w:hAnsi="宋体" w:eastAsia="宋体" w:cs="宋体"/>
          <w:b w:val="0"/>
          <w:bCs w:val="0"/>
          <w:spacing w:val="-2"/>
          <w:kern w:val="0"/>
          <w:sz w:val="30"/>
          <w:szCs w:val="30"/>
          <w:lang w:val="en-US" w:eastAsia="zh-CN"/>
        </w:rPr>
        <w:t>2</w:t>
      </w:r>
      <w:r>
        <w:rPr>
          <w:rFonts w:hint="eastAsia" w:ascii="宋体" w:hAnsi="宋体" w:eastAsia="宋体" w:cs="宋体"/>
          <w:b w:val="0"/>
          <w:bCs w:val="0"/>
          <w:spacing w:val="-2"/>
          <w:kern w:val="0"/>
          <w:sz w:val="30"/>
          <w:szCs w:val="30"/>
        </w:rPr>
        <w:t>、转移支付8</w:t>
      </w:r>
      <w:r>
        <w:rPr>
          <w:rFonts w:hint="eastAsia" w:ascii="宋体" w:hAnsi="宋体" w:eastAsia="宋体" w:cs="宋体"/>
          <w:b w:val="0"/>
          <w:bCs w:val="0"/>
          <w:spacing w:val="-2"/>
          <w:kern w:val="0"/>
          <w:sz w:val="30"/>
          <w:szCs w:val="30"/>
          <w:lang w:val="en-US" w:eastAsia="zh-CN"/>
        </w:rPr>
        <w:t>54</w:t>
      </w:r>
      <w:r>
        <w:rPr>
          <w:rFonts w:hint="eastAsia" w:ascii="宋体" w:hAnsi="宋体" w:eastAsia="宋体" w:cs="宋体"/>
          <w:b w:val="0"/>
          <w:bCs w:val="0"/>
          <w:spacing w:val="-2"/>
          <w:kern w:val="0"/>
          <w:sz w:val="30"/>
          <w:szCs w:val="30"/>
        </w:rPr>
        <w:t>万元</w:t>
      </w:r>
      <w:r>
        <w:rPr>
          <w:rFonts w:hint="eastAsia" w:ascii="宋体" w:hAnsi="宋体" w:eastAsia="宋体" w:cs="宋体"/>
          <w:b w:val="0"/>
          <w:bCs w:val="0"/>
          <w:kern w:val="0"/>
          <w:sz w:val="30"/>
          <w:szCs w:val="30"/>
        </w:rPr>
        <w:t>，主要支出</w:t>
      </w:r>
      <w:r>
        <w:rPr>
          <w:rFonts w:hint="eastAsia" w:ascii="宋体" w:hAnsi="宋体" w:eastAsia="宋体" w:cs="宋体"/>
          <w:b w:val="0"/>
          <w:bCs w:val="0"/>
          <w:color w:val="666666"/>
          <w:sz w:val="30"/>
          <w:szCs w:val="30"/>
        </w:rPr>
        <w:t>对</w:t>
      </w:r>
      <w:r>
        <w:rPr>
          <w:rFonts w:hint="eastAsia" w:ascii="宋体" w:hAnsi="宋体" w:eastAsia="宋体" w:cs="宋体"/>
          <w:b w:val="0"/>
          <w:bCs w:val="0"/>
          <w:kern w:val="0"/>
          <w:sz w:val="30"/>
          <w:szCs w:val="30"/>
        </w:rPr>
        <w:t>全区85处176台套22337Kw机电排灌装机管理维护和日常保养，及时对老旧机埠的更新改造和技术升级，整体设备完好率95%以上。全力保障了全区5个建制镇、1个乡、1个工业园、2个街道办事处的排涝和抗旱要求，发挥了巨大的社会效益和经济效益。二是堤防是资阳区防御洪水的主要屏障，做好堤防的维修养护工作，确保防洪大堤查险处险工作的开展及防汛通道的畅通，为保障人民的生命财产安全发挥了重要作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val="0"/>
          <w:bCs w:val="0"/>
          <w:spacing w:val="-2"/>
          <w:kern w:val="0"/>
          <w:sz w:val="30"/>
          <w:szCs w:val="30"/>
        </w:rPr>
      </w:pPr>
      <w:r>
        <w:rPr>
          <w:rFonts w:hint="eastAsia" w:ascii="宋体" w:hAnsi="宋体" w:eastAsia="宋体" w:cs="宋体"/>
          <w:b w:val="0"/>
          <w:bCs w:val="0"/>
          <w:spacing w:val="-2"/>
          <w:kern w:val="0"/>
          <w:sz w:val="30"/>
          <w:szCs w:val="30"/>
          <w:lang w:val="en-US" w:eastAsia="zh-CN"/>
        </w:rPr>
        <w:t>3</w:t>
      </w:r>
      <w:r>
        <w:rPr>
          <w:rFonts w:hint="eastAsia" w:ascii="宋体" w:hAnsi="宋体" w:eastAsia="宋体" w:cs="宋体"/>
          <w:b w:val="0"/>
          <w:bCs w:val="0"/>
          <w:spacing w:val="-2"/>
          <w:kern w:val="0"/>
          <w:sz w:val="30"/>
          <w:szCs w:val="30"/>
        </w:rPr>
        <w:t>、皇家湖泵站运行</w:t>
      </w:r>
      <w:r>
        <w:rPr>
          <w:rFonts w:hint="eastAsia" w:ascii="宋体" w:hAnsi="宋体" w:cs="宋体"/>
          <w:b w:val="0"/>
          <w:bCs w:val="0"/>
          <w:spacing w:val="-2"/>
          <w:kern w:val="0"/>
          <w:sz w:val="30"/>
          <w:szCs w:val="30"/>
          <w:lang w:val="en-US" w:eastAsia="zh-CN"/>
        </w:rPr>
        <w:t>26.59</w:t>
      </w:r>
      <w:r>
        <w:rPr>
          <w:rFonts w:hint="eastAsia" w:ascii="宋体" w:hAnsi="宋体" w:eastAsia="宋体" w:cs="宋体"/>
          <w:b w:val="0"/>
          <w:bCs w:val="0"/>
          <w:spacing w:val="-2"/>
          <w:kern w:val="0"/>
          <w:sz w:val="30"/>
          <w:szCs w:val="30"/>
        </w:rPr>
        <w:t>万元，保障了皇家湖泵站日常管理及日常维护，顺利</w:t>
      </w:r>
      <w:r>
        <w:rPr>
          <w:rFonts w:hint="eastAsia" w:ascii="宋体" w:hAnsi="宋体" w:eastAsia="宋体" w:cs="宋体"/>
          <w:b w:val="0"/>
          <w:bCs w:val="0"/>
          <w:kern w:val="0"/>
          <w:sz w:val="30"/>
          <w:szCs w:val="30"/>
        </w:rPr>
        <w:t>完成长春大圈益阳市资阳区、沅江市和常德市汉寿县三个市区县的4乡镇排涝和皇家湖的排涝削峰任务，使皇家湖灌区5.2万亩耕地、5.1万人口免遭涝旱灾害。</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t>、农村安全</w:t>
      </w:r>
      <w:r>
        <w:rPr>
          <w:rFonts w:hint="eastAsia" w:ascii="宋体" w:hAnsi="宋体" w:eastAsia="宋体" w:cs="宋体"/>
          <w:b w:val="0"/>
          <w:bCs w:val="0"/>
          <w:sz w:val="30"/>
          <w:szCs w:val="30"/>
          <w:lang w:eastAsia="zh-CN"/>
        </w:rPr>
        <w:t>饮水</w:t>
      </w:r>
      <w:r>
        <w:rPr>
          <w:rFonts w:hint="eastAsia" w:ascii="宋体" w:hAnsi="宋体" w:eastAsia="宋体" w:cs="宋体"/>
          <w:b w:val="0"/>
          <w:bCs w:val="0"/>
          <w:sz w:val="30"/>
          <w:szCs w:val="30"/>
        </w:rPr>
        <w:t>及水质监测项目55万元，</w:t>
      </w:r>
      <w:r>
        <w:rPr>
          <w:rFonts w:hint="eastAsia" w:ascii="宋体" w:hAnsi="宋体" w:eastAsia="宋体" w:cs="宋体"/>
          <w:b w:val="0"/>
          <w:bCs w:val="0"/>
          <w:sz w:val="30"/>
          <w:szCs w:val="30"/>
          <w:lang w:eastAsia="zh-CN"/>
        </w:rPr>
        <w:t>用于</w:t>
      </w:r>
      <w:r>
        <w:rPr>
          <w:rFonts w:hint="eastAsia" w:ascii="宋体" w:hAnsi="宋体" w:eastAsia="宋体" w:cs="宋体"/>
          <w:b w:val="0"/>
          <w:bCs w:val="0"/>
          <w:sz w:val="30"/>
          <w:szCs w:val="30"/>
        </w:rPr>
        <w:t>维修改造水厂设施</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输水管网</w:t>
      </w:r>
      <w:r>
        <w:rPr>
          <w:rFonts w:hint="eastAsia" w:ascii="宋体" w:hAnsi="宋体" w:eastAsia="宋体" w:cs="宋体"/>
          <w:b w:val="0"/>
          <w:bCs w:val="0"/>
          <w:sz w:val="30"/>
          <w:szCs w:val="30"/>
          <w:lang w:eastAsia="zh-CN"/>
        </w:rPr>
        <w:t>以及</w:t>
      </w:r>
      <w:r>
        <w:rPr>
          <w:rFonts w:hint="eastAsia" w:ascii="宋体" w:hAnsi="宋体" w:eastAsia="宋体" w:cs="宋体"/>
          <w:b w:val="0"/>
          <w:bCs w:val="0"/>
          <w:sz w:val="30"/>
          <w:szCs w:val="30"/>
        </w:rPr>
        <w:t>区疾控中心定时进行28处水厂水质监测工作，降低了水厂运行成本，保障了水厂正常运行，使</w:t>
      </w:r>
      <w:r>
        <w:rPr>
          <w:rFonts w:hint="eastAsia" w:ascii="宋体" w:hAnsi="宋体" w:eastAsia="宋体" w:cs="宋体"/>
          <w:b w:val="0"/>
          <w:bCs w:val="0"/>
          <w:sz w:val="30"/>
          <w:szCs w:val="30"/>
          <w:lang w:eastAsia="zh-CN"/>
        </w:rPr>
        <w:t>受</w:t>
      </w:r>
      <w:r>
        <w:rPr>
          <w:rFonts w:hint="eastAsia" w:ascii="宋体" w:hAnsi="宋体" w:eastAsia="宋体" w:cs="宋体"/>
          <w:b w:val="0"/>
          <w:bCs w:val="0"/>
          <w:sz w:val="30"/>
          <w:szCs w:val="30"/>
        </w:rPr>
        <w:t xml:space="preserve">益农民喝上了真正“放心水”，降低了疾病发生率，提高广大用水户的生活质量，深受农民好评。 </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w:t>
      </w:r>
      <w:r>
        <w:rPr>
          <w:rFonts w:hint="eastAsia" w:ascii="宋体" w:hAnsi="宋体" w:eastAsia="宋体" w:cs="宋体"/>
          <w:b w:val="0"/>
          <w:bCs w:val="0"/>
          <w:sz w:val="30"/>
          <w:szCs w:val="30"/>
          <w:lang w:eastAsia="zh-CN"/>
        </w:rPr>
        <w:t>河道保洁费</w:t>
      </w:r>
      <w:r>
        <w:rPr>
          <w:rFonts w:hint="eastAsia" w:ascii="宋体" w:hAnsi="宋体" w:eastAsia="宋体" w:cs="宋体"/>
          <w:b w:val="0"/>
          <w:bCs w:val="0"/>
          <w:sz w:val="30"/>
          <w:szCs w:val="30"/>
          <w:lang w:val="en-US" w:eastAsia="zh-CN"/>
        </w:rPr>
        <w:t>20万元，主要用于促进河道保洁常态化、规范化，逐步改善城乡河道生态环境，实现两岸滩涂无垃圾堆积、水面无漂浮废弃物的支出。</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b w:val="0"/>
          <w:bCs w:val="0"/>
          <w:color w:val="212529"/>
          <w:sz w:val="28"/>
          <w:szCs w:val="28"/>
        </w:rPr>
      </w:pPr>
      <w:r>
        <w:rPr>
          <w:rFonts w:hint="eastAsia" w:ascii="宋体" w:hAnsi="宋体" w:eastAsia="宋体" w:cs="宋体"/>
          <w:b w:val="0"/>
          <w:bCs w:val="0"/>
          <w:sz w:val="30"/>
          <w:szCs w:val="30"/>
        </w:rPr>
        <w:t xml:space="preserve"> </w:t>
      </w:r>
      <w:r>
        <w:rPr>
          <w:rFonts w:hint="eastAsia" w:ascii="宋体" w:hAnsi="宋体" w:eastAsia="宋体" w:cs="宋体"/>
          <w:b w:val="0"/>
          <w:bCs w:val="0"/>
          <w:sz w:val="30"/>
          <w:szCs w:val="30"/>
          <w:lang w:val="en-US" w:eastAsia="zh-CN"/>
        </w:rPr>
        <w:t xml:space="preserve">   6</w:t>
      </w:r>
      <w:r>
        <w:rPr>
          <w:rFonts w:hint="eastAsia" w:ascii="宋体" w:hAnsi="宋体" w:eastAsia="宋体" w:cs="宋体"/>
          <w:b w:val="0"/>
          <w:bCs w:val="0"/>
          <w:sz w:val="30"/>
          <w:szCs w:val="30"/>
        </w:rPr>
        <w:t>、水利工程前期费</w:t>
      </w:r>
      <w:r>
        <w:rPr>
          <w:rFonts w:hint="eastAsia" w:ascii="宋体" w:hAnsi="宋体" w:eastAsia="宋体" w:cs="宋体"/>
          <w:b w:val="0"/>
          <w:bCs w:val="0"/>
          <w:sz w:val="30"/>
          <w:szCs w:val="30"/>
          <w:lang w:val="en-US" w:eastAsia="zh-CN"/>
        </w:rPr>
        <w:t>160</w:t>
      </w:r>
      <w:r>
        <w:rPr>
          <w:rFonts w:hint="eastAsia" w:ascii="宋体" w:hAnsi="宋体" w:eastAsia="宋体" w:cs="宋体"/>
          <w:b w:val="0"/>
          <w:bCs w:val="0"/>
          <w:sz w:val="30"/>
          <w:szCs w:val="30"/>
        </w:rPr>
        <w:t>万元，主要用于支付水利项目前期工作费用</w:t>
      </w:r>
      <w:r>
        <w:rPr>
          <w:rFonts w:hint="eastAsia" w:ascii="宋体" w:hAnsi="宋体" w:eastAsia="宋体" w:cs="宋体"/>
          <w:b w:val="0"/>
          <w:bCs w:val="0"/>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三、政府性基金预算支出情况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202</w:t>
      </w:r>
      <w:r>
        <w:rPr>
          <w:rFonts w:hint="eastAsia" w:asciiTheme="majorEastAsia" w:hAnsiTheme="majorEastAsia" w:eastAsiaTheme="majorEastAsia" w:cstheme="majorEastAsia"/>
          <w:b w:val="0"/>
          <w:bCs w:val="0"/>
          <w:color w:val="333333"/>
          <w:sz w:val="28"/>
          <w:szCs w:val="28"/>
          <w:lang w:val="en-US" w:eastAsia="zh-CN"/>
        </w:rPr>
        <w:t>1</w:t>
      </w:r>
      <w:r>
        <w:rPr>
          <w:rFonts w:hint="eastAsia" w:asciiTheme="majorEastAsia" w:hAnsiTheme="majorEastAsia" w:eastAsiaTheme="majorEastAsia" w:cstheme="majorEastAsia"/>
          <w:b w:val="0"/>
          <w:bCs w:val="0"/>
          <w:color w:val="333333"/>
          <w:sz w:val="28"/>
          <w:szCs w:val="28"/>
        </w:rPr>
        <w:t>年</w:t>
      </w:r>
      <w:r>
        <w:rPr>
          <w:rFonts w:hint="eastAsia" w:asciiTheme="majorEastAsia" w:hAnsiTheme="majorEastAsia" w:eastAsiaTheme="majorEastAsia" w:cstheme="majorEastAsia"/>
          <w:b w:val="0"/>
          <w:bCs w:val="0"/>
          <w:color w:val="333333"/>
          <w:sz w:val="28"/>
          <w:szCs w:val="28"/>
          <w:lang w:val="en-US" w:eastAsia="zh-CN"/>
        </w:rPr>
        <w:t>资阳区</w:t>
      </w:r>
      <w:r>
        <w:rPr>
          <w:rFonts w:hint="eastAsia" w:asciiTheme="majorEastAsia" w:hAnsiTheme="majorEastAsia" w:eastAsiaTheme="majorEastAsia" w:cstheme="majorEastAsia"/>
          <w:b w:val="0"/>
          <w:bCs w:val="0"/>
          <w:color w:val="333333"/>
          <w:sz w:val="28"/>
          <w:szCs w:val="28"/>
          <w:lang w:eastAsia="zh-CN"/>
        </w:rPr>
        <w:t>水利局</w:t>
      </w:r>
      <w:r>
        <w:rPr>
          <w:rFonts w:hint="eastAsia" w:asciiTheme="majorEastAsia" w:hAnsiTheme="majorEastAsia" w:eastAsiaTheme="majorEastAsia" w:cstheme="majorEastAsia"/>
          <w:b w:val="0"/>
          <w:bCs w:val="0"/>
          <w:color w:val="333333"/>
          <w:sz w:val="28"/>
          <w:szCs w:val="28"/>
        </w:rPr>
        <w:t>无政府性基金预算。</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四、国有资本经营预算支出情况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lang w:eastAsia="zh-CN"/>
        </w:rPr>
        <w:t>2021</w:t>
      </w:r>
      <w:r>
        <w:rPr>
          <w:rFonts w:hint="eastAsia" w:asciiTheme="majorEastAsia" w:hAnsiTheme="majorEastAsia" w:eastAsiaTheme="majorEastAsia" w:cstheme="majorEastAsia"/>
          <w:b w:val="0"/>
          <w:bCs w:val="0"/>
          <w:color w:val="333333"/>
          <w:sz w:val="28"/>
          <w:szCs w:val="28"/>
        </w:rPr>
        <w:t>年</w:t>
      </w:r>
      <w:r>
        <w:rPr>
          <w:rFonts w:hint="eastAsia" w:asciiTheme="majorEastAsia" w:hAnsiTheme="majorEastAsia" w:eastAsiaTheme="majorEastAsia" w:cstheme="majorEastAsia"/>
          <w:b w:val="0"/>
          <w:bCs w:val="0"/>
          <w:color w:val="333333"/>
          <w:sz w:val="28"/>
          <w:szCs w:val="28"/>
          <w:lang w:val="en-US" w:eastAsia="zh-CN"/>
        </w:rPr>
        <w:t>资阳区</w:t>
      </w:r>
      <w:r>
        <w:rPr>
          <w:rFonts w:hint="eastAsia" w:asciiTheme="majorEastAsia" w:hAnsiTheme="majorEastAsia" w:eastAsiaTheme="majorEastAsia" w:cstheme="majorEastAsia"/>
          <w:b w:val="0"/>
          <w:bCs w:val="0"/>
          <w:color w:val="333333"/>
          <w:sz w:val="28"/>
          <w:szCs w:val="28"/>
          <w:lang w:eastAsia="zh-CN"/>
        </w:rPr>
        <w:t>水利局</w:t>
      </w:r>
      <w:r>
        <w:rPr>
          <w:rFonts w:hint="eastAsia" w:asciiTheme="majorEastAsia" w:hAnsiTheme="majorEastAsia" w:eastAsiaTheme="majorEastAsia" w:cstheme="majorEastAsia"/>
          <w:b w:val="0"/>
          <w:bCs w:val="0"/>
          <w:color w:val="333333"/>
          <w:sz w:val="28"/>
          <w:szCs w:val="28"/>
        </w:rPr>
        <w:t>无国有资本经营预算。</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rPr>
        <w:t>五、社会保险基金预算支出情况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color w:val="333333"/>
          <w:sz w:val="28"/>
          <w:szCs w:val="28"/>
          <w:lang w:eastAsia="zh-CN"/>
        </w:rPr>
        <w:t>2021</w:t>
      </w:r>
      <w:r>
        <w:rPr>
          <w:rFonts w:hint="eastAsia" w:asciiTheme="majorEastAsia" w:hAnsiTheme="majorEastAsia" w:eastAsiaTheme="majorEastAsia" w:cstheme="majorEastAsia"/>
          <w:b w:val="0"/>
          <w:bCs w:val="0"/>
          <w:color w:val="333333"/>
          <w:sz w:val="28"/>
          <w:szCs w:val="28"/>
        </w:rPr>
        <w:t>年</w:t>
      </w:r>
      <w:r>
        <w:rPr>
          <w:rFonts w:hint="eastAsia" w:asciiTheme="majorEastAsia" w:hAnsiTheme="majorEastAsia" w:eastAsiaTheme="majorEastAsia" w:cstheme="majorEastAsia"/>
          <w:b w:val="0"/>
          <w:bCs w:val="0"/>
          <w:color w:val="333333"/>
          <w:sz w:val="28"/>
          <w:szCs w:val="28"/>
          <w:lang w:val="en-US" w:eastAsia="zh-CN"/>
        </w:rPr>
        <w:t>资阳区</w:t>
      </w:r>
      <w:r>
        <w:rPr>
          <w:rFonts w:hint="eastAsia" w:asciiTheme="majorEastAsia" w:hAnsiTheme="majorEastAsia" w:eastAsiaTheme="majorEastAsia" w:cstheme="majorEastAsia"/>
          <w:b w:val="0"/>
          <w:bCs w:val="0"/>
          <w:color w:val="333333"/>
          <w:sz w:val="28"/>
          <w:szCs w:val="28"/>
          <w:lang w:eastAsia="zh-CN"/>
        </w:rPr>
        <w:t>水利局</w:t>
      </w:r>
      <w:r>
        <w:rPr>
          <w:rFonts w:hint="eastAsia" w:asciiTheme="majorEastAsia" w:hAnsiTheme="majorEastAsia" w:eastAsiaTheme="majorEastAsia" w:cstheme="majorEastAsia"/>
          <w:b w:val="0"/>
          <w:bCs w:val="0"/>
          <w:color w:val="333333"/>
          <w:sz w:val="28"/>
          <w:szCs w:val="28"/>
        </w:rPr>
        <w:t>无社会保险基金预算。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right="0" w:firstLine="560" w:firstLineChars="200"/>
        <w:jc w:val="both"/>
        <w:rPr>
          <w:rFonts w:hint="eastAsia" w:asciiTheme="majorEastAsia" w:hAnsiTheme="majorEastAsia" w:eastAsiaTheme="majorEastAsia" w:cstheme="majorEastAsia"/>
          <w:b w:val="0"/>
          <w:bCs w:val="0"/>
          <w:color w:val="333333"/>
          <w:kern w:val="2"/>
          <w:sz w:val="28"/>
          <w:szCs w:val="28"/>
          <w:lang w:val="en-US" w:eastAsia="zh-CN" w:bidi="ar-SA"/>
        </w:rPr>
      </w:pPr>
      <w:r>
        <w:rPr>
          <w:rFonts w:hint="eastAsia" w:asciiTheme="majorEastAsia" w:hAnsiTheme="majorEastAsia" w:eastAsiaTheme="majorEastAsia" w:cstheme="majorEastAsia"/>
          <w:b w:val="0"/>
          <w:bCs w:val="0"/>
          <w:color w:val="333333"/>
          <w:kern w:val="2"/>
          <w:sz w:val="28"/>
          <w:szCs w:val="28"/>
          <w:lang w:val="en-US" w:eastAsia="zh-CN" w:bidi="ar-SA"/>
        </w:rPr>
        <w:t>六、部门整体支出绩效情况</w:t>
      </w:r>
    </w:p>
    <w:p>
      <w:pPr>
        <w:spacing w:line="600" w:lineRule="exact"/>
        <w:ind w:firstLine="420" w:firstLineChars="15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（一）防汛抗旱工作扎实开展</w:t>
      </w:r>
    </w:p>
    <w:p>
      <w:pPr>
        <w:spacing w:line="6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通过做细做实洪涝干旱应对措施，成功防御了近20轮强降雨过程和高温少雨旱情发展，有效减轻了洪涝干旱灾害损失，全力保障了人民群众生产生活不受影响。一是值班备勤。汛期实施24小时值班制度和领导带班制度，每日核对记录水、雨、工情，并向市防办报送值班信息。二是技术支撑。组织水文、气象等部门进行会商，实时分析水雨汛情。会同水利专家综合水雨情发展趋势、全区险工险段情况、各库围和仓库物资储备情况对堤段防守布局、以车以船代仓、防汛物资调配等工作进行合理安排。三是预测预报。依托已建各类监测系统，及时发布预警信息，确保各类信息与突发情况第一时间得到有效处理，全年共发布预警信息5000条。四是工程调度。对水库、涵闸、电排等水利工程进行科学调度，丰水期水库空库待续，电排及时排涝，确保人民生命财产安全；枯水期合理调节上下游水源，确保人畜饮水安全。五是检查督查。汛期，会同两办督查室对各乡镇街道经开区防汛工作进行督查检查，不断查漏补缺，确保万无一失。不定期抽查各乡镇街道经开区的防汛值班情况、水库三类责任人工作情况以及防汛抢险技术队员到位情况。</w:t>
      </w:r>
    </w:p>
    <w:p>
      <w:pPr>
        <w:spacing w:line="600" w:lineRule="exact"/>
        <w:ind w:firstLine="420" w:firstLineChars="15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（二）河湖长制工作有效推进</w:t>
      </w:r>
    </w:p>
    <w:p>
      <w:pPr>
        <w:spacing w:line="6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1.抓基础夯实。</w:t>
      </w:r>
      <w:r>
        <w:rPr>
          <w:rFonts w:hint="eastAsia" w:asciiTheme="majorEastAsia" w:hAnsiTheme="majorEastAsia" w:eastAsiaTheme="majorEastAsia" w:cstheme="majorEastAsia"/>
          <w:b w:val="0"/>
          <w:bCs w:val="0"/>
          <w:snapToGrid w:val="0"/>
          <w:color w:val="000000"/>
          <w:sz w:val="28"/>
          <w:szCs w:val="28"/>
        </w:rPr>
        <w:t>一是高位推动。4月21日召开了由区委、区人大、区政府、区政协四大家班子成员参加的区总河长会议，专题部署河湖长工作。及时调整优化区河长委和区乡村三级河湖长名单，建立起“河湖长+检察长”协作机制，并聚焦问题，突出重点，强化督导，确保工作不脱节、不断档。二是压实责任。将河长制工作纳入绩效考核范围，修订完善了2021年工作要点和考核办法，细化了各级河长及相关单位的工作责任。</w:t>
      </w:r>
      <w:r>
        <w:rPr>
          <w:rFonts w:hint="eastAsia" w:asciiTheme="majorEastAsia" w:hAnsiTheme="majorEastAsia" w:eastAsiaTheme="majorEastAsia" w:cstheme="majorEastAsia"/>
          <w:b w:val="0"/>
          <w:bCs w:val="0"/>
          <w:color w:val="000000"/>
          <w:sz w:val="28"/>
          <w:szCs w:val="28"/>
        </w:rPr>
        <w:t>压实乡镇主体责任，从清淤疏浚、边坡硬化、河道保洁、绿化美化、日常监管等方面着手，将美丽河湖创建工作纳入2021年度河湖长制考核重点内容。</w:t>
      </w:r>
    </w:p>
    <w:p>
      <w:pPr>
        <w:ind w:firstLine="560" w:firstLineChars="200"/>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sz w:val="28"/>
          <w:szCs w:val="28"/>
        </w:rPr>
        <w:t>2.抓长效管理。</w:t>
      </w:r>
      <w:r>
        <w:rPr>
          <w:rFonts w:hint="eastAsia" w:asciiTheme="majorEastAsia" w:hAnsiTheme="majorEastAsia" w:eastAsiaTheme="majorEastAsia" w:cstheme="majorEastAsia"/>
          <w:b w:val="0"/>
          <w:bCs w:val="0"/>
          <w:color w:val="000000"/>
          <w:sz w:val="28"/>
          <w:szCs w:val="28"/>
        </w:rPr>
        <w:t>一是统筹推进重要水体联动联治。组建3支专业打捞队伍，定期对资水干流等重点水域进行拉网式清洁。以黄家湖、迎丰水库等为重点，强化重点河湖及周边地区水产养殖污染治理、禽畜粪污治理、农业面源污染治理，以系统思维强化资江流域、洞庭湖流域生态治理力度。二是切实加强江河湖泊水域岸线管理。以河湖卫星遥感监测成果为切入点，定期对依法取缔的41处非法砂场开展回头看，持续开展“霹雳行动”，严格落实采砂区“禁采期”要求，坚决打击河道盗采砂石行为，实现了资江盗采砂石和非法砂场“双清零”。加大河道日常巡查和联合执法力度，水事违法处理率不断提高，确保了河湖安澜。三是认真抓好饮用水源地保护。完成全区21处集中式供水工程水源地保护划定，组织资金3000万元对水源地周边环境开展专项整治，加强巡查劝导，建立长效管护机制。</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目前，市河长办已以全市河湖长制绩效考核综合排名第一申报省级真抓实干督查激励奖项。</w:t>
      </w:r>
    </w:p>
    <w:p>
      <w:pPr>
        <w:spacing w:line="600" w:lineRule="exact"/>
        <w:ind w:firstLine="560" w:firstLineChars="200"/>
        <w:rPr>
          <w:rFonts w:hint="eastAsia" w:asciiTheme="majorEastAsia" w:hAnsiTheme="majorEastAsia" w:eastAsiaTheme="majorEastAsia" w:cstheme="majorEastAsia"/>
          <w:b w:val="0"/>
          <w:bCs w:val="0"/>
          <w:color w:val="000000"/>
          <w:sz w:val="28"/>
          <w:szCs w:val="28"/>
        </w:rPr>
      </w:pPr>
      <w:r>
        <w:rPr>
          <w:rFonts w:hint="eastAsia" w:asciiTheme="majorEastAsia" w:hAnsiTheme="majorEastAsia" w:eastAsiaTheme="majorEastAsia" w:cstheme="majorEastAsia"/>
          <w:b w:val="0"/>
          <w:bCs w:val="0"/>
          <w:color w:val="000000"/>
          <w:sz w:val="28"/>
          <w:szCs w:val="28"/>
        </w:rPr>
        <w:t>（三）水利建设工作全面加强</w:t>
      </w:r>
    </w:p>
    <w:p>
      <w:pPr>
        <w:spacing w:line="600" w:lineRule="exact"/>
        <w:ind w:firstLine="64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w w:val="99"/>
          <w:sz w:val="28"/>
          <w:szCs w:val="28"/>
        </w:rPr>
        <w:t>克服新冠肺炎疫情影响，认真抓好水利项目建设复工复产，全面加强水利工程质量监管及安全生产，全力推进项目实施。一是益阳市长春涝区（资阳区部分）排涝工程项目已基本完工，项目</w:t>
      </w:r>
      <w:r>
        <w:rPr>
          <w:rFonts w:hint="eastAsia" w:asciiTheme="majorEastAsia" w:hAnsiTheme="majorEastAsia" w:eastAsiaTheme="majorEastAsia" w:cstheme="majorEastAsia"/>
          <w:b w:val="0"/>
          <w:bCs w:val="0"/>
          <w:kern w:val="24"/>
          <w:sz w:val="28"/>
          <w:szCs w:val="28"/>
        </w:rPr>
        <w:t>新建泵站8处3265千瓦，</w:t>
      </w:r>
      <w:r>
        <w:rPr>
          <w:rFonts w:hint="eastAsia" w:asciiTheme="majorEastAsia" w:hAnsiTheme="majorEastAsia" w:eastAsiaTheme="majorEastAsia" w:cstheme="majorEastAsia"/>
          <w:b w:val="0"/>
          <w:bCs w:val="0"/>
          <w:snapToGrid w:val="0"/>
          <w:kern w:val="24"/>
          <w:sz w:val="28"/>
          <w:szCs w:val="28"/>
        </w:rPr>
        <w:t>更新改造泵站9处4760千瓦，整治排水渠14条45千米，整治病险涵闸14座。二是</w:t>
      </w:r>
      <w:r>
        <w:rPr>
          <w:rFonts w:hint="eastAsia" w:asciiTheme="majorEastAsia" w:hAnsiTheme="majorEastAsia" w:eastAsiaTheme="majorEastAsia" w:cstheme="majorEastAsia"/>
          <w:b w:val="0"/>
          <w:bCs w:val="0"/>
          <w:sz w:val="28"/>
          <w:szCs w:val="28"/>
        </w:rPr>
        <w:t>黄家湖灌区节水配套改造项目基本完成。三是</w:t>
      </w:r>
      <w:r>
        <w:rPr>
          <w:rFonts w:hint="eastAsia" w:asciiTheme="majorEastAsia" w:hAnsiTheme="majorEastAsia" w:eastAsiaTheme="majorEastAsia" w:cstheme="majorEastAsia"/>
          <w:b w:val="0"/>
          <w:bCs w:val="0"/>
          <w:w w:val="99"/>
          <w:sz w:val="28"/>
          <w:szCs w:val="28"/>
          <w:lang w:val="zh-CN"/>
        </w:rPr>
        <w:t>智慧泵站运维平台建设正稳步推进，目前已有20处外排泵站接入智慧运维平台，投入运行16处，预计年底将全部实现自动监控。</w:t>
      </w:r>
      <w:r>
        <w:rPr>
          <w:rFonts w:hint="eastAsia" w:asciiTheme="majorEastAsia" w:hAnsiTheme="majorEastAsia" w:eastAsiaTheme="majorEastAsia" w:cstheme="majorEastAsia"/>
          <w:b w:val="0"/>
          <w:bCs w:val="0"/>
          <w:sz w:val="28"/>
          <w:szCs w:val="28"/>
        </w:rPr>
        <w:t>四是完成了迎丰南干渠水毁修复、莫春塘、曙光村、三塘坝等2020年险情整治工程。五是农村小水源供水能力恢复项目，实施山塘200口。目前已全部完成任务。六是茈湖口河中小河流治理项目正加紧施工，目前已完成40%。</w:t>
      </w:r>
      <w:r>
        <w:rPr>
          <w:rFonts w:hint="eastAsia" w:asciiTheme="majorEastAsia" w:hAnsiTheme="majorEastAsia" w:eastAsiaTheme="majorEastAsia" w:cstheme="majorEastAsia"/>
          <w:b w:val="0"/>
          <w:bCs w:val="0"/>
          <w:w w:val="99"/>
          <w:sz w:val="28"/>
          <w:szCs w:val="28"/>
          <w:lang w:val="zh-CN"/>
        </w:rPr>
        <w:t>七是</w:t>
      </w:r>
      <w:r>
        <w:rPr>
          <w:rFonts w:hint="eastAsia" w:asciiTheme="majorEastAsia" w:hAnsiTheme="majorEastAsia" w:eastAsiaTheme="majorEastAsia" w:cstheme="majorEastAsia"/>
          <w:b w:val="0"/>
          <w:bCs w:val="0"/>
          <w:sz w:val="28"/>
          <w:szCs w:val="28"/>
        </w:rPr>
        <w:t>民主垸何家湾处险工程，汛前采取水下抛填深坑和固脚的方式进行处置，已完成抛填砂石近16.5万吨。目前正实施雷诺护坡和对坡面滑动部位土方换填，余下工程预计于明年1月完工。目前，市水利局已以全市水利建设绩效考核排名第二申报省级真抓实干督查激励奖项。</w:t>
      </w:r>
    </w:p>
    <w:p>
      <w:pPr>
        <w:spacing w:line="600" w:lineRule="exact"/>
        <w:ind w:firstLine="64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（四）行业管理成效显著</w:t>
      </w:r>
    </w:p>
    <w:p>
      <w:pPr>
        <w:widowControl/>
        <w:spacing w:line="600" w:lineRule="exact"/>
        <w:ind w:firstLine="554" w:firstLineChars="200"/>
        <w:jc w:val="lef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w w:val="99"/>
          <w:sz w:val="28"/>
          <w:szCs w:val="28"/>
          <w:lang w:val="zh-CN"/>
        </w:rPr>
        <w:t>1.水资源管理强效推进。一是</w:t>
      </w:r>
      <w:r>
        <w:rPr>
          <w:rFonts w:hint="eastAsia" w:asciiTheme="majorEastAsia" w:hAnsiTheme="majorEastAsia" w:eastAsiaTheme="majorEastAsia" w:cstheme="majorEastAsia"/>
          <w:b w:val="0"/>
          <w:bCs w:val="0"/>
          <w:color w:val="000000"/>
          <w:kern w:val="0"/>
          <w:sz w:val="28"/>
          <w:szCs w:val="28"/>
        </w:rPr>
        <w:t>严格按照要求，规范全区取水许可的管理，至目前共下发取水许可证的单位65家，并全部录入取水许可登记系统。</w:t>
      </w:r>
      <w:r>
        <w:rPr>
          <w:rFonts w:hint="eastAsia" w:asciiTheme="majorEastAsia" w:hAnsiTheme="majorEastAsia" w:eastAsiaTheme="majorEastAsia" w:cstheme="majorEastAsia"/>
          <w:b w:val="0"/>
          <w:bCs w:val="0"/>
          <w:sz w:val="28"/>
          <w:szCs w:val="28"/>
        </w:rPr>
        <w:t>今年1月，我区全面启用取水许可电子证照，至6月底，已全面完成取水许可证历史存量数据的电子化转换。二是全区用水调查对象80个已录入用水统计调查直报系统，实现了取水量5万吨及以上的重点取水户每季度用水量监测，用水量5万吨以下的用水户每年用水数据监测。三是对全区下发了取水许可证的用水户（不含农饮水厂）安装了计量设施，每季度上门对各取水户的计量设施进行检查登记，进一步规范了水资源费收缴。四是加大了水土保持方案编制及执行力度，全年审批水土保持项目11个，收取水土保持补偿费38万元。五是区县域节水型社会达标建设现场评估工作已完成，正在做迎接省级行政验收和水利部复核验收准备。</w:t>
      </w:r>
    </w:p>
    <w:p>
      <w:pPr>
        <w:spacing w:line="600" w:lineRule="exact"/>
        <w:ind w:firstLine="554" w:firstLineChars="200"/>
        <w:rPr>
          <w:rFonts w:hint="eastAsia" w:asciiTheme="majorEastAsia" w:hAnsiTheme="majorEastAsia" w:eastAsiaTheme="majorEastAsia" w:cstheme="majorEastAsia"/>
          <w:b w:val="0"/>
          <w:bCs w:val="0"/>
          <w:w w:val="99"/>
          <w:sz w:val="28"/>
          <w:szCs w:val="28"/>
          <w:lang w:val="zh-CN"/>
        </w:rPr>
      </w:pPr>
      <w:r>
        <w:rPr>
          <w:rFonts w:hint="eastAsia" w:asciiTheme="majorEastAsia" w:hAnsiTheme="majorEastAsia" w:eastAsiaTheme="majorEastAsia" w:cstheme="majorEastAsia"/>
          <w:b w:val="0"/>
          <w:bCs w:val="0"/>
          <w:w w:val="99"/>
          <w:sz w:val="28"/>
          <w:szCs w:val="28"/>
          <w:lang w:val="zh-CN"/>
        </w:rPr>
        <w:t>2.砂石市场管理更加有序。</w:t>
      </w:r>
      <w:r>
        <w:rPr>
          <w:rFonts w:hint="eastAsia" w:asciiTheme="majorEastAsia" w:hAnsiTheme="majorEastAsia" w:eastAsiaTheme="majorEastAsia" w:cstheme="majorEastAsia"/>
          <w:b w:val="0"/>
          <w:bCs w:val="0"/>
          <w:sz w:val="28"/>
          <w:szCs w:val="28"/>
        </w:rPr>
        <w:t>继续推行“水利+公安”模式，健全打击非法采砂部门联动协作机制，对全区砂石场和河道采砂区域进行共管共治、严管严治；在已实施砂石开采的水域完善实时在线监控系统，实行禁采区管理，落实昼采夜停制和采运管理凭单制，对采运砂船实行红黑名单管理，严格落实“六控”措施和签单发航、排档叫号制度,确保采砂作业和水上交通安全；</w:t>
      </w:r>
      <w:r>
        <w:rPr>
          <w:rFonts w:hint="eastAsia" w:asciiTheme="majorEastAsia" w:hAnsiTheme="majorEastAsia" w:eastAsiaTheme="majorEastAsia" w:cstheme="majorEastAsia"/>
          <w:b w:val="0"/>
          <w:bCs w:val="0"/>
          <w:w w:val="99"/>
          <w:sz w:val="28"/>
          <w:szCs w:val="28"/>
          <w:lang w:val="zh-CN"/>
        </w:rPr>
        <w:t>加紧推进明朗水域采砂规划调整认证和</w:t>
      </w:r>
    </w:p>
    <w:p>
      <w:pPr>
        <w:spacing w:line="600" w:lineRule="exac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w w:val="99"/>
          <w:sz w:val="28"/>
          <w:szCs w:val="28"/>
          <w:lang w:val="zh-CN"/>
        </w:rPr>
        <w:t>黄荆湖、长泊湖两大内湖疏浚实施方案编制，以促早时开采，确保市场供应。</w:t>
      </w:r>
    </w:p>
    <w:p>
      <w:pPr>
        <w:snapToGrid w:val="0"/>
        <w:spacing w:line="580" w:lineRule="exact"/>
        <w:ind w:firstLine="560" w:firstLineChars="200"/>
        <w:rPr>
          <w:rFonts w:hint="eastAsia" w:asciiTheme="majorEastAsia" w:hAnsiTheme="majorEastAsia" w:eastAsiaTheme="majorEastAsia" w:cstheme="majorEastAsia"/>
          <w:b w:val="0"/>
          <w:bCs w:val="0"/>
          <w:color w:val="333333"/>
          <w:sz w:val="28"/>
          <w:szCs w:val="28"/>
        </w:rPr>
      </w:pPr>
      <w:r>
        <w:rPr>
          <w:rFonts w:hint="eastAsia" w:asciiTheme="majorEastAsia" w:hAnsiTheme="majorEastAsia" w:eastAsiaTheme="majorEastAsia" w:cstheme="majorEastAsia"/>
          <w:b w:val="0"/>
          <w:bCs w:val="0"/>
          <w:sz w:val="28"/>
          <w:szCs w:val="28"/>
        </w:rPr>
        <w:t>（五）中心工作稳步推进</w:t>
      </w:r>
    </w:p>
    <w:p>
      <w:pPr>
        <w:spacing w:line="580" w:lineRule="exact"/>
        <w:ind w:firstLine="554" w:firstLineChars="200"/>
        <w:rPr>
          <w:rFonts w:hint="eastAsia" w:asciiTheme="majorEastAsia" w:hAnsiTheme="majorEastAsia" w:eastAsiaTheme="majorEastAsia" w:cstheme="majorEastAsia"/>
          <w:b w:val="0"/>
          <w:bCs w:val="0"/>
          <w:w w:val="99"/>
          <w:sz w:val="28"/>
          <w:szCs w:val="28"/>
        </w:rPr>
      </w:pPr>
      <w:r>
        <w:rPr>
          <w:rFonts w:hint="eastAsia" w:asciiTheme="majorEastAsia" w:hAnsiTheme="majorEastAsia" w:eastAsiaTheme="majorEastAsia" w:cstheme="majorEastAsia"/>
          <w:b w:val="0"/>
          <w:bCs w:val="0"/>
          <w:w w:val="99"/>
          <w:sz w:val="28"/>
          <w:szCs w:val="28"/>
        </w:rPr>
        <w:t>一是乡村振兴方面。2021年是乡村振兴的开局之年，我局深入学习领会习近平总书记关于脱贫攻坚、全面小康的重要论述，对照省市区乡村振兴工作要求，派出“第一书记”带领工作队，驻村扎实开展相关工作，高质量地完成了区里分配的各项任务，积极助力乡村振兴。二是创文创卫方面。</w:t>
      </w:r>
      <w:r>
        <w:rPr>
          <w:rFonts w:hint="eastAsia" w:asciiTheme="majorEastAsia" w:hAnsiTheme="majorEastAsia" w:eastAsiaTheme="majorEastAsia" w:cstheme="majorEastAsia"/>
          <w:b w:val="0"/>
          <w:bCs w:val="0"/>
          <w:sz w:val="28"/>
          <w:szCs w:val="28"/>
        </w:rPr>
        <w:t>为全面贯彻落实区委、区政府创建全国文明城市的工作部署，切实搞好机关庭院达标建设，创建整洁、有序的生活、办公环境，并结合节水型机关创建要求，对局机关大院、办公楼进行了全面维修改造和节水设施建设，通过了</w:t>
      </w:r>
      <w:r>
        <w:rPr>
          <w:rFonts w:hint="eastAsia" w:asciiTheme="majorEastAsia" w:hAnsiTheme="majorEastAsia" w:eastAsiaTheme="majorEastAsia" w:cstheme="majorEastAsia"/>
          <w:b w:val="0"/>
          <w:bCs w:val="0"/>
          <w:w w:val="99"/>
          <w:sz w:val="28"/>
          <w:szCs w:val="28"/>
        </w:rPr>
        <w:t>创文验收</w:t>
      </w: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w w:val="99"/>
          <w:sz w:val="28"/>
          <w:szCs w:val="28"/>
        </w:rPr>
        <w:t>三是扫黑除恶方面。持续推进水利系统扫黑除恶专项行动，水利建设施工环境</w:t>
      </w:r>
      <w:r>
        <w:rPr>
          <w:rFonts w:hint="eastAsia" w:asciiTheme="majorEastAsia" w:hAnsiTheme="majorEastAsia" w:eastAsiaTheme="majorEastAsia" w:cstheme="majorEastAsia"/>
          <w:b w:val="0"/>
          <w:bCs w:val="0"/>
          <w:color w:val="333333"/>
          <w:sz w:val="28"/>
          <w:szCs w:val="28"/>
          <w:shd w:val="clear" w:color="auto" w:fill="FFFFFF"/>
        </w:rPr>
        <w:t>和砂石市场管理秩序稳中向好。</w:t>
      </w:r>
      <w:r>
        <w:rPr>
          <w:rFonts w:hint="eastAsia" w:asciiTheme="majorEastAsia" w:hAnsiTheme="majorEastAsia" w:eastAsiaTheme="majorEastAsia" w:cstheme="majorEastAsia"/>
          <w:b w:val="0"/>
          <w:bCs w:val="0"/>
          <w:w w:val="99"/>
          <w:sz w:val="28"/>
          <w:szCs w:val="28"/>
        </w:rPr>
        <w:t>四是专项行动方面。结合我局以全面推行河（湖）长制为抓手，把长江经济带审计和中央、省环保督查问题整改作为工作切入点，扎实开展“洞庭清波”、</w:t>
      </w:r>
      <w:r>
        <w:rPr>
          <w:rFonts w:hint="eastAsia" w:asciiTheme="majorEastAsia" w:hAnsiTheme="majorEastAsia" w:eastAsiaTheme="majorEastAsia" w:cstheme="majorEastAsia"/>
          <w:b w:val="0"/>
          <w:bCs w:val="0"/>
          <w:sz w:val="28"/>
          <w:szCs w:val="28"/>
        </w:rPr>
        <w:t>“建设无欠薪工地” 专项行动 和招投标突出问题专项整治等，</w:t>
      </w:r>
      <w:r>
        <w:rPr>
          <w:rFonts w:hint="eastAsia" w:asciiTheme="majorEastAsia" w:hAnsiTheme="majorEastAsia" w:eastAsiaTheme="majorEastAsia" w:cstheme="majorEastAsia"/>
          <w:b w:val="0"/>
          <w:bCs w:val="0"/>
          <w:w w:val="99"/>
          <w:sz w:val="28"/>
          <w:szCs w:val="28"/>
        </w:rPr>
        <w:t>大力推进“蓝天保卫战”和“污染防治攻坚战”，取得较好成绩。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333333"/>
          <w:kern w:val="2"/>
          <w:sz w:val="28"/>
          <w:szCs w:val="28"/>
          <w:shd w:val="clear" w:color="auto" w:fill="FFFFFF"/>
          <w:lang w:val="en-US" w:eastAsia="zh-CN" w:bidi="ar-SA"/>
        </w:rPr>
      </w:pPr>
      <w:r>
        <w:rPr>
          <w:rFonts w:hint="eastAsia" w:asciiTheme="majorEastAsia" w:hAnsiTheme="majorEastAsia" w:eastAsiaTheme="majorEastAsia" w:cstheme="majorEastAsia"/>
          <w:b w:val="0"/>
          <w:bCs w:val="0"/>
          <w:color w:val="333333"/>
          <w:kern w:val="2"/>
          <w:sz w:val="28"/>
          <w:szCs w:val="28"/>
          <w:shd w:val="clear" w:color="auto" w:fill="FFFFFF"/>
          <w:lang w:val="en-US" w:eastAsia="zh-CN" w:bidi="ar-SA"/>
        </w:rPr>
        <w:t>（二）主要绩效及评价结论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2021</w:t>
      </w:r>
      <w:r>
        <w:rPr>
          <w:rFonts w:hint="eastAsia" w:ascii="宋体" w:hAnsi="宋体" w:eastAsia="宋体" w:cs="宋体"/>
          <w:b w:val="0"/>
          <w:bCs w:val="0"/>
          <w:sz w:val="30"/>
          <w:szCs w:val="30"/>
        </w:rPr>
        <w:t>年，我局通过积极作为，强化制度</w:t>
      </w:r>
      <w:r>
        <w:rPr>
          <w:rFonts w:hint="eastAsia" w:ascii="宋体" w:hAnsi="宋体" w:eastAsia="宋体" w:cs="宋体"/>
          <w:b w:val="0"/>
          <w:bCs w:val="0"/>
          <w:sz w:val="30"/>
          <w:szCs w:val="30"/>
          <w:lang w:eastAsia="zh-CN"/>
        </w:rPr>
        <w:t>建设</w:t>
      </w:r>
      <w:r>
        <w:rPr>
          <w:rFonts w:hint="eastAsia" w:ascii="宋体" w:hAnsi="宋体" w:eastAsia="宋体" w:cs="宋体"/>
          <w:b w:val="0"/>
          <w:bCs w:val="0"/>
          <w:sz w:val="30"/>
          <w:szCs w:val="30"/>
        </w:rPr>
        <w:t>，增强内部管理，较好的完成了年度工作目标。通过加强预算收支管理，不断建立健全内部管理制度，梳理内部管理流程，部门整体支出管理水平得到提升。根据部门整体支出绩效评价指标体系，我单位</w:t>
      </w:r>
      <w:r>
        <w:rPr>
          <w:rFonts w:hint="eastAsia" w:ascii="宋体" w:hAnsi="宋体" w:eastAsia="宋体" w:cs="宋体"/>
          <w:b w:val="0"/>
          <w:bCs w:val="0"/>
          <w:sz w:val="30"/>
          <w:szCs w:val="30"/>
          <w:lang w:eastAsia="zh-CN"/>
        </w:rPr>
        <w:t>2021</w:t>
      </w:r>
      <w:r>
        <w:rPr>
          <w:rFonts w:hint="eastAsia" w:ascii="宋体" w:hAnsi="宋体" w:eastAsia="宋体" w:cs="宋体"/>
          <w:b w:val="0"/>
          <w:bCs w:val="0"/>
          <w:sz w:val="30"/>
          <w:szCs w:val="30"/>
        </w:rPr>
        <w:t>年度评价得分为96分</w:t>
      </w:r>
      <w:r>
        <w:rPr>
          <w:rFonts w:hint="eastAsia" w:ascii="宋体" w:hAnsi="宋体" w:eastAsia="宋体" w:cs="宋体"/>
          <w:b w:val="0"/>
          <w:bCs w:val="0"/>
          <w:sz w:val="30"/>
          <w:szCs w:val="30"/>
          <w:lang w:val="en-US" w:eastAsia="zh-CN"/>
        </w:rPr>
        <w:t>,结论为“优”</w:t>
      </w:r>
      <w:r>
        <w:rPr>
          <w:rFonts w:hint="eastAsia" w:ascii="宋体" w:hAnsi="宋体" w:eastAsia="宋体" w:cs="宋体"/>
          <w:b w:val="0"/>
          <w:bCs w:val="0"/>
          <w:sz w:val="30"/>
          <w:szCs w:val="30"/>
          <w:lang w:eastAsia="zh-CN"/>
        </w:rPr>
        <w:t>。</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七、存在的问题及原因分析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000000"/>
          <w:sz w:val="28"/>
          <w:szCs w:val="28"/>
          <w:lang w:val="en-US" w:eastAsia="zh-CN"/>
        </w:rPr>
      </w:pPr>
      <w:r>
        <w:rPr>
          <w:rFonts w:hint="eastAsia" w:asciiTheme="majorEastAsia" w:hAnsiTheme="majorEastAsia" w:eastAsiaTheme="majorEastAsia" w:cstheme="majorEastAsia"/>
          <w:b w:val="0"/>
          <w:bCs w:val="0"/>
          <w:color w:val="000000"/>
          <w:sz w:val="28"/>
          <w:szCs w:val="28"/>
          <w:lang w:val="en-US" w:eastAsia="zh-CN"/>
        </w:rPr>
        <w:t>1.</w:t>
      </w:r>
      <w:r>
        <w:rPr>
          <w:rFonts w:hint="eastAsia" w:asciiTheme="majorEastAsia" w:hAnsiTheme="majorEastAsia" w:eastAsiaTheme="majorEastAsia" w:cstheme="majorEastAsia"/>
          <w:b w:val="0"/>
          <w:bCs w:val="0"/>
          <w:color w:val="000000"/>
          <w:sz w:val="28"/>
          <w:szCs w:val="28"/>
        </w:rPr>
        <w:t>人员公用经费预算运转不足正常经费运转紧张</w:t>
      </w:r>
      <w:r>
        <w:rPr>
          <w:rFonts w:hint="eastAsia" w:asciiTheme="majorEastAsia" w:hAnsiTheme="majorEastAsia" w:eastAsiaTheme="majorEastAsia" w:cstheme="majorEastAsia"/>
          <w:b w:val="0"/>
          <w:bCs w:val="0"/>
          <w:color w:val="000000"/>
          <w:sz w:val="28"/>
          <w:szCs w:val="28"/>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000000"/>
          <w:sz w:val="28"/>
          <w:szCs w:val="28"/>
        </w:rPr>
      </w:pPr>
      <w:r>
        <w:rPr>
          <w:rFonts w:hint="eastAsia" w:asciiTheme="majorEastAsia" w:hAnsiTheme="majorEastAsia" w:eastAsiaTheme="majorEastAsia" w:cstheme="majorEastAsia"/>
          <w:b w:val="0"/>
          <w:bCs w:val="0"/>
          <w:color w:val="000000"/>
          <w:sz w:val="28"/>
          <w:szCs w:val="28"/>
          <w:lang w:val="en-US" w:eastAsia="zh-CN"/>
        </w:rPr>
        <w:t>2.</w:t>
      </w:r>
      <w:r>
        <w:rPr>
          <w:rFonts w:hint="eastAsia" w:asciiTheme="majorEastAsia" w:hAnsiTheme="majorEastAsia" w:eastAsiaTheme="majorEastAsia" w:cstheme="majorEastAsia"/>
          <w:b w:val="0"/>
          <w:bCs w:val="0"/>
          <w:color w:val="000000"/>
          <w:sz w:val="28"/>
          <w:szCs w:val="28"/>
        </w:rPr>
        <w:t>固定资产管理需进一步加强。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八、下一步改进措施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firstLine="420"/>
        <w:jc w:val="both"/>
        <w:rPr>
          <w:rFonts w:hint="eastAsia" w:asciiTheme="majorEastAsia" w:hAnsiTheme="majorEastAsia" w:eastAsiaTheme="majorEastAsia" w:cstheme="majorEastAsia"/>
          <w:b w:val="0"/>
          <w:bCs w:val="0"/>
          <w:color w:val="000000"/>
          <w:sz w:val="28"/>
          <w:szCs w:val="28"/>
          <w:lang w:val="en-US" w:eastAsia="zh-CN"/>
        </w:rPr>
      </w:pPr>
      <w:r>
        <w:rPr>
          <w:rFonts w:hint="eastAsia" w:asciiTheme="majorEastAsia" w:hAnsiTheme="majorEastAsia" w:eastAsiaTheme="majorEastAsia" w:cstheme="majorEastAsia"/>
          <w:b w:val="0"/>
          <w:bCs w:val="0"/>
          <w:color w:val="000000"/>
          <w:sz w:val="28"/>
          <w:szCs w:val="28"/>
          <w:lang w:val="en-US" w:eastAsia="zh-CN"/>
        </w:rPr>
        <w:t>1.加强预算管理，定期做好预算执行情况分析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right="0" w:rightChars="0" w:firstLine="280" w:firstLineChars="100"/>
        <w:jc w:val="both"/>
        <w:rPr>
          <w:rFonts w:hint="eastAsia" w:asciiTheme="majorEastAsia" w:hAnsiTheme="majorEastAsia" w:eastAsiaTheme="majorEastAsia" w:cstheme="majorEastAsia"/>
          <w:b w:val="0"/>
          <w:bCs w:val="0"/>
          <w:color w:val="000000"/>
          <w:sz w:val="28"/>
          <w:szCs w:val="28"/>
          <w:lang w:eastAsia="zh-CN"/>
        </w:rPr>
      </w:pPr>
      <w:r>
        <w:rPr>
          <w:rFonts w:hint="eastAsia" w:asciiTheme="majorEastAsia" w:hAnsiTheme="majorEastAsia" w:eastAsiaTheme="majorEastAsia" w:cstheme="majorEastAsia"/>
          <w:b w:val="0"/>
          <w:bCs w:val="0"/>
          <w:color w:val="000000"/>
          <w:sz w:val="28"/>
          <w:szCs w:val="28"/>
          <w:lang w:val="en-US" w:eastAsia="zh-CN"/>
        </w:rPr>
        <w:t>2.足额保障人员</w:t>
      </w:r>
      <w:r>
        <w:rPr>
          <w:rFonts w:hint="eastAsia" w:asciiTheme="majorEastAsia" w:hAnsiTheme="majorEastAsia" w:eastAsiaTheme="majorEastAsia" w:cstheme="majorEastAsia"/>
          <w:b w:val="0"/>
          <w:bCs w:val="0"/>
          <w:color w:val="000000"/>
          <w:sz w:val="28"/>
          <w:szCs w:val="28"/>
        </w:rPr>
        <w:t>经费，稳定基层水利队伍</w:t>
      </w:r>
      <w:r>
        <w:rPr>
          <w:rFonts w:hint="eastAsia" w:asciiTheme="majorEastAsia" w:hAnsiTheme="majorEastAsia" w:eastAsiaTheme="majorEastAsia" w:cstheme="majorEastAsia"/>
          <w:b w:val="0"/>
          <w:bCs w:val="0"/>
          <w:color w:val="000000"/>
          <w:sz w:val="28"/>
          <w:szCs w:val="28"/>
          <w:lang w:eastAsia="zh-CN"/>
        </w:rPr>
        <w:t>。</w:t>
      </w:r>
    </w:p>
    <w:p>
      <w:pPr>
        <w:pStyle w:val="6"/>
        <w:keepNext w:val="0"/>
        <w:keepLines w:val="0"/>
        <w:widowControl/>
        <w:suppressLineNumbers w:val="0"/>
        <w:spacing w:before="0" w:beforeAutospacing="0" w:after="0" w:afterAutospacing="0" w:line="33" w:lineRule="atLeast"/>
        <w:ind w:left="-225" w:right="-225" w:firstLine="420"/>
        <w:jc w:val="both"/>
        <w:rPr>
          <w:rFonts w:hint="eastAsia" w:asciiTheme="majorEastAsia" w:hAnsiTheme="majorEastAsia" w:eastAsiaTheme="majorEastAsia" w:cstheme="majorEastAsia"/>
          <w:b w:val="0"/>
          <w:bCs w:val="0"/>
          <w:i w:val="0"/>
          <w:iCs w:val="0"/>
          <w:caps w:val="0"/>
          <w:color w:val="646464"/>
          <w:spacing w:val="0"/>
          <w:sz w:val="28"/>
          <w:szCs w:val="28"/>
          <w:shd w:val="clear" w:fill="FFFFFF"/>
        </w:rPr>
      </w:pPr>
      <w:r>
        <w:rPr>
          <w:rFonts w:hint="eastAsia" w:asciiTheme="majorEastAsia" w:hAnsiTheme="majorEastAsia" w:eastAsiaTheme="majorEastAsia" w:cstheme="majorEastAsia"/>
          <w:b w:val="0"/>
          <w:bCs w:val="0"/>
          <w:color w:val="000000"/>
          <w:sz w:val="28"/>
          <w:szCs w:val="28"/>
          <w:lang w:val="en-US" w:eastAsia="zh-CN"/>
        </w:rPr>
        <w:t>3.</w:t>
      </w:r>
      <w:r>
        <w:rPr>
          <w:rFonts w:hint="eastAsia" w:asciiTheme="majorEastAsia" w:hAnsiTheme="majorEastAsia" w:eastAsiaTheme="majorEastAsia" w:cstheme="majorEastAsia"/>
          <w:b w:val="0"/>
          <w:bCs w:val="0"/>
          <w:color w:val="000000"/>
          <w:sz w:val="28"/>
          <w:szCs w:val="28"/>
        </w:rPr>
        <w:t>完善管理制度，加强资产管理</w:t>
      </w:r>
      <w:r>
        <w:rPr>
          <w:rFonts w:hint="eastAsia" w:asciiTheme="majorEastAsia" w:hAnsiTheme="majorEastAsia" w:eastAsiaTheme="majorEastAsia" w:cstheme="majorEastAsia"/>
          <w:b w:val="0"/>
          <w:bCs w:val="0"/>
          <w:color w:val="000000"/>
          <w:sz w:val="28"/>
          <w:szCs w:val="28"/>
          <w:lang w:eastAsia="zh-CN"/>
        </w:rPr>
        <w:t>，</w:t>
      </w:r>
      <w:r>
        <w:rPr>
          <w:rFonts w:hint="eastAsia" w:asciiTheme="majorEastAsia" w:hAnsiTheme="majorEastAsia" w:eastAsiaTheme="majorEastAsia" w:cstheme="majorEastAsia"/>
          <w:b w:val="0"/>
          <w:bCs w:val="0"/>
          <w:color w:val="212529"/>
          <w:sz w:val="28"/>
          <w:szCs w:val="28"/>
        </w:rPr>
        <w:t>提高固定资产使用效率</w:t>
      </w:r>
      <w:r>
        <w:rPr>
          <w:rFonts w:hint="eastAsia" w:asciiTheme="majorEastAsia" w:hAnsiTheme="majorEastAsia" w:eastAsiaTheme="majorEastAsia" w:cstheme="majorEastAsia"/>
          <w:b w:val="0"/>
          <w:bCs w:val="0"/>
          <w:color w:val="212529"/>
          <w:sz w:val="28"/>
          <w:szCs w:val="28"/>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right="0" w:rightChars="0" w:firstLine="280" w:firstLineChars="100"/>
        <w:jc w:val="both"/>
        <w:rPr>
          <w:rFonts w:hint="eastAsia" w:asciiTheme="majorEastAsia" w:hAnsiTheme="majorEastAsia" w:eastAsiaTheme="majorEastAsia" w:cstheme="majorEastAsia"/>
          <w:b w:val="0"/>
          <w:bCs w:val="0"/>
          <w:color w:val="000000"/>
          <w:sz w:val="28"/>
          <w:szCs w:val="28"/>
          <w:lang w:val="en-US" w:eastAsia="zh-CN"/>
        </w:rPr>
      </w:pPr>
      <w:r>
        <w:rPr>
          <w:rFonts w:hint="eastAsia" w:asciiTheme="majorEastAsia" w:hAnsiTheme="majorEastAsia" w:eastAsiaTheme="majorEastAsia" w:cstheme="majorEastAsia"/>
          <w:b w:val="0"/>
          <w:bCs w:val="0"/>
          <w:color w:val="000000"/>
          <w:sz w:val="28"/>
          <w:szCs w:val="28"/>
          <w:lang w:val="en-US" w:eastAsia="zh-CN"/>
        </w:rPr>
        <w:t>九、部门整体支出绩效自评结果拟应用和公开情况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right="0" w:rightChars="0" w:firstLine="280" w:firstLineChars="100"/>
        <w:jc w:val="both"/>
        <w:rPr>
          <w:rFonts w:hint="eastAsia" w:asciiTheme="majorEastAsia" w:hAnsiTheme="majorEastAsia" w:eastAsiaTheme="majorEastAsia" w:cstheme="majorEastAsia"/>
          <w:b w:val="0"/>
          <w:bCs w:val="0"/>
          <w:color w:val="000000"/>
          <w:sz w:val="28"/>
          <w:szCs w:val="28"/>
          <w:lang w:val="en-US" w:eastAsia="zh-CN"/>
        </w:rPr>
      </w:pPr>
      <w:r>
        <w:rPr>
          <w:rFonts w:hint="eastAsia" w:asciiTheme="majorEastAsia" w:hAnsiTheme="majorEastAsia" w:eastAsiaTheme="majorEastAsia" w:cstheme="majorEastAsia"/>
          <w:b w:val="0"/>
          <w:bCs w:val="0"/>
          <w:color w:val="000000"/>
          <w:sz w:val="28"/>
          <w:szCs w:val="28"/>
          <w:lang w:val="en-US" w:eastAsia="zh-CN"/>
        </w:rPr>
        <w:t>其他需要说明的情况无。</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right="0" w:rightChars="0" w:firstLine="280" w:firstLineChars="100"/>
        <w:jc w:val="both"/>
        <w:rPr>
          <w:rFonts w:hint="eastAsia" w:asciiTheme="majorEastAsia" w:hAnsiTheme="majorEastAsia" w:eastAsiaTheme="majorEastAsia" w:cstheme="majorEastAsia"/>
          <w:b w:val="0"/>
          <w:bCs w:val="0"/>
          <w:color w:val="000000"/>
          <w:sz w:val="28"/>
          <w:szCs w:val="28"/>
          <w:lang w:val="en-US" w:eastAsia="zh-CN"/>
        </w:rPr>
      </w:pPr>
    </w:p>
    <w:p>
      <w:pPr>
        <w:bidi w:val="0"/>
        <w:rPr>
          <w:rFonts w:hint="eastAsia" w:asciiTheme="minorHAnsi" w:hAnsiTheme="minorHAnsi" w:eastAsiaTheme="minorEastAsia" w:cstheme="minorBidi"/>
          <w:b w:val="0"/>
          <w:bCs w:val="0"/>
          <w:kern w:val="2"/>
          <w:sz w:val="21"/>
          <w:szCs w:val="24"/>
          <w:lang w:val="en-US" w:eastAsia="zh-CN" w:bidi="ar-SA"/>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bidi w:val="0"/>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p>
      <w:pPr>
        <w:tabs>
          <w:tab w:val="left" w:pos="1528"/>
        </w:tabs>
        <w:bidi w:val="0"/>
        <w:jc w:val="left"/>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ZjRiNmM1ZDlhZTZlMTQ4ZmQ2MDE3NjVlY2IzN2YifQ=="/>
  </w:docVars>
  <w:rsids>
    <w:rsidRoot w:val="209F6253"/>
    <w:rsid w:val="10F36003"/>
    <w:rsid w:val="12037AC6"/>
    <w:rsid w:val="151430B4"/>
    <w:rsid w:val="1B100169"/>
    <w:rsid w:val="1DC20F58"/>
    <w:rsid w:val="209F6253"/>
    <w:rsid w:val="294716EF"/>
    <w:rsid w:val="327752CB"/>
    <w:rsid w:val="372313B1"/>
    <w:rsid w:val="38CA5FD2"/>
    <w:rsid w:val="3EAA1036"/>
    <w:rsid w:val="48D3748B"/>
    <w:rsid w:val="5C843E4F"/>
    <w:rsid w:val="67406038"/>
    <w:rsid w:val="693370F8"/>
    <w:rsid w:val="6EED138B"/>
    <w:rsid w:val="79646FD1"/>
    <w:rsid w:val="797840E6"/>
    <w:rsid w:val="7C7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styleId="13">
    <w:name w:val="HTML Code"/>
    <w:basedOn w:val="8"/>
    <w:qFormat/>
    <w:uiPriority w:val="0"/>
    <w:rPr>
      <w:rFonts w:ascii="Consolas" w:hAnsi="Consolas" w:eastAsia="Consolas" w:cs="Consolas"/>
      <w:color w:val="E83E8C"/>
      <w:sz w:val="21"/>
      <w:szCs w:val="21"/>
    </w:rPr>
  </w:style>
  <w:style w:type="character" w:styleId="14">
    <w:name w:val="HTML Keyboard"/>
    <w:basedOn w:val="8"/>
    <w:qFormat/>
    <w:uiPriority w:val="0"/>
    <w:rPr>
      <w:rFonts w:hint="default" w:ascii="Consolas" w:hAnsi="Consolas" w:eastAsia="Consolas" w:cs="Consolas"/>
      <w:color w:val="FFFFFF"/>
      <w:sz w:val="21"/>
      <w:szCs w:val="21"/>
      <w:shd w:val="clear" w:fill="212529"/>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bsharetext"/>
    <w:basedOn w:val="8"/>
    <w:qFormat/>
    <w:uiPriority w:val="0"/>
  </w:style>
  <w:style w:type="character" w:customStyle="1" w:styleId="17">
    <w:name w:val="hover20"/>
    <w:basedOn w:val="8"/>
    <w:qFormat/>
    <w:uiPriority w:val="0"/>
    <w:rPr>
      <w:color w:val="000000"/>
      <w:shd w:val="clear" w:fill="FFFFFF"/>
    </w:rPr>
  </w:style>
  <w:style w:type="character" w:customStyle="1" w:styleId="18">
    <w:name w:val="share"/>
    <w:basedOn w:val="8"/>
    <w:qFormat/>
    <w:uiPriority w:val="0"/>
  </w:style>
  <w:style w:type="character" w:customStyle="1" w:styleId="19">
    <w:name w:val="jxz"/>
    <w:basedOn w:val="8"/>
    <w:qFormat/>
    <w:uiPriority w:val="0"/>
    <w:rPr>
      <w:shd w:val="clear" w:fill="71A0D3"/>
    </w:rPr>
  </w:style>
  <w:style w:type="character" w:customStyle="1" w:styleId="20">
    <w:name w:val="wx-space"/>
    <w:basedOn w:val="8"/>
    <w:qFormat/>
    <w:uiPriority w:val="0"/>
  </w:style>
  <w:style w:type="character" w:customStyle="1" w:styleId="21">
    <w:name w:val="wx-space1"/>
    <w:basedOn w:val="8"/>
    <w:qFormat/>
    <w:uiPriority w:val="0"/>
  </w:style>
  <w:style w:type="character" w:customStyle="1" w:styleId="22">
    <w:name w:val="badge-pill2"/>
    <w:basedOn w:val="8"/>
    <w:qFormat/>
    <w:uiPriority w:val="0"/>
  </w:style>
  <w:style w:type="character" w:customStyle="1" w:styleId="23">
    <w:name w:val="badge-pill"/>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4587</Words>
  <Characters>4720</Characters>
  <Lines>0</Lines>
  <Paragraphs>0</Paragraphs>
  <TotalTime>10</TotalTime>
  <ScaleCrop>false</ScaleCrop>
  <LinksUpToDate>false</LinksUpToDate>
  <CharactersWithSpaces>4728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2022-06-14T03:15:00Z</dcterms:created>
  <dc:creator>，歲</dc:creator>
  <cp:lastModifiedBy>Administrator</cp:lastModifiedBy>
  <dcterms:modified xsi:type="dcterms:W3CDTF">2022-09-22T09:16:47Z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D5C941BEDCEB40608319C3B8685FD4D9</vt:lpwstr>
  </property>
</Properties>
</file>