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line="450" w:lineRule="atLeast"/>
        <w:jc w:val="center"/>
        <w:outlineLvl w:val="1"/>
        <w:rPr>
          <w:rFonts w:hint="eastAsia" w:ascii="微软雅黑" w:hAnsi="微软雅黑" w:eastAsia="微软雅黑" w:cs="宋体"/>
          <w:color w:val="414141"/>
          <w:kern w:val="0"/>
          <w:sz w:val="36"/>
          <w:szCs w:val="36"/>
          <w:lang w:eastAsia="zh-CN"/>
        </w:rPr>
      </w:pPr>
      <w:r>
        <w:rPr>
          <w:rFonts w:hint="eastAsia" w:ascii="微软雅黑" w:hAnsi="微软雅黑" w:eastAsia="微软雅黑" w:cs="宋体"/>
          <w:color w:val="414141"/>
          <w:kern w:val="0"/>
          <w:sz w:val="36"/>
          <w:szCs w:val="36"/>
          <w:lang w:eastAsia="zh-CN"/>
        </w:rPr>
        <w:t>资阳区新桥河镇人民政府</w:t>
      </w:r>
    </w:p>
    <w:p>
      <w:pPr>
        <w:widowControl/>
        <w:spacing w:beforeLines="50" w:line="450" w:lineRule="atLeast"/>
        <w:jc w:val="center"/>
        <w:outlineLvl w:val="1"/>
        <w:rPr>
          <w:rFonts w:hint="eastAsia" w:ascii="微软雅黑" w:hAnsi="微软雅黑" w:eastAsia="微软雅黑" w:cs="宋体"/>
          <w:color w:val="414141"/>
          <w:kern w:val="0"/>
          <w:sz w:val="36"/>
          <w:szCs w:val="36"/>
        </w:rPr>
      </w:pPr>
      <w:r>
        <w:rPr>
          <w:rFonts w:hint="eastAsia" w:ascii="微软雅黑" w:hAnsi="微软雅黑" w:eastAsia="微软雅黑" w:cs="宋体"/>
          <w:color w:val="414141"/>
          <w:kern w:val="0"/>
          <w:sz w:val="36"/>
          <w:szCs w:val="36"/>
        </w:rPr>
        <w:t>20</w:t>
      </w:r>
      <w:r>
        <w:rPr>
          <w:rFonts w:hint="eastAsia" w:ascii="微软雅黑" w:hAnsi="微软雅黑" w:eastAsia="微软雅黑" w:cs="宋体"/>
          <w:color w:val="414141"/>
          <w:kern w:val="0"/>
          <w:sz w:val="36"/>
          <w:szCs w:val="36"/>
          <w:lang w:val="en-US" w:eastAsia="zh-CN"/>
        </w:rPr>
        <w:t>21</w:t>
      </w:r>
      <w:r>
        <w:rPr>
          <w:rFonts w:hint="eastAsia" w:ascii="微软雅黑" w:hAnsi="微软雅黑" w:eastAsia="微软雅黑" w:cs="宋体"/>
          <w:color w:val="414141"/>
          <w:kern w:val="0"/>
          <w:sz w:val="36"/>
          <w:szCs w:val="36"/>
        </w:rPr>
        <w:t>年度预算绩效评价自评工作报告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eastAsia"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为</w:t>
      </w:r>
      <w:r>
        <w:rPr>
          <w:rFonts w:hint="eastAsia" w:ascii="仿宋_GB2312" w:hAnsi="微软雅黑" w:eastAsia="仿宋_GB2312" w:cs="仿宋_GB2312"/>
          <w:kern w:val="0"/>
          <w:sz w:val="32"/>
          <w:szCs w:val="32"/>
          <w:lang w:eastAsia="zh-CN"/>
        </w:rPr>
        <w:t>进一步规范</w:t>
      </w:r>
      <w:r>
        <w:rPr>
          <w:rFonts w:hint="eastAsia" w:ascii="仿宋_GB2312" w:hAnsi="微软雅黑" w:eastAsia="仿宋_GB2312" w:cs="仿宋_GB2312"/>
          <w:kern w:val="0"/>
          <w:sz w:val="32"/>
          <w:szCs w:val="32"/>
        </w:rPr>
        <w:t>财政资金管理，强化支出责任，提高财政资金的使用效益，建立科学、合</w:t>
      </w:r>
      <w:bookmarkStart w:id="0" w:name="_GoBack"/>
      <w:bookmarkEnd w:id="0"/>
      <w:r>
        <w:rPr>
          <w:rFonts w:hint="eastAsia" w:ascii="仿宋_GB2312" w:hAnsi="微软雅黑" w:eastAsia="仿宋_GB2312" w:cs="仿宋_GB2312"/>
          <w:kern w:val="0"/>
          <w:sz w:val="32"/>
          <w:szCs w:val="32"/>
        </w:rPr>
        <w:t>理的财政支出绩效评价管理体系，我单位于</w:t>
      </w:r>
      <w:r>
        <w:rPr>
          <w:rFonts w:hint="eastAsia" w:ascii="仿宋_GB2312" w:hAnsi="微软雅黑" w:eastAsia="仿宋_GB2312" w:cs="仿宋_GB2312"/>
          <w:kern w:val="0"/>
          <w:sz w:val="32"/>
          <w:szCs w:val="32"/>
          <w:lang w:val="en-US" w:eastAsia="zh-CN"/>
        </w:rPr>
        <w:t>2022</w:t>
      </w:r>
      <w:r>
        <w:rPr>
          <w:rFonts w:hint="eastAsia" w:ascii="仿宋_GB2312" w:hAnsi="微软雅黑" w:eastAsia="仿宋_GB2312" w:cs="仿宋_GB2312"/>
          <w:kern w:val="0"/>
          <w:sz w:val="32"/>
          <w:szCs w:val="32"/>
        </w:rPr>
        <w:t>年</w:t>
      </w:r>
      <w:r>
        <w:rPr>
          <w:rFonts w:hint="eastAsia" w:ascii="仿宋_GB2312" w:hAnsi="微软雅黑" w:eastAsia="仿宋_GB2312" w:cs="仿宋_GB2312"/>
          <w:kern w:val="0"/>
          <w:sz w:val="32"/>
          <w:szCs w:val="32"/>
          <w:lang w:val="en-US" w:eastAsia="zh-CN"/>
        </w:rPr>
        <w:t>9</w:t>
      </w:r>
      <w:r>
        <w:rPr>
          <w:rFonts w:hint="eastAsia" w:ascii="仿宋_GB2312" w:hAnsi="微软雅黑" w:eastAsia="仿宋_GB2312" w:cs="仿宋_GB2312"/>
          <w:kern w:val="0"/>
          <w:sz w:val="32"/>
          <w:szCs w:val="32"/>
        </w:rPr>
        <w:t>月，组织力量对本单位的部门预算整体支出进行了绩效评价，本次评价遵循了“科学规范、公正公开、分类管理、绩效相关”的原则，运用科学、合理的绩效评价方法，对本单位</w:t>
      </w:r>
      <w:r>
        <w:rPr>
          <w:rFonts w:hint="eastAsia" w:ascii="仿宋_GB2312" w:hAnsi="微软雅黑" w:eastAsia="仿宋_GB2312" w:cs="仿宋_GB2312"/>
          <w:kern w:val="0"/>
          <w:sz w:val="32"/>
          <w:szCs w:val="32"/>
          <w:lang w:val="en-US" w:eastAsia="zh-CN"/>
        </w:rPr>
        <w:t>2021</w:t>
      </w:r>
      <w:r>
        <w:rPr>
          <w:rFonts w:hint="eastAsia" w:ascii="仿宋_GB2312" w:hAnsi="微软雅黑" w:eastAsia="仿宋_GB2312" w:cs="仿宋_GB2312"/>
          <w:kern w:val="0"/>
          <w:sz w:val="32"/>
          <w:szCs w:val="32"/>
        </w:rPr>
        <w:t>度预算绩效情况进行客观、公正的评价。现将情况报告如下：</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基本情况</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资阳区新桥河镇人民政府系科级行政机关，办公地址坐落于资阳区新桥河镇虎形山社区。截至2021年底，新桥河镇人民政府在职实有人数96人，其中：行政编制44人、事业编制52人。资阳区新桥河镇人民政府机关共设19个站所及办公室，分别为：党政办公室、党建办公室、纪委、社会事务办公室、经济发展办公室、重点项目建设管理办公室、自然资源和生态环境办公室、社会治安和应急管理办公室、党群和政务服务中心、社会事务综合服务中心、退役军人服务站、农业综合服务中心、综合行政执法大队、人武部、妇联、团委、工会。</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镇财政所负责全镇的财务管理工作，负责全镇的预算编制管理工作，组织和管理乡镇财政收入和支出，编制执行全镇年度财政预算、总预算，负责监督全镇单位预算执行，编制财政决算、总决算等；负责管理和发放各类政策性补贴资金，进一步完善惠民惠农财政补贴资金“一卡通”发放机制；负责对各类专项资金的监管，特别是对扶贫资金的管理，提高财政资金使用效益；负责我镇行政事业单位国有资产监督管理工作；填报行政事业单位内部控制制度报表及相关资料的收集与整理。</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本单位2021年预算收支情况如下：</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Chars="200" w:right="0" w:rightChars="0"/>
        <w:jc w:val="both"/>
        <w:textAlignment w:val="auto"/>
        <w:rPr>
          <w:rFonts w:hint="eastAsia" w:ascii="仿宋_GB2312" w:hAnsi="微软雅黑" w:eastAsia="仿宋_GB2312" w:cs="仿宋_GB2312"/>
          <w:kern w:val="0"/>
          <w:sz w:val="32"/>
          <w:szCs w:val="32"/>
          <w:lang w:eastAsia="zh-CN"/>
        </w:rPr>
      </w:pPr>
      <w:r>
        <w:rPr>
          <w:rFonts w:hint="eastAsia" w:ascii="仿宋_GB2312" w:hAnsi="微软雅黑" w:eastAsia="仿宋_GB2312" w:cs="仿宋_GB2312"/>
          <w:kern w:val="0"/>
          <w:sz w:val="32"/>
          <w:szCs w:val="32"/>
          <w:lang w:eastAsia="zh-CN"/>
        </w:rPr>
        <w:t>收入情况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_GB2312" w:hAnsi="微软雅黑" w:eastAsia="仿宋_GB2312" w:cs="仿宋_GB2312"/>
          <w:kern w:val="0"/>
          <w:sz w:val="32"/>
          <w:szCs w:val="32"/>
          <w:lang w:eastAsia="zh-CN"/>
        </w:rPr>
      </w:pPr>
      <w:r>
        <w:rPr>
          <w:rFonts w:hint="eastAsia" w:ascii="仿宋_GB2312" w:hAnsi="微软雅黑" w:eastAsia="仿宋_GB2312" w:cs="仿宋_GB2312"/>
          <w:kern w:val="0"/>
          <w:sz w:val="32"/>
          <w:szCs w:val="32"/>
          <w:lang w:eastAsia="zh-CN"/>
        </w:rPr>
        <w:t>收入各项目金额共</w:t>
      </w:r>
      <w:r>
        <w:rPr>
          <w:rFonts w:hint="eastAsia" w:ascii="仿宋_GB2312" w:hAnsi="微软雅黑" w:eastAsia="仿宋_GB2312" w:cs="仿宋_GB2312"/>
          <w:kern w:val="0"/>
          <w:sz w:val="32"/>
          <w:szCs w:val="32"/>
          <w:lang w:val="en-US" w:eastAsia="zh-CN"/>
        </w:rPr>
        <w:t>2191.74</w:t>
      </w:r>
      <w:r>
        <w:rPr>
          <w:rFonts w:hint="eastAsia" w:ascii="仿宋_GB2312" w:hAnsi="微软雅黑" w:eastAsia="仿宋_GB2312" w:cs="仿宋_GB2312"/>
          <w:kern w:val="0"/>
          <w:sz w:val="32"/>
          <w:szCs w:val="32"/>
          <w:lang w:eastAsia="zh-CN"/>
        </w:rPr>
        <w:t xml:space="preserve">万元，其中：一般公共预算拨款 </w:t>
      </w:r>
      <w:r>
        <w:rPr>
          <w:rFonts w:hint="eastAsia" w:ascii="仿宋_GB2312" w:hAnsi="微软雅黑" w:eastAsia="仿宋_GB2312" w:cs="仿宋_GB2312"/>
          <w:kern w:val="0"/>
          <w:sz w:val="32"/>
          <w:szCs w:val="32"/>
          <w:lang w:val="en-US" w:eastAsia="zh-CN"/>
        </w:rPr>
        <w:t>2016.74</w:t>
      </w:r>
      <w:r>
        <w:rPr>
          <w:rFonts w:hint="eastAsia" w:ascii="仿宋_GB2312" w:hAnsi="微软雅黑" w:eastAsia="仿宋_GB2312" w:cs="仿宋_GB2312"/>
          <w:kern w:val="0"/>
          <w:sz w:val="32"/>
          <w:szCs w:val="32"/>
          <w:lang w:eastAsia="zh-CN"/>
        </w:rPr>
        <w:t>万元，纳入专户管理的非税收入拨款0万元，上级补助资金安排</w:t>
      </w:r>
      <w:r>
        <w:rPr>
          <w:rFonts w:hint="eastAsia" w:ascii="仿宋_GB2312" w:hAnsi="微软雅黑" w:eastAsia="仿宋_GB2312" w:cs="仿宋_GB2312"/>
          <w:kern w:val="0"/>
          <w:sz w:val="32"/>
          <w:szCs w:val="32"/>
          <w:lang w:val="en-US" w:eastAsia="zh-CN"/>
        </w:rPr>
        <w:t>0</w:t>
      </w:r>
      <w:r>
        <w:rPr>
          <w:rFonts w:hint="eastAsia" w:ascii="仿宋_GB2312" w:hAnsi="微软雅黑" w:eastAsia="仿宋_GB2312" w:cs="仿宋_GB2312"/>
          <w:kern w:val="0"/>
          <w:sz w:val="32"/>
          <w:szCs w:val="32"/>
          <w:lang w:eastAsia="zh-CN"/>
        </w:rPr>
        <w:t>万元，附属单位上缴收入安排0万元，事业单位经营服务收入0万元，其他收入</w:t>
      </w:r>
      <w:r>
        <w:rPr>
          <w:rFonts w:hint="eastAsia" w:ascii="仿宋_GB2312" w:hAnsi="微软雅黑" w:eastAsia="仿宋_GB2312" w:cs="仿宋_GB2312"/>
          <w:kern w:val="0"/>
          <w:sz w:val="32"/>
          <w:szCs w:val="32"/>
          <w:lang w:val="en-US" w:eastAsia="zh-CN"/>
        </w:rPr>
        <w:t>175</w:t>
      </w:r>
      <w:r>
        <w:rPr>
          <w:rFonts w:hint="eastAsia" w:ascii="仿宋_GB2312" w:hAnsi="微软雅黑" w:eastAsia="仿宋_GB2312" w:cs="仿宋_GB2312"/>
          <w:kern w:val="0"/>
          <w:sz w:val="32"/>
          <w:szCs w:val="32"/>
          <w:lang w:eastAsia="zh-CN"/>
        </w:rPr>
        <w:t>万元，政府性基金拨款0万元，结转结余安排0万元 。</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Chars="200" w:right="0" w:rightChars="0"/>
        <w:jc w:val="both"/>
        <w:textAlignment w:val="auto"/>
        <w:rPr>
          <w:rFonts w:hint="eastAsia" w:ascii="仿宋_GB2312" w:hAnsi="微软雅黑" w:eastAsia="仿宋_GB2312" w:cs="仿宋_GB2312"/>
          <w:kern w:val="0"/>
          <w:sz w:val="32"/>
          <w:szCs w:val="32"/>
          <w:lang w:eastAsia="zh-CN"/>
        </w:rPr>
      </w:pPr>
      <w:r>
        <w:rPr>
          <w:rFonts w:hint="eastAsia" w:ascii="仿宋_GB2312" w:hAnsi="微软雅黑" w:eastAsia="仿宋_GB2312" w:cs="仿宋_GB2312"/>
          <w:kern w:val="0"/>
          <w:sz w:val="32"/>
          <w:szCs w:val="32"/>
          <w:lang w:eastAsia="zh-CN"/>
        </w:rPr>
        <w:t>支出情况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_GB2312" w:hAnsi="微软雅黑" w:eastAsia="仿宋_GB2312" w:cs="仿宋_GB2312"/>
          <w:kern w:val="0"/>
          <w:sz w:val="32"/>
          <w:szCs w:val="32"/>
          <w:lang w:eastAsia="zh-CN"/>
        </w:rPr>
      </w:pPr>
      <w:r>
        <w:rPr>
          <w:rFonts w:hint="eastAsia" w:ascii="仿宋_GB2312" w:hAnsi="微软雅黑" w:eastAsia="仿宋_GB2312" w:cs="仿宋_GB2312"/>
          <w:kern w:val="0"/>
          <w:sz w:val="32"/>
          <w:szCs w:val="32"/>
          <w:lang w:eastAsia="zh-CN"/>
        </w:rPr>
        <w:t>支出各项目金额共</w:t>
      </w:r>
      <w:r>
        <w:rPr>
          <w:rFonts w:hint="eastAsia" w:ascii="仿宋_GB2312" w:hAnsi="微软雅黑" w:eastAsia="仿宋_GB2312" w:cs="仿宋_GB2312"/>
          <w:kern w:val="0"/>
          <w:sz w:val="32"/>
          <w:szCs w:val="32"/>
          <w:lang w:val="en-US" w:eastAsia="zh-CN"/>
        </w:rPr>
        <w:t>2191.74</w:t>
      </w:r>
      <w:r>
        <w:rPr>
          <w:rFonts w:hint="eastAsia" w:ascii="仿宋_GB2312" w:hAnsi="微软雅黑" w:eastAsia="仿宋_GB2312" w:cs="仿宋_GB2312"/>
          <w:kern w:val="0"/>
          <w:sz w:val="32"/>
          <w:szCs w:val="32"/>
          <w:lang w:eastAsia="zh-CN"/>
        </w:rPr>
        <w:t>万元，其中：一般公共服务</w:t>
      </w:r>
      <w:r>
        <w:rPr>
          <w:rFonts w:hint="eastAsia" w:ascii="仿宋_GB2312" w:hAnsi="微软雅黑" w:eastAsia="仿宋_GB2312" w:cs="仿宋_GB2312"/>
          <w:kern w:val="0"/>
          <w:sz w:val="32"/>
          <w:szCs w:val="32"/>
          <w:lang w:val="en-US" w:eastAsia="zh-CN"/>
        </w:rPr>
        <w:t>624.48</w:t>
      </w:r>
      <w:r>
        <w:rPr>
          <w:rFonts w:hint="eastAsia" w:ascii="仿宋_GB2312" w:hAnsi="微软雅黑" w:eastAsia="仿宋_GB2312" w:cs="仿宋_GB2312"/>
          <w:kern w:val="0"/>
          <w:sz w:val="32"/>
          <w:szCs w:val="32"/>
          <w:lang w:eastAsia="zh-CN"/>
        </w:rPr>
        <w:t>万元，科学技术支出5万元，文化旅游体育与传媒支出</w:t>
      </w:r>
      <w:r>
        <w:rPr>
          <w:rFonts w:hint="eastAsia" w:ascii="仿宋_GB2312" w:hAnsi="微软雅黑" w:eastAsia="仿宋_GB2312" w:cs="仿宋_GB2312"/>
          <w:kern w:val="0"/>
          <w:sz w:val="32"/>
          <w:szCs w:val="32"/>
          <w:lang w:val="en-US" w:eastAsia="zh-CN"/>
        </w:rPr>
        <w:t>1万元，</w:t>
      </w:r>
      <w:r>
        <w:rPr>
          <w:rFonts w:hint="eastAsia" w:ascii="仿宋_GB2312" w:hAnsi="微软雅黑" w:eastAsia="仿宋_GB2312" w:cs="仿宋_GB2312"/>
          <w:kern w:val="0"/>
          <w:sz w:val="32"/>
          <w:szCs w:val="32"/>
          <w:lang w:eastAsia="zh-CN"/>
        </w:rPr>
        <w:t>社会保障和就业支出</w:t>
      </w:r>
      <w:r>
        <w:rPr>
          <w:rFonts w:hint="eastAsia" w:ascii="仿宋_GB2312" w:hAnsi="微软雅黑" w:eastAsia="仿宋_GB2312" w:cs="仿宋_GB2312"/>
          <w:kern w:val="0"/>
          <w:sz w:val="32"/>
          <w:szCs w:val="32"/>
          <w:lang w:val="en-US" w:eastAsia="zh-CN"/>
        </w:rPr>
        <w:t>131.66</w:t>
      </w:r>
      <w:r>
        <w:rPr>
          <w:rFonts w:hint="eastAsia" w:ascii="仿宋_GB2312" w:hAnsi="微软雅黑" w:eastAsia="仿宋_GB2312" w:cs="仿宋_GB2312"/>
          <w:kern w:val="0"/>
          <w:sz w:val="32"/>
          <w:szCs w:val="32"/>
          <w:lang w:eastAsia="zh-CN"/>
        </w:rPr>
        <w:t>万元，卫生健康支出</w:t>
      </w:r>
      <w:r>
        <w:rPr>
          <w:rFonts w:hint="eastAsia" w:ascii="仿宋_GB2312" w:hAnsi="微软雅黑" w:eastAsia="仿宋_GB2312" w:cs="仿宋_GB2312"/>
          <w:kern w:val="0"/>
          <w:sz w:val="32"/>
          <w:szCs w:val="32"/>
          <w:lang w:val="en-US" w:eastAsia="zh-CN"/>
        </w:rPr>
        <w:t>135.07</w:t>
      </w:r>
      <w:r>
        <w:rPr>
          <w:rFonts w:hint="eastAsia" w:ascii="仿宋_GB2312" w:hAnsi="微软雅黑" w:eastAsia="仿宋_GB2312" w:cs="仿宋_GB2312"/>
          <w:kern w:val="0"/>
          <w:sz w:val="32"/>
          <w:szCs w:val="32"/>
          <w:lang w:eastAsia="zh-CN"/>
        </w:rPr>
        <w:t>万元，城乡社区支出</w:t>
      </w:r>
      <w:r>
        <w:rPr>
          <w:rFonts w:hint="eastAsia" w:ascii="仿宋_GB2312" w:hAnsi="微软雅黑" w:eastAsia="仿宋_GB2312" w:cs="仿宋_GB2312"/>
          <w:kern w:val="0"/>
          <w:sz w:val="32"/>
          <w:szCs w:val="32"/>
          <w:lang w:val="en-US" w:eastAsia="zh-CN"/>
        </w:rPr>
        <w:t>2</w:t>
      </w:r>
      <w:r>
        <w:rPr>
          <w:rFonts w:hint="eastAsia" w:ascii="仿宋_GB2312" w:hAnsi="微软雅黑" w:eastAsia="仿宋_GB2312" w:cs="仿宋_GB2312"/>
          <w:kern w:val="0"/>
          <w:sz w:val="32"/>
          <w:szCs w:val="32"/>
          <w:lang w:eastAsia="zh-CN"/>
        </w:rPr>
        <w:t>万元，农林水支出</w:t>
      </w:r>
      <w:r>
        <w:rPr>
          <w:rFonts w:hint="eastAsia" w:ascii="仿宋_GB2312" w:hAnsi="微软雅黑" w:eastAsia="仿宋_GB2312" w:cs="仿宋_GB2312"/>
          <w:kern w:val="0"/>
          <w:sz w:val="32"/>
          <w:szCs w:val="32"/>
          <w:lang w:val="en-US" w:eastAsia="zh-CN"/>
        </w:rPr>
        <w:t>1233.73</w:t>
      </w:r>
      <w:r>
        <w:rPr>
          <w:rFonts w:hint="eastAsia" w:ascii="仿宋_GB2312" w:hAnsi="微软雅黑" w:eastAsia="仿宋_GB2312" w:cs="仿宋_GB2312"/>
          <w:kern w:val="0"/>
          <w:sz w:val="32"/>
          <w:szCs w:val="32"/>
          <w:lang w:eastAsia="zh-CN"/>
        </w:rPr>
        <w:t>万元，住房保障支出</w:t>
      </w:r>
      <w:r>
        <w:rPr>
          <w:rFonts w:hint="eastAsia" w:ascii="仿宋_GB2312" w:hAnsi="微软雅黑" w:eastAsia="仿宋_GB2312" w:cs="仿宋_GB2312"/>
          <w:kern w:val="0"/>
          <w:sz w:val="32"/>
          <w:szCs w:val="32"/>
          <w:lang w:val="en-US" w:eastAsia="zh-CN"/>
        </w:rPr>
        <w:t>58.8</w:t>
      </w:r>
      <w:r>
        <w:rPr>
          <w:rFonts w:hint="eastAsia" w:ascii="仿宋_GB2312" w:hAnsi="微软雅黑" w:eastAsia="仿宋_GB2312" w:cs="仿宋_GB2312"/>
          <w:kern w:val="0"/>
          <w:sz w:val="32"/>
          <w:szCs w:val="32"/>
          <w:lang w:eastAsia="zh-CN"/>
        </w:rPr>
        <w:t>万元。</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Chars="200" w:right="0" w:rightChars="0"/>
        <w:jc w:val="both"/>
        <w:textAlignment w:val="auto"/>
        <w:rPr>
          <w:rFonts w:hint="eastAsia" w:ascii="仿宋_GB2312" w:hAnsi="微软雅黑" w:eastAsia="仿宋_GB2312" w:cs="仿宋_GB2312"/>
          <w:kern w:val="0"/>
          <w:sz w:val="32"/>
          <w:szCs w:val="32"/>
          <w:lang w:eastAsia="zh-CN"/>
        </w:rPr>
      </w:pPr>
      <w:r>
        <w:rPr>
          <w:rFonts w:hint="eastAsia" w:ascii="仿宋_GB2312" w:hAnsi="微软雅黑" w:eastAsia="仿宋_GB2312" w:cs="仿宋_GB2312"/>
          <w:kern w:val="0"/>
          <w:sz w:val="32"/>
          <w:szCs w:val="32"/>
          <w:lang w:eastAsia="zh-CN"/>
        </w:rPr>
        <w:t>“三公经费”收支情况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_GB2312" w:hAnsi="微软雅黑" w:eastAsia="仿宋_GB2312" w:cs="仿宋_GB2312"/>
          <w:kern w:val="0"/>
          <w:sz w:val="32"/>
          <w:szCs w:val="32"/>
          <w:lang w:eastAsia="zh-CN"/>
        </w:rPr>
      </w:pPr>
      <w:r>
        <w:rPr>
          <w:rFonts w:hint="eastAsia" w:ascii="仿宋_GB2312" w:hAnsi="微软雅黑" w:eastAsia="仿宋_GB2312" w:cs="仿宋_GB2312"/>
          <w:kern w:val="0"/>
          <w:sz w:val="32"/>
          <w:szCs w:val="32"/>
          <w:lang w:eastAsia="zh-CN"/>
        </w:rPr>
        <w:t>2021年“三公”经费预算数为</w:t>
      </w:r>
      <w:r>
        <w:rPr>
          <w:rFonts w:hint="eastAsia" w:ascii="仿宋_GB2312" w:hAnsi="微软雅黑" w:eastAsia="仿宋_GB2312" w:cs="仿宋_GB2312"/>
          <w:kern w:val="0"/>
          <w:sz w:val="32"/>
          <w:szCs w:val="32"/>
          <w:lang w:val="en-US" w:eastAsia="zh-CN"/>
        </w:rPr>
        <w:t>10.8</w:t>
      </w:r>
      <w:r>
        <w:rPr>
          <w:rFonts w:hint="eastAsia" w:ascii="仿宋_GB2312" w:hAnsi="微软雅黑" w:eastAsia="仿宋_GB2312" w:cs="仿宋_GB2312"/>
          <w:kern w:val="0"/>
          <w:sz w:val="32"/>
          <w:szCs w:val="32"/>
          <w:lang w:eastAsia="zh-CN"/>
        </w:rPr>
        <w:t>万元，其中：公务接待费</w:t>
      </w:r>
      <w:r>
        <w:rPr>
          <w:rFonts w:hint="eastAsia" w:ascii="仿宋_GB2312" w:hAnsi="微软雅黑" w:eastAsia="仿宋_GB2312" w:cs="仿宋_GB2312"/>
          <w:kern w:val="0"/>
          <w:sz w:val="32"/>
          <w:szCs w:val="32"/>
          <w:lang w:val="en-US" w:eastAsia="zh-CN"/>
        </w:rPr>
        <w:t>8</w:t>
      </w:r>
      <w:r>
        <w:rPr>
          <w:rFonts w:hint="eastAsia" w:ascii="仿宋_GB2312" w:hAnsi="微软雅黑" w:eastAsia="仿宋_GB2312" w:cs="仿宋_GB2312"/>
          <w:kern w:val="0"/>
          <w:sz w:val="32"/>
          <w:szCs w:val="32"/>
          <w:lang w:eastAsia="zh-CN"/>
        </w:rPr>
        <w:t>万元，公务用车购置费0万元，公务用车运行费</w:t>
      </w:r>
      <w:r>
        <w:rPr>
          <w:rFonts w:hint="eastAsia" w:ascii="仿宋_GB2312" w:hAnsi="微软雅黑" w:eastAsia="仿宋_GB2312" w:cs="仿宋_GB2312"/>
          <w:kern w:val="0"/>
          <w:sz w:val="32"/>
          <w:szCs w:val="32"/>
          <w:lang w:val="en-US" w:eastAsia="zh-CN"/>
        </w:rPr>
        <w:t>2.8</w:t>
      </w:r>
      <w:r>
        <w:rPr>
          <w:rFonts w:hint="eastAsia" w:ascii="仿宋_GB2312" w:hAnsi="微软雅黑" w:eastAsia="仿宋_GB2312" w:cs="仿宋_GB2312"/>
          <w:kern w:val="0"/>
          <w:sz w:val="32"/>
          <w:szCs w:val="32"/>
          <w:lang w:eastAsia="zh-CN"/>
        </w:rPr>
        <w:t>万元，因公出国（境）费0万元。2021年“三公”经费实际开支</w:t>
      </w:r>
      <w:r>
        <w:rPr>
          <w:rFonts w:hint="eastAsia" w:ascii="仿宋_GB2312" w:hAnsi="微软雅黑" w:eastAsia="仿宋_GB2312" w:cs="仿宋_GB2312"/>
          <w:kern w:val="0"/>
          <w:sz w:val="32"/>
          <w:szCs w:val="32"/>
          <w:lang w:val="en-US" w:eastAsia="zh-CN"/>
        </w:rPr>
        <w:t>12.23</w:t>
      </w:r>
      <w:r>
        <w:rPr>
          <w:rFonts w:hint="eastAsia" w:ascii="仿宋_GB2312" w:hAnsi="微软雅黑" w:eastAsia="仿宋_GB2312" w:cs="仿宋_GB2312"/>
          <w:kern w:val="0"/>
          <w:sz w:val="32"/>
          <w:szCs w:val="32"/>
          <w:lang w:eastAsia="zh-CN"/>
        </w:rPr>
        <w:t>万元，其中：公务接待费</w:t>
      </w:r>
      <w:r>
        <w:rPr>
          <w:rFonts w:hint="eastAsia" w:ascii="仿宋_GB2312" w:hAnsi="微软雅黑" w:eastAsia="仿宋_GB2312" w:cs="仿宋_GB2312"/>
          <w:kern w:val="0"/>
          <w:sz w:val="32"/>
          <w:szCs w:val="32"/>
          <w:lang w:val="en-US" w:eastAsia="zh-CN"/>
        </w:rPr>
        <w:t>6.2万元，</w:t>
      </w:r>
      <w:r>
        <w:rPr>
          <w:rFonts w:hint="eastAsia" w:ascii="仿宋_GB2312" w:hAnsi="微软雅黑" w:eastAsia="仿宋_GB2312" w:cs="仿宋_GB2312"/>
          <w:kern w:val="0"/>
          <w:sz w:val="32"/>
          <w:szCs w:val="32"/>
          <w:lang w:eastAsia="zh-CN"/>
        </w:rPr>
        <w:t>公务用车维护费</w:t>
      </w:r>
      <w:r>
        <w:rPr>
          <w:rFonts w:hint="eastAsia" w:ascii="仿宋_GB2312" w:hAnsi="微软雅黑" w:eastAsia="仿宋_GB2312" w:cs="仿宋_GB2312"/>
          <w:kern w:val="0"/>
          <w:sz w:val="32"/>
          <w:szCs w:val="32"/>
          <w:lang w:val="en-US" w:eastAsia="zh-CN"/>
        </w:rPr>
        <w:t>6.03</w:t>
      </w:r>
      <w:r>
        <w:rPr>
          <w:rFonts w:hint="eastAsia" w:ascii="仿宋_GB2312" w:hAnsi="微软雅黑" w:eastAsia="仿宋_GB2312" w:cs="仿宋_GB2312"/>
          <w:kern w:val="0"/>
          <w:sz w:val="32"/>
          <w:szCs w:val="32"/>
          <w:lang w:eastAsia="zh-CN"/>
        </w:rPr>
        <w:t>万元。</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三、2021年，根据年初计划的重点工作，本单位通过对财政资金的使用，取得了如下绩效：一是全面做好城镇建设规划，充分运用财政调剂作用，积极争取各项优惠政策，并积极带动社会资金的投入，引导和支持企业进行产业转型提升、科技创新、开拓市场和发展生产，以培养财政收入新的增长点。二是加强财政支出管理，促进经济全面发展，严格实行“收支两条线”政策，严肃财经纪律、规范财政支出行为和细化部门预算编制。三是合理利用财力，保障重点项目及重点费用和社会公益事业的正常开支。四是落实好中央各项惠农政策，促进农业生产、农民增收和各项社会事业的发展，认真落实好中央各项惠农政策，进一步增加对农业的投入和各项涉农补贴资金，不断稳定发展农业生产，促进农民增收。五是继续实行国库集中支付制度，严格资金支出范围和审批程序，严格执行公用经费定额标准，使财政总预算真实反映了财政资金的实际支出数,进一步加强了对财政资金来源和去向的管理。六是切实抓好债务管理工作，锁定债务基数，严格控制新增债务。七是加强村级财务管理，完善“村账镇代管”制度，全力推进“互联网+监督”制度，推动了资金使用的公开度、透明度。八是加强财政队伍建设，完善财政管理机制，推进财务人员依法行政，依法理财。</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四、本次自评根据益阳市资阳区财政局的相关要求，新桥河镇人民政府制定了部门整体支出绩效评价的工作方案、评价指标，成立了绩效评价工作领导小组、绩效评价工作组，于2022年9月完成自评工作。绩效自评具体如下：</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2021年度本单位“三公经费”总预算数为10.8万元，实际支出数为12.23万元（其中：公务接待费6.2万元，公务用车购置及运行维护费6.03万元），支出大于预算，2021年度本单位“三公经费”预算不太符合相关规定。2021年度年初工作计划及重点工作目标管理符合区委、区政府总体经济和社会发展规划及职责，体现当年重点工作，资金投入相匹配，财政资金预算完成率＝（预算完成数/预算数）×100%＝100%。建立了各项财务管理制度，相关管理制度合法、合规、完整，相关管理制度得到有效执行，但也存在专项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2021年新桥河镇人民政府在区委、区政府的正确领导下，在区人大、政协悉心指导以及在区级各部门帮助下，全镇上下紧紧围绕年初制定的目标，紧扣区委区政府安排部署的各项重点工作，发挥优势，攻坚克难，团结一心，攻坚拼搏，较好的完成了年初制定的各项工作目标。根据区政府绩效考核文件精神，绩效目标在本年基本完成，2021年度绩效考核结果为一类单位。</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与此同时，通过这次自评我们也清醒地认识到，财政运行还存在着一些不容忽视的问题，财政管理还不够规范，财经纪律还有待进一步加强。针对上述问题，我们在以后的工作中将加强理论政策学习，提高思想认识。组织相关人员认真学习《预算法》等法规制度，提高单位领导对全面预算管理的重视程度，增强财务人员的预算意识，坚持先有预算、后有支出，没有预算不得支出。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年初预算目标之间存在的差距，纠正偏差，为下一次科学、准确地编制部门预算积累经验。</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五、自评结论</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根据以上预算绩效情况，我单位2021年预算绩效自评为良好。</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微软雅黑" w:eastAsia="仿宋_GB2312" w:cs="仿宋_GB2312"/>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B5B10E"/>
    <w:multiLevelType w:val="singleLevel"/>
    <w:tmpl w:val="32B5B10E"/>
    <w:lvl w:ilvl="0" w:tentative="0">
      <w:start w:val="1"/>
      <w:numFmt w:val="chineseCounting"/>
      <w:suff w:val="nothing"/>
      <w:lvlText w:val="%1、"/>
      <w:lvlJc w:val="left"/>
      <w:rPr>
        <w:rFonts w:hint="eastAsia"/>
      </w:rPr>
    </w:lvl>
  </w:abstractNum>
  <w:abstractNum w:abstractNumId="1">
    <w:nsid w:val="77DD4D8B"/>
    <w:multiLevelType w:val="singleLevel"/>
    <w:tmpl w:val="77DD4D8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NzYwYzFhMDg5YTIzNmVkOGQ3NmFhNzM2MjFmMGUifQ=="/>
  </w:docVars>
  <w:rsids>
    <w:rsidRoot w:val="41DA40A7"/>
    <w:rsid w:val="1D71042A"/>
    <w:rsid w:val="34E57799"/>
    <w:rsid w:val="41DA40A7"/>
    <w:rsid w:val="649E3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TOC1"/>
    <w:basedOn w:val="1"/>
    <w:next w:val="1"/>
    <w:unhideWhenUsed/>
    <w:qFormat/>
    <w:uiPriority w:val="0"/>
    <w:rPr>
      <w:rFonts w:hint="default"/>
      <w:sz w:val="21"/>
      <w:szCs w:val="24"/>
    </w:rPr>
  </w:style>
  <w:style w:type="paragraph" w:styleId="3">
    <w:name w:val="Normal (Web)"/>
    <w:basedOn w:val="1"/>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2453</Words>
  <Characters>2578</Characters>
  <Lines>0</Lines>
  <Paragraphs>0</Paragraphs>
  <TotalTime>39</TotalTime>
  <ScaleCrop>false</ScaleCrop>
  <LinksUpToDate>false</LinksUpToDate>
  <CharactersWithSpaces>2580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2022-08-06T01:41:00Z</dcterms:created>
  <dc:creator>susu</dc:creator>
  <cp:lastModifiedBy>susu</cp:lastModifiedBy>
  <dcterms:modified xsi:type="dcterms:W3CDTF">2022-08-01T00:34:25Z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D59804C8801A428983525A2243165297</vt:lpwstr>
  </property>
</Properties>
</file>