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ind w:firstLine="800" w:firstLineChars="250"/>
        <w:jc w:val="center"/>
        <w:rPr>
          <w:rFonts w:ascii="宋体" w:hAnsi="宋体"/>
          <w:kern w:val="0"/>
          <w:sz w:val="32"/>
          <w:szCs w:val="32"/>
        </w:rPr>
      </w:pPr>
      <w:r>
        <w:rPr>
          <w:rFonts w:hint="eastAsia" w:ascii="宋体" w:hAnsi="宋体"/>
          <w:kern w:val="0"/>
          <w:sz w:val="32"/>
          <w:szCs w:val="32"/>
        </w:rPr>
        <w:t>益阳市资阳区工业和信息化局20</w:t>
      </w:r>
      <w:r>
        <w:rPr>
          <w:rFonts w:hint="eastAsia" w:ascii="宋体" w:hAnsi="宋体"/>
          <w:kern w:val="0"/>
          <w:sz w:val="32"/>
          <w:szCs w:val="32"/>
          <w:lang w:val="en-US" w:eastAsia="zh-CN"/>
        </w:rPr>
        <w:t>21</w:t>
      </w:r>
      <w:r>
        <w:rPr>
          <w:rFonts w:hint="eastAsia" w:ascii="宋体" w:hAnsi="宋体"/>
          <w:kern w:val="0"/>
          <w:sz w:val="32"/>
          <w:szCs w:val="32"/>
        </w:rPr>
        <w:t>年预算绩效</w:t>
      </w:r>
    </w:p>
    <w:p>
      <w:pPr>
        <w:autoSpaceDE w:val="0"/>
        <w:ind w:firstLine="800" w:firstLineChars="250"/>
        <w:jc w:val="center"/>
        <w:rPr>
          <w:rFonts w:hint="eastAsia" w:ascii="宋体" w:hAnsi="宋体"/>
          <w:kern w:val="0"/>
          <w:sz w:val="32"/>
          <w:szCs w:val="32"/>
        </w:rPr>
      </w:pPr>
      <w:r>
        <w:rPr>
          <w:rFonts w:hint="eastAsia" w:ascii="宋体" w:hAnsi="宋体"/>
          <w:kern w:val="0"/>
          <w:sz w:val="32"/>
          <w:szCs w:val="32"/>
        </w:rPr>
        <w:t>自评报告</w:t>
      </w:r>
    </w:p>
    <w:p>
      <w:pPr>
        <w:autoSpaceDE w:val="0"/>
        <w:ind w:firstLine="800" w:firstLineChars="250"/>
        <w:rPr>
          <w:rFonts w:hint="eastAsia" w:ascii="仿宋" w:hAnsi="仿宋" w:eastAsia="仿宋" w:cs="仿宋"/>
          <w:b w:val="0"/>
          <w:bCs w:val="0"/>
          <w:color w:val="000000" w:themeColor="text1"/>
          <w:kern w:val="0"/>
          <w:sz w:val="32"/>
          <w:szCs w:val="32"/>
          <w:u w:color="000000"/>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32"/>
          <w:szCs w:val="32"/>
          <w:u w:color="000000"/>
          <w:lang w:val="en-US" w:eastAsia="zh-CN" w:bidi="ar-SA"/>
          <w14:textFill>
            <w14:solidFill>
              <w14:schemeClr w14:val="tx1"/>
            </w14:solidFill>
          </w14:textFill>
        </w:rPr>
        <w:t>为进一步规范财政资金管理，牢固树立预算绩效理念，强化支出责任，提高财政资金使用效益，按照资阳区财政局</w:t>
      </w:r>
      <w:bookmarkStart w:id="0" w:name="_GoBack"/>
      <w:bookmarkEnd w:id="0"/>
      <w:r>
        <w:rPr>
          <w:rFonts w:hint="eastAsia" w:ascii="仿宋" w:hAnsi="仿宋" w:eastAsia="仿宋" w:cs="仿宋"/>
          <w:b w:val="0"/>
          <w:bCs w:val="0"/>
          <w:color w:val="000000" w:themeColor="text1"/>
          <w:kern w:val="0"/>
          <w:sz w:val="32"/>
          <w:szCs w:val="32"/>
          <w:u w:color="000000"/>
          <w:lang w:val="en-US" w:eastAsia="zh-CN" w:bidi="ar-SA"/>
          <w14:textFill>
            <w14:solidFill>
              <w14:schemeClr w14:val="tx1"/>
            </w14:solidFill>
          </w14:textFill>
        </w:rPr>
        <w:t>文件要求，我局对2021年度部门预算整体支出情况进行了自我评价，情况报告如下：</w:t>
      </w:r>
    </w:p>
    <w:p>
      <w:pPr>
        <w:autoSpaceDE w:val="0"/>
        <w:ind w:firstLine="800" w:firstLineChars="250"/>
        <w:rPr>
          <w:rFonts w:hint="eastAsia" w:ascii="仿宋" w:hAnsi="仿宋" w:eastAsia="仿宋" w:cs="仿宋"/>
          <w:b w:val="0"/>
          <w:bCs w:val="0"/>
          <w:color w:val="000000" w:themeColor="text1"/>
          <w:kern w:val="0"/>
          <w:sz w:val="32"/>
          <w:szCs w:val="32"/>
          <w:u w:color="000000"/>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32"/>
          <w:szCs w:val="32"/>
          <w:u w:color="000000"/>
          <w:lang w:val="en-US" w:eastAsia="zh-CN" w:bidi="ar-SA"/>
          <w14:textFill>
            <w14:solidFill>
              <w14:schemeClr w14:val="tx1"/>
            </w14:solidFill>
          </w14:textFill>
        </w:rPr>
        <w:t>一、基本情况</w:t>
      </w:r>
    </w:p>
    <w:p>
      <w:pPr>
        <w:autoSpaceDE w:val="0"/>
        <w:ind w:firstLine="800" w:firstLineChars="250"/>
        <w:rPr>
          <w:rFonts w:hint="eastAsia" w:ascii="仿宋" w:hAnsi="仿宋" w:eastAsia="仿宋" w:cs="仿宋"/>
          <w:b w:val="0"/>
          <w:bCs w:val="0"/>
          <w:color w:val="000000" w:themeColor="text1"/>
          <w:kern w:val="0"/>
          <w:sz w:val="32"/>
          <w:szCs w:val="32"/>
          <w:u w:color="000000"/>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32"/>
          <w:szCs w:val="32"/>
          <w:u w:color="000000"/>
          <w:lang w:val="en-US" w:eastAsia="zh-CN" w:bidi="ar-SA"/>
          <w14:textFill>
            <w14:solidFill>
              <w14:schemeClr w14:val="tx1"/>
            </w14:solidFill>
          </w14:textFill>
        </w:rPr>
        <w:t>区工信局为独立核算、财政预算一级拨款单位，内设科室6个：办公室（人事股、审计股、老干股）、投资股（推进新型工业化办公室园区办公室）、民营经济服务股、经济运行股（节能与综合利用股）、信息化股（电子通信股、工业互联网与数字产业股）、综合股（企改办、信访股、墙改办、法规股）。2021年末，我局实有编制人数33人，退休人员75人，共计108人。</w:t>
      </w:r>
    </w:p>
    <w:p>
      <w:pPr>
        <w:autoSpaceDE w:val="0"/>
        <w:ind w:firstLine="480" w:firstLineChars="150"/>
        <w:rPr>
          <w:rFonts w:hint="eastAsia" w:ascii="仿宋" w:hAnsi="仿宋" w:eastAsia="仿宋" w:cs="仿宋"/>
          <w:b w:val="0"/>
          <w:bCs w:val="0"/>
          <w:color w:val="000000" w:themeColor="text1"/>
          <w:kern w:val="0"/>
          <w:sz w:val="32"/>
          <w:szCs w:val="32"/>
          <w:u w:color="000000"/>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32"/>
          <w:szCs w:val="32"/>
          <w:u w:color="000000"/>
          <w:lang w:val="en-US" w:eastAsia="zh-CN" w:bidi="ar-SA"/>
          <w14:textFill>
            <w14:solidFill>
              <w14:schemeClr w14:val="tx1"/>
            </w14:solidFill>
          </w14:textFill>
        </w:rPr>
        <w:t>（一）部门整体支出概况</w:t>
      </w:r>
    </w:p>
    <w:p>
      <w:pPr>
        <w:widowControl/>
        <w:autoSpaceDE w:val="0"/>
        <w:ind w:firstLine="640" w:firstLineChars="200"/>
        <w:jc w:val="left"/>
        <w:rPr>
          <w:rFonts w:hint="eastAsia" w:ascii="仿宋" w:hAnsi="仿宋" w:eastAsia="仿宋" w:cs="仿宋"/>
          <w:b w:val="0"/>
          <w:bCs w:val="0"/>
          <w:color w:val="000000" w:themeColor="text1"/>
          <w:kern w:val="0"/>
          <w:sz w:val="32"/>
          <w:szCs w:val="32"/>
          <w:u w:color="000000"/>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32"/>
          <w:szCs w:val="32"/>
          <w:u w:color="000000"/>
          <w:lang w:val="en-US" w:eastAsia="zh-CN" w:bidi="ar-SA"/>
          <w14:textFill>
            <w14:solidFill>
              <w14:schemeClr w14:val="tx1"/>
            </w14:solidFill>
          </w14:textFill>
        </w:rPr>
        <w:t>1、收入预算：2021年年初预算数480.83万元，其中，一般公共预算拨款407.37万元；一般公共预算拨款-纳入公共预算管理的非税收入拨款73.45万元；纳入专户管理的非税收入拨款0万元，上级补助资金安排0万元；附属单位上缴收入安排0万元，事业单位经营服务收入0万元，其他收入0.01万元；政府性基金拨款0万元，结转结余安排0万元。收入较去年减少56.85万元，主要原因是预算收入中其他收入减少。</w:t>
      </w:r>
    </w:p>
    <w:p>
      <w:pPr>
        <w:widowControl/>
        <w:autoSpaceDE w:val="0"/>
        <w:ind w:firstLine="640" w:firstLineChars="200"/>
        <w:jc w:val="left"/>
        <w:rPr>
          <w:rFonts w:hint="eastAsia" w:ascii="仿宋" w:hAnsi="仿宋" w:eastAsia="仿宋" w:cs="仿宋"/>
          <w:b w:val="0"/>
          <w:bCs w:val="0"/>
          <w:color w:val="000000" w:themeColor="text1"/>
          <w:kern w:val="0"/>
          <w:sz w:val="32"/>
          <w:szCs w:val="32"/>
          <w:u w:color="000000"/>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32"/>
          <w:szCs w:val="32"/>
          <w:u w:color="000000"/>
          <w:lang w:val="en-US" w:eastAsia="zh-CN" w:bidi="ar-SA"/>
          <w14:textFill>
            <w14:solidFill>
              <w14:schemeClr w14:val="tx1"/>
            </w14:solidFill>
          </w14:textFill>
        </w:rPr>
        <w:t>2、支出预算：2021年年初预算数480.83万元，其中，一般公共服务支出0万元，社会保障和就业支出38.4万元，卫生健康支出68.61万元，资源勘探信息等支出346.93万元，住房保障支出26.89万元。主要原因是预算收入中其他收入减少。</w:t>
      </w:r>
    </w:p>
    <w:p>
      <w:pPr>
        <w:widowControl/>
        <w:autoSpaceDE w:val="0"/>
        <w:ind w:firstLine="640" w:firstLineChars="200"/>
        <w:rPr>
          <w:rFonts w:hint="eastAsia" w:ascii="仿宋" w:hAnsi="仿宋" w:eastAsia="仿宋" w:cs="仿宋"/>
          <w:b w:val="0"/>
          <w:bCs w:val="0"/>
          <w:color w:val="000000" w:themeColor="text1"/>
          <w:kern w:val="0"/>
          <w:sz w:val="32"/>
          <w:szCs w:val="32"/>
          <w:u w:color="000000"/>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32"/>
          <w:szCs w:val="32"/>
          <w:u w:color="000000"/>
          <w:lang w:val="en-US" w:eastAsia="zh-CN" w:bidi="ar-SA"/>
          <w14:textFill>
            <w14:solidFill>
              <w14:schemeClr w14:val="tx1"/>
            </w14:solidFill>
          </w14:textFill>
        </w:rPr>
        <w:t>项目支出：2021年年初预算数为44.6万元，是指单位为完成特定行政工作任务或事业发展目标发生的支出。其中：新型工业化18.6万元，主要用于完成好工业增加值、工业企业实缴税金、园区规模工业增加值占规模工业增加值比重、资源节约、环保、科技创新、工业固定资产投资、战略性新兴产业、工业新兴优势产业链建设等新型工业化工作费用；规模工业企业经济调度10万元，主要用于为规模工业企业搞好经济调度、培训等；企业改制、维稳4万元，主要用于改制企业信访维稳等方面；园区办建设5万元；老干部工作经费7万元，主要用于局机关退休人员的各项福利待遇等。</w:t>
      </w:r>
    </w:p>
    <w:p>
      <w:pPr>
        <w:widowControl/>
        <w:autoSpaceDE w:val="0"/>
        <w:ind w:firstLine="640" w:firstLineChars="200"/>
        <w:rPr>
          <w:rFonts w:hint="eastAsia" w:ascii="仿宋" w:hAnsi="仿宋" w:eastAsia="仿宋" w:cs="仿宋"/>
          <w:b w:val="0"/>
          <w:bCs w:val="0"/>
          <w:color w:val="000000" w:themeColor="text1"/>
          <w:kern w:val="0"/>
          <w:sz w:val="32"/>
          <w:szCs w:val="32"/>
          <w:u w:color="000000"/>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32"/>
          <w:szCs w:val="32"/>
          <w:u w:color="000000"/>
          <w:lang w:val="en-US" w:eastAsia="zh-CN" w:bidi="ar-SA"/>
          <w14:textFill>
            <w14:solidFill>
              <w14:schemeClr w14:val="tx1"/>
            </w14:solidFill>
          </w14:textFill>
        </w:rPr>
        <w:t>（二）整体支出绩效目标</w:t>
      </w:r>
    </w:p>
    <w:p>
      <w:pPr>
        <w:widowControl/>
        <w:autoSpaceDE w:val="0"/>
        <w:ind w:firstLine="640" w:firstLineChars="200"/>
        <w:rPr>
          <w:rFonts w:hint="eastAsia" w:ascii="仿宋" w:hAnsi="仿宋" w:eastAsia="仿宋" w:cs="仿宋"/>
          <w:b w:val="0"/>
          <w:bCs w:val="0"/>
          <w:color w:val="000000" w:themeColor="text1"/>
          <w:kern w:val="0"/>
          <w:sz w:val="32"/>
          <w:szCs w:val="32"/>
          <w:u w:color="000000"/>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32"/>
          <w:szCs w:val="32"/>
          <w:u w:color="000000"/>
          <w:lang w:val="en-US" w:eastAsia="zh-CN" w:bidi="ar-SA"/>
          <w14:textFill>
            <w14:solidFill>
              <w14:schemeClr w14:val="tx1"/>
            </w14:solidFill>
          </w14:textFill>
        </w:rPr>
        <w:t>预决算公开：2021年，按照上级的要求，我局在资阳公众信息网进行了预决算公开。</w:t>
      </w:r>
    </w:p>
    <w:p>
      <w:pPr>
        <w:widowControl/>
        <w:autoSpaceDE w:val="0"/>
        <w:ind w:firstLine="640" w:firstLineChars="200"/>
        <w:rPr>
          <w:rFonts w:hint="eastAsia" w:ascii="仿宋" w:hAnsi="仿宋" w:eastAsia="仿宋" w:cs="仿宋"/>
          <w:b w:val="0"/>
          <w:bCs w:val="0"/>
          <w:color w:val="000000" w:themeColor="text1"/>
          <w:kern w:val="0"/>
          <w:sz w:val="32"/>
          <w:szCs w:val="32"/>
          <w:u w:color="000000"/>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32"/>
          <w:szCs w:val="32"/>
          <w:u w:color="000000"/>
          <w:lang w:val="en-US" w:eastAsia="zh-CN" w:bidi="ar-SA"/>
          <w14:textFill>
            <w14:solidFill>
              <w14:schemeClr w14:val="tx1"/>
            </w14:solidFill>
          </w14:textFill>
        </w:rPr>
        <w:t>“三公经费”控制情况：贯彻落实上级有关精神，严格控制“三公经费”支出，取得了良好效果。年度预算“三公”经费1万元，其中，公务接待费1万元，公务用车运行费0万元，因公出国（境）费为0万元。而决算中实际只有公务接待费0万元。同时，按照上级的要求，在资阳公众网上对“三公”经费情况进行了公示。</w:t>
      </w:r>
    </w:p>
    <w:p>
      <w:pPr>
        <w:widowControl/>
        <w:shd w:val="clear" w:color="auto" w:fill="FFFFFF"/>
        <w:autoSpaceDE w:val="0"/>
        <w:ind w:firstLine="640"/>
        <w:rPr>
          <w:rFonts w:hint="eastAsia" w:ascii="仿宋" w:hAnsi="仿宋" w:eastAsia="仿宋" w:cs="仿宋"/>
          <w:b w:val="0"/>
          <w:bCs w:val="0"/>
          <w:color w:val="000000" w:themeColor="text1"/>
          <w:kern w:val="0"/>
          <w:sz w:val="32"/>
          <w:szCs w:val="32"/>
          <w:u w:color="000000"/>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32"/>
          <w:szCs w:val="32"/>
          <w:u w:color="000000"/>
          <w:lang w:val="en-US" w:eastAsia="zh-CN" w:bidi="ar-SA"/>
          <w14:textFill>
            <w14:solidFill>
              <w14:schemeClr w14:val="tx1"/>
            </w14:solidFill>
          </w14:textFill>
        </w:rPr>
        <w:t>内部管理制度建设情况：近年来，我局制定、完善了《资阳区工信局工作纪律管理制度》等一系列内部制度。</w:t>
      </w:r>
    </w:p>
    <w:p>
      <w:pPr>
        <w:widowControl/>
        <w:shd w:val="clear" w:color="auto" w:fill="FFFFFF"/>
        <w:autoSpaceDE w:val="0"/>
        <w:ind w:firstLine="640"/>
        <w:rPr>
          <w:rFonts w:hint="eastAsia" w:ascii="仿宋" w:hAnsi="仿宋" w:eastAsia="仿宋" w:cs="仿宋"/>
          <w:b w:val="0"/>
          <w:bCs w:val="0"/>
          <w:color w:val="000000" w:themeColor="text1"/>
          <w:kern w:val="0"/>
          <w:sz w:val="32"/>
          <w:szCs w:val="32"/>
          <w:u w:color="000000"/>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32"/>
          <w:szCs w:val="32"/>
          <w:u w:color="000000"/>
          <w:lang w:val="en-US" w:eastAsia="zh-CN" w:bidi="ar-SA"/>
          <w14:textFill>
            <w14:solidFill>
              <w14:schemeClr w14:val="tx1"/>
            </w14:solidFill>
          </w14:textFill>
        </w:rPr>
        <w:t>（三）部门整体支出情况分析</w:t>
      </w:r>
    </w:p>
    <w:p>
      <w:pPr>
        <w:widowControl/>
        <w:shd w:val="clear" w:color="auto" w:fill="FFFFFF"/>
        <w:autoSpaceDE w:val="0"/>
        <w:ind w:firstLine="640"/>
        <w:rPr>
          <w:rFonts w:hint="eastAsia" w:ascii="仿宋" w:hAnsi="仿宋" w:eastAsia="仿宋" w:cs="仿宋"/>
          <w:b w:val="0"/>
          <w:bCs w:val="0"/>
          <w:color w:val="000000" w:themeColor="text1"/>
          <w:kern w:val="0"/>
          <w:sz w:val="32"/>
          <w:szCs w:val="32"/>
          <w:u w:color="000000"/>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32"/>
          <w:szCs w:val="32"/>
          <w:u w:color="000000"/>
          <w:lang w:val="en-US" w:eastAsia="zh-CN" w:bidi="ar-SA"/>
          <w14:textFill>
            <w14:solidFill>
              <w14:schemeClr w14:val="tx1"/>
            </w14:solidFill>
          </w14:textFill>
        </w:rPr>
        <w:t>从整体情况来看，我局严格按照年初预算进行部门整体支出。在支出过程中，能严格遵守各项规章制度，“三公经费”明显下降。</w:t>
      </w:r>
    </w:p>
    <w:p>
      <w:pPr>
        <w:widowControl/>
        <w:shd w:val="clear" w:color="auto" w:fill="FFFFFF"/>
        <w:autoSpaceDE w:val="0"/>
        <w:ind w:firstLine="640"/>
        <w:rPr>
          <w:rFonts w:hint="eastAsia" w:ascii="仿宋" w:hAnsi="仿宋" w:eastAsia="仿宋" w:cs="仿宋"/>
          <w:b w:val="0"/>
          <w:bCs w:val="0"/>
          <w:color w:val="000000" w:themeColor="text1"/>
          <w:kern w:val="0"/>
          <w:sz w:val="32"/>
          <w:szCs w:val="32"/>
          <w:u w:color="000000"/>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32"/>
          <w:szCs w:val="32"/>
          <w:u w:color="000000"/>
          <w:lang w:val="en-US" w:eastAsia="zh-CN" w:bidi="ar-SA"/>
          <w14:textFill>
            <w14:solidFill>
              <w14:schemeClr w14:val="tx1"/>
            </w14:solidFill>
          </w14:textFill>
        </w:rPr>
        <w:t>二、绩效评价工作情况</w:t>
      </w:r>
    </w:p>
    <w:p>
      <w:pPr>
        <w:widowControl/>
        <w:shd w:val="clear" w:color="auto" w:fill="FFFFFF"/>
        <w:autoSpaceDE w:val="0"/>
        <w:ind w:firstLine="640" w:firstLineChars="200"/>
        <w:rPr>
          <w:rFonts w:hint="eastAsia" w:ascii="仿宋" w:hAnsi="仿宋" w:eastAsia="仿宋" w:cs="仿宋"/>
          <w:b w:val="0"/>
          <w:bCs w:val="0"/>
          <w:color w:val="000000" w:themeColor="text1"/>
          <w:kern w:val="0"/>
          <w:sz w:val="32"/>
          <w:szCs w:val="32"/>
          <w:u w:color="000000"/>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32"/>
          <w:szCs w:val="32"/>
          <w:u w:color="000000"/>
          <w:lang w:val="en-US" w:eastAsia="zh-CN" w:bidi="ar-SA"/>
          <w14:textFill>
            <w14:solidFill>
              <w14:schemeClr w14:val="tx1"/>
            </w14:solidFill>
          </w14:textFill>
        </w:rPr>
        <w:t>（一）绩效评价目的：严格落实《预算法》及省、市、区绩效管理工作的有关规定，进一步规范财政资金的管理，强化财政支出绩效理念，提升部门责任意识，提高资金使用效益，促进工信工作的稳步发展。</w:t>
      </w:r>
    </w:p>
    <w:p>
      <w:pPr>
        <w:widowControl/>
        <w:shd w:val="clear" w:color="auto" w:fill="FFFFFF"/>
        <w:autoSpaceDE w:val="0"/>
        <w:ind w:firstLine="640"/>
        <w:rPr>
          <w:rFonts w:hint="eastAsia" w:ascii="仿宋" w:hAnsi="仿宋" w:eastAsia="仿宋" w:cs="仿宋"/>
          <w:b w:val="0"/>
          <w:bCs w:val="0"/>
          <w:color w:val="000000" w:themeColor="text1"/>
          <w:kern w:val="0"/>
          <w:sz w:val="32"/>
          <w:szCs w:val="32"/>
          <w:u w:color="000000"/>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32"/>
          <w:szCs w:val="32"/>
          <w:u w:color="000000"/>
          <w:lang w:val="en-US" w:eastAsia="zh-CN" w:bidi="ar-SA"/>
          <w14:textFill>
            <w14:solidFill>
              <w14:schemeClr w14:val="tx1"/>
            </w14:solidFill>
          </w14:textFill>
        </w:rPr>
        <w:t>（二）绩效评价的主要过程：根据绩效评价的要求，我局成立了自评工作领导小组，由一把手任组长。在自评过程发现问题，查找原因，及时纠正偏差，为下步工作夯实基础。</w:t>
      </w:r>
    </w:p>
    <w:p>
      <w:pPr>
        <w:widowControl/>
        <w:shd w:val="clear" w:color="auto" w:fill="FFFFFF"/>
        <w:autoSpaceDE w:val="0"/>
        <w:ind w:firstLine="640"/>
        <w:rPr>
          <w:rFonts w:hint="eastAsia" w:ascii="宋体" w:hAnsi="宋体" w:eastAsia="宋体" w:cs="宋体"/>
          <w:kern w:val="0"/>
          <w:sz w:val="32"/>
          <w:szCs w:val="32"/>
        </w:rPr>
      </w:pPr>
      <w:r>
        <w:rPr>
          <w:rFonts w:hint="eastAsia" w:ascii="宋体" w:hAnsi="宋体" w:eastAsia="宋体" w:cs="宋体"/>
          <w:kern w:val="0"/>
          <w:sz w:val="32"/>
          <w:szCs w:val="32"/>
          <w:lang w:eastAsia="zh-CN"/>
        </w:rPr>
        <w:t>三、</w:t>
      </w:r>
      <w:r>
        <w:rPr>
          <w:rFonts w:hint="eastAsia" w:ascii="宋体" w:hAnsi="宋体" w:eastAsia="宋体" w:cs="宋体"/>
          <w:kern w:val="0"/>
          <w:sz w:val="32"/>
          <w:szCs w:val="32"/>
        </w:rPr>
        <w:t>主要绩效及评价结论</w:t>
      </w:r>
    </w:p>
    <w:p>
      <w:pPr>
        <w:pStyle w:val="5"/>
        <w:widowControl w:val="0"/>
        <w:spacing w:line="240" w:lineRule="auto"/>
        <w:ind w:firstLine="640" w:firstLineChars="200"/>
        <w:jc w:val="both"/>
        <w:textAlignment w:val="auto"/>
        <w:rPr>
          <w:rFonts w:hint="eastAsia" w:ascii="Times New Roman" w:hAnsi="Times New Roman" w:eastAsia="仿宋_GB2312" w:cs="Times New Roman"/>
          <w:b w:val="0"/>
          <w:bCs w:val="0"/>
          <w:color w:val="000000" w:themeColor="text1"/>
          <w:kern w:val="0"/>
          <w:sz w:val="32"/>
          <w:szCs w:val="32"/>
          <w:u w:color="000000"/>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32"/>
          <w:szCs w:val="32"/>
          <w:u w:color="000000"/>
          <w:lang w:val="en-US" w:eastAsia="zh-CN" w:bidi="ar-SA"/>
          <w14:textFill>
            <w14:solidFill>
              <w14:schemeClr w14:val="tx1"/>
            </w14:solidFill>
          </w14:textFill>
        </w:rPr>
        <w:t>今年以来，我局在区委、区政府的正确领导下，以习近平新时代中国特色社会主义思想和党的十九大精神为指导，以特色产业建设为抓手，以打造中国PCB“第三极”为目标，贯彻落实习近平总书记考察湖南重要讲话精神和“三高四新”发展战略，助推全区工业经济高质量发展，取得了较大成效。资阳区促进制造业高质量发展工作获评全省真抓实干督查激励先进。主要做好了如下几项工作：</w:t>
      </w:r>
    </w:p>
    <w:p>
      <w:pPr>
        <w:keepNext w:val="0"/>
        <w:keepLines w:val="0"/>
        <w:widowControl/>
        <w:numPr>
          <w:ilvl w:val="0"/>
          <w:numId w:val="0"/>
        </w:numPr>
        <w:suppressLineNumbers w:val="0"/>
        <w:ind w:firstLine="643" w:firstLineChars="200"/>
        <w:jc w:val="both"/>
        <w:rPr>
          <w:rFonts w:hint="eastAsia" w:ascii="仿宋" w:hAnsi="仿宋" w:eastAsia="仿宋" w:cs="仿宋"/>
          <w:b w:val="0"/>
          <w:bCs w:val="0"/>
          <w:color w:val="000000" w:themeColor="text1"/>
          <w:kern w:val="0"/>
          <w:sz w:val="32"/>
          <w:szCs w:val="32"/>
          <w:u w:color="000000"/>
          <w:lang w:val="en-US" w:eastAsia="zh-CN" w:bidi="ar-SA"/>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1、加强工作调度，经济运行稳中有进。</w:t>
      </w:r>
      <w:r>
        <w:rPr>
          <w:rFonts w:hint="eastAsia" w:ascii="仿宋" w:hAnsi="仿宋" w:eastAsia="仿宋" w:cs="仿宋"/>
          <w:b w:val="0"/>
          <w:bCs w:val="0"/>
          <w:color w:val="000000" w:themeColor="text1"/>
          <w:kern w:val="0"/>
          <w:sz w:val="32"/>
          <w:szCs w:val="32"/>
          <w:u w:color="000000"/>
          <w:lang w:val="en-US" w:eastAsia="zh-CN" w:bidi="ar-SA"/>
          <w14:textFill>
            <w14:solidFill>
              <w14:schemeClr w14:val="tx1"/>
            </w14:solidFill>
          </w14:textFill>
        </w:rPr>
        <w:t>今年以来，我局深入贯彻落实习近平总书记考察湖南重要讲话精神，大力实施“三高四新”战略，以特色产业建设为抓手，以打造中国PCB“第三极”为目标，着力将资阳建设成湖南省先进制造业高地。全区现有规模工业企业162家，全年实现规模工业总产值444.7亿元，同比增长15.2%；规模工业增加值可比增速达10.8%；</w:t>
      </w:r>
      <w:r>
        <w:rPr>
          <w:rFonts w:hint="eastAsia" w:ascii="仿宋" w:hAnsi="仿宋" w:eastAsia="仿宋" w:cs="仿宋"/>
          <w:sz w:val="32"/>
          <w:szCs w:val="32"/>
          <w:lang w:val="en-US" w:eastAsia="zh-CN"/>
        </w:rPr>
        <w:t>工业投资增速为20.4%；工业技改增速为18.3%；工业税收增速为15.33%</w:t>
      </w:r>
      <w:r>
        <w:rPr>
          <w:rFonts w:hint="eastAsia" w:ascii="仿宋" w:hAnsi="仿宋" w:eastAsia="仿宋" w:cs="仿宋"/>
          <w:b w:val="0"/>
          <w:bCs w:val="0"/>
          <w:color w:val="000000" w:themeColor="text1"/>
          <w:kern w:val="0"/>
          <w:sz w:val="32"/>
          <w:szCs w:val="32"/>
          <w:u w:color="000000"/>
          <w:lang w:val="en-US" w:eastAsia="zh-CN" w:bidi="ar-SA"/>
          <w14:textFill>
            <w14:solidFill>
              <w14:schemeClr w14:val="tx1"/>
            </w14:solidFill>
          </w14:textFill>
        </w:rPr>
        <w:t>；制造业占比为45%；</w:t>
      </w:r>
      <w:r>
        <w:rPr>
          <w:rFonts w:hint="eastAsia" w:ascii="仿宋" w:hAnsi="仿宋" w:eastAsia="仿宋" w:cs="仿宋"/>
          <w:sz w:val="32"/>
          <w:szCs w:val="32"/>
          <w:lang w:val="en-US" w:eastAsia="zh-CN"/>
        </w:rPr>
        <w:t>新产品销售占比为7.8%</w:t>
      </w:r>
      <w:r>
        <w:rPr>
          <w:rFonts w:hint="eastAsia" w:ascii="仿宋" w:hAnsi="仿宋" w:eastAsia="仿宋" w:cs="仿宋"/>
          <w:b w:val="0"/>
          <w:bCs w:val="0"/>
          <w:color w:val="000000" w:themeColor="text1"/>
          <w:kern w:val="0"/>
          <w:sz w:val="32"/>
          <w:szCs w:val="32"/>
          <w:u w:color="000000"/>
          <w:lang w:val="en-US" w:eastAsia="zh-CN" w:bidi="ar-SA"/>
          <w14:textFill>
            <w14:solidFill>
              <w14:schemeClr w14:val="tx1"/>
            </w14:solidFill>
          </w14:textFill>
        </w:rPr>
        <w:t>。2021年，制造强省入库项目38个，申报成功22个；全年立项争资到位资金2002.08万元，超额完成立项争资任务。我们获评2021年度湖南工业数据云建设先进单位。</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643" w:firstLineChars="200"/>
        <w:jc w:val="both"/>
        <w:textAlignment w:val="auto"/>
        <w:outlineLvl w:val="2"/>
        <w:rPr>
          <w:rFonts w:hint="eastAsia" w:ascii="仿宋" w:hAnsi="仿宋" w:eastAsia="仿宋" w:cs="仿宋"/>
          <w:b w:val="0"/>
          <w:bCs w:val="0"/>
          <w:color w:val="000000" w:themeColor="text1"/>
          <w:kern w:val="0"/>
          <w:sz w:val="32"/>
          <w:szCs w:val="32"/>
          <w:u w:color="000000"/>
          <w:lang w:val="en-US" w:eastAsia="zh-CN" w:bidi="ar-SA"/>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2、打造园区特色，优势</w:t>
      </w:r>
      <w:r>
        <w:rPr>
          <w:rFonts w:hint="eastAsia" w:ascii="仿宋" w:hAnsi="仿宋" w:eastAsia="仿宋" w:cs="仿宋"/>
          <w:b/>
          <w:bCs/>
          <w:color w:val="000000" w:themeColor="text1"/>
          <w:sz w:val="32"/>
          <w:szCs w:val="32"/>
          <w:lang w:eastAsia="zh-CN"/>
          <w14:textFill>
            <w14:solidFill>
              <w14:schemeClr w14:val="tx1"/>
            </w14:solidFill>
          </w14:textFill>
        </w:rPr>
        <w:t>产业集聚明显。</w:t>
      </w:r>
      <w:r>
        <w:rPr>
          <w:rFonts w:hint="eastAsia" w:ascii="仿宋" w:hAnsi="仿宋" w:eastAsia="仿宋" w:cs="仿宋"/>
          <w:b w:val="0"/>
          <w:bCs w:val="0"/>
          <w:color w:val="000000" w:themeColor="text1"/>
          <w:kern w:val="0"/>
          <w:sz w:val="32"/>
          <w:szCs w:val="32"/>
          <w:u w:color="000000"/>
          <w:lang w:val="en-US" w:eastAsia="zh-CN" w:bidi="ar-SA"/>
          <w14:textFill>
            <w14:solidFill>
              <w14:schemeClr w14:val="tx1"/>
            </w14:solidFill>
          </w14:textFill>
        </w:rPr>
        <w:t>坚持走特色发展、差异发展之路，积极打造特色园区，按照省级园区“一主一特”原则，全力主攻电子电路板产业、重点发展装备制造产业。</w:t>
      </w:r>
      <w:r>
        <w:rPr>
          <w:rFonts w:hint="eastAsia" w:ascii="仿宋" w:hAnsi="仿宋" w:eastAsia="仿宋" w:cs="仿宋"/>
          <w:b/>
          <w:bCs/>
          <w:color w:val="000000" w:themeColor="text1"/>
          <w:sz w:val="32"/>
          <w:szCs w:val="32"/>
          <w:lang w:val="en-US" w:eastAsia="zh-CN"/>
          <w14:textFill>
            <w14:solidFill>
              <w14:schemeClr w14:val="tx1"/>
            </w14:solidFill>
          </w14:textFill>
        </w:rPr>
        <w:t>一是</w:t>
      </w:r>
      <w:r>
        <w:rPr>
          <w:rFonts w:hint="eastAsia" w:ascii="仿宋" w:hAnsi="仿宋" w:eastAsia="仿宋" w:cs="仿宋"/>
          <w:b w:val="0"/>
          <w:bCs w:val="0"/>
          <w:color w:val="000000" w:themeColor="text1"/>
          <w:kern w:val="0"/>
          <w:sz w:val="32"/>
          <w:szCs w:val="32"/>
          <w:u w:color="000000"/>
          <w:lang w:val="en-US" w:eastAsia="zh-CN" w:bidi="ar-SA"/>
          <w14:textFill>
            <w14:solidFill>
              <w14:schemeClr w14:val="tx1"/>
            </w14:solidFill>
          </w14:textFill>
        </w:rPr>
        <w:t>以PCB产业为重点，以奥士康、明正宏、维胜科技为龙头，借助于三类工业用地优势及湖南省电子电路板特色产业园区政策倾斜，打造独具特色的PCB产业集群。目前已开发PCB产业园区面积1800亩，入驻电子电路板企业36家，新引进PCB项目有高登电子、宝悦嘉电子、星之源电子等12个，PCB产业获批2021年湖南省先进制造业集群。</w:t>
      </w:r>
      <w:r>
        <w:rPr>
          <w:rFonts w:hint="eastAsia" w:ascii="仿宋" w:hAnsi="仿宋" w:eastAsia="仿宋" w:cs="仿宋"/>
          <w:b/>
          <w:bCs/>
          <w:color w:val="000000" w:themeColor="text1"/>
          <w:sz w:val="32"/>
          <w:szCs w:val="32"/>
          <w:lang w:val="en-US" w:eastAsia="zh-CN"/>
          <w14:textFill>
            <w14:solidFill>
              <w14:schemeClr w14:val="tx1"/>
            </w14:solidFill>
          </w14:textFill>
        </w:rPr>
        <w:t>二是</w:t>
      </w:r>
      <w:r>
        <w:rPr>
          <w:rFonts w:hint="eastAsia" w:ascii="仿宋" w:hAnsi="仿宋" w:eastAsia="仿宋" w:cs="仿宋"/>
          <w:b w:val="0"/>
          <w:bCs w:val="0"/>
          <w:color w:val="000000" w:themeColor="text1"/>
          <w:kern w:val="0"/>
          <w:sz w:val="32"/>
          <w:szCs w:val="32"/>
          <w:u w:color="000000"/>
          <w:lang w:val="en-US" w:eastAsia="zh-CN" w:bidi="ar-SA"/>
          <w14:textFill>
            <w14:solidFill>
              <w14:schemeClr w14:val="tx1"/>
            </w14:solidFill>
          </w14:textFill>
        </w:rPr>
        <w:t>以装备制造业为特色，大力实施“东接东融”发展战略，新引进了山河智能、精力机械、恒磊机械、翕悦机械等装备制造企业，为产业集群增添活力。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firstLine="643" w:firstLineChars="200"/>
        <w:jc w:val="both"/>
        <w:textAlignment w:val="auto"/>
        <w:rPr>
          <w:rFonts w:hint="eastAsia" w:ascii="仿宋" w:hAnsi="仿宋" w:eastAsia="仿宋" w:cs="仿宋"/>
          <w:b w:val="0"/>
          <w:bCs w:val="0"/>
          <w:color w:val="000000" w:themeColor="text1"/>
          <w:kern w:val="0"/>
          <w:sz w:val="32"/>
          <w:szCs w:val="32"/>
          <w:u w:color="000000"/>
          <w:lang w:val="en-US" w:eastAsia="zh-CN" w:bidi="ar-SA"/>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3、注重企业培育，重点企业做优做强。</w:t>
      </w:r>
      <w:r>
        <w:rPr>
          <w:rFonts w:hint="eastAsia" w:ascii="仿宋" w:hAnsi="仿宋" w:eastAsia="仿宋" w:cs="仿宋"/>
          <w:b w:val="0"/>
          <w:bCs w:val="0"/>
          <w:color w:val="000000" w:themeColor="text1"/>
          <w:kern w:val="0"/>
          <w:sz w:val="32"/>
          <w:szCs w:val="32"/>
          <w:u w:color="000000"/>
          <w:lang w:val="en-US" w:eastAsia="zh-CN" w:bidi="ar-SA"/>
          <w14:textFill>
            <w14:solidFill>
              <w14:schemeClr w14:val="tx1"/>
            </w14:solidFill>
          </w14:textFill>
        </w:rPr>
        <w:t>我局以提升企业竞争力为目标，集中力量培育壮大重点骨干企业。2021年，共培育工信部国家技术创新示范企业1家（奥士康）、工信部新一代信息技术与制造业融合发展试点示范企业1家（奥士康）、国家级“小巨人”企业2家（富佳科技、生力材料）、省级“小巨人”企业3家（明正宏、鸿源稀土、瀚鑫机械）、省级两化融合贯标试点企业2家（远大建筑、口味王），省级“上云上平台”标杆企业1家（朝阳电子）；省认定企业技术中心1个（明正宏）。奥士康获评第一届新湖南贡献奖先进集体、宇晶机器总经理杨佳葳获评第一届新湖南贡献奖先进个人，口味王入选2021湖南企业100强，口味王、奥士康入选2021湖南制造业企业100强。一大批企业技术创新能力、品牌影响力不断提升，成为我区工业经济高质量发展的中坚力量。</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643" w:firstLineChars="200"/>
        <w:jc w:val="both"/>
        <w:textAlignment w:val="auto"/>
        <w:rPr>
          <w:rFonts w:hint="eastAsia" w:ascii="仿宋" w:hAnsi="仿宋" w:eastAsia="仿宋" w:cs="仿宋"/>
          <w:b w:val="0"/>
          <w:bCs w:val="0"/>
          <w:color w:val="000000" w:themeColor="text1"/>
          <w:kern w:val="0"/>
          <w:sz w:val="32"/>
          <w:szCs w:val="32"/>
          <w:u w:color="000000"/>
          <w:lang w:val="en-US" w:eastAsia="zh-CN" w:bidi="ar-SA"/>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4、优化营商环境，企业帮扶落实有效</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kern w:val="0"/>
          <w:sz w:val="32"/>
          <w:szCs w:val="32"/>
          <w:u w:color="000000"/>
          <w:lang w:val="en-US" w:eastAsia="zh-CN" w:bidi="ar-SA"/>
          <w14:textFill>
            <w14:solidFill>
              <w14:schemeClr w14:val="tx1"/>
            </w14:solidFill>
          </w14:textFill>
        </w:rPr>
        <w:t>2021年制定了企业精准帮扶工作方案、“纾困增效”专项行动方案，帮助企业解决问题35个。设立了企业入规扶持资金，给予每家新入规企业5万元扶持资金，提高企业入规积极性。参与了引进高层次实用型专业人才支持重点企业工作，对引进人才在事业编制、配偶工作、子女教学、五险一金等方面进行支持，目前已为奥士康、宇晶机器引进高层次人才4人，缓解了企业技术人员招聘难压力。联合区金融办与银行机构对接，为明正宏、鸿源稀土、诺泽生物等企业解决融资难题。实施高压“三省”服务，加快普及低压“三零”服务，精简办电流程，清理规范收费项目，持续优化电力环境。开通了新材料产业园至龙洲路迎宾路口103路公交线路，缓解了员工交通压力。</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3"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kern w:val="2"/>
          <w:sz w:val="32"/>
          <w:szCs w:val="32"/>
          <w:lang w:val="en-US" w:eastAsia="zh-CN" w:bidi="ar-SA"/>
          <w14:textFill>
            <w14:solidFill>
              <w14:schemeClr w14:val="tx1"/>
            </w14:solidFill>
          </w14:textFill>
        </w:rPr>
        <w:t>5、积极统筹协调，各项工作有序开展。一是</w:t>
      </w:r>
      <w:r>
        <w:rPr>
          <w:rFonts w:hint="eastAsia" w:ascii="仿宋" w:hAnsi="仿宋" w:eastAsia="仿宋" w:cs="仿宋"/>
          <w:b w:val="0"/>
          <w:bCs w:val="0"/>
          <w:color w:val="000000" w:themeColor="text1"/>
          <w:kern w:val="0"/>
          <w:sz w:val="32"/>
          <w:szCs w:val="32"/>
          <w:u w:color="000000"/>
          <w:lang w:val="en-US" w:eastAsia="zh-CN" w:bidi="ar-SA"/>
          <w14:textFill>
            <w14:solidFill>
              <w14:schemeClr w14:val="tx1"/>
            </w14:solidFill>
          </w14:textFill>
        </w:rPr>
        <w:t>持续加快5G基站建设进度，今年新建5G基站72个，为城区提供稳定的5G网络。</w:t>
      </w:r>
      <w:r>
        <w:rPr>
          <w:rFonts w:hint="eastAsia" w:ascii="仿宋" w:hAnsi="仿宋" w:eastAsia="仿宋" w:cs="仿宋"/>
          <w:b/>
          <w:bCs/>
          <w:color w:val="auto"/>
          <w:kern w:val="2"/>
          <w:sz w:val="32"/>
          <w:szCs w:val="32"/>
          <w:highlight w:val="none"/>
          <w:lang w:val="en-US" w:eastAsia="zh-CN" w:bidi="ar"/>
        </w:rPr>
        <w:t>二是</w:t>
      </w:r>
      <w:r>
        <w:rPr>
          <w:rFonts w:hint="eastAsia" w:ascii="仿宋" w:hAnsi="仿宋" w:eastAsia="仿宋" w:cs="仿宋"/>
          <w:b w:val="0"/>
          <w:bCs w:val="0"/>
          <w:color w:val="000000" w:themeColor="text1"/>
          <w:kern w:val="0"/>
          <w:sz w:val="32"/>
          <w:szCs w:val="32"/>
          <w:u w:color="000000"/>
          <w:lang w:val="en-US" w:eastAsia="zh-CN" w:bidi="ar-SA"/>
          <w14:textFill>
            <w14:solidFill>
              <w14:schemeClr w14:val="tx1"/>
            </w14:solidFill>
          </w14:textFill>
        </w:rPr>
        <w:t>大力开展安全生产“百日攻坚”、安全生产风险“大排查大管控大整治”等专项整治行动，今年以来共排查问题隐患300余个，已全部整改到位，目前全区工业企业安全生产工作形势总体向好，没有发生任何安全生产事故。</w:t>
      </w:r>
      <w:r>
        <w:rPr>
          <w:rFonts w:hint="eastAsia" w:ascii="仿宋" w:hAnsi="仿宋" w:eastAsia="仿宋" w:cs="仿宋"/>
          <w:b/>
          <w:bCs/>
          <w:kern w:val="2"/>
          <w:sz w:val="32"/>
          <w:szCs w:val="32"/>
          <w:lang w:val="en-US" w:eastAsia="zh-CN" w:bidi="ar-SA"/>
        </w:rPr>
        <w:t>三是</w:t>
      </w:r>
      <w:r>
        <w:rPr>
          <w:rFonts w:hint="eastAsia" w:ascii="仿宋" w:hAnsi="仿宋" w:eastAsia="仿宋" w:cs="仿宋"/>
          <w:b w:val="0"/>
          <w:bCs w:val="0"/>
          <w:color w:val="000000" w:themeColor="text1"/>
          <w:kern w:val="0"/>
          <w:sz w:val="32"/>
          <w:szCs w:val="32"/>
          <w:u w:color="000000"/>
          <w:lang w:val="en-US" w:eastAsia="zh-CN" w:bidi="ar-SA"/>
          <w14:textFill>
            <w14:solidFill>
              <w14:schemeClr w14:val="tx1"/>
            </w14:solidFill>
          </w14:textFill>
        </w:rPr>
        <w:t>认真落实市蓝天办发布预警指令，组织企业实行错峰生产，提升城区空气质量；做好了沿江一公里的化工企业关闭、奥士康海绵铜生产线的拆除等各项环保工作，落实好了环保督查组反映的环保问题。</w:t>
      </w: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四是</w:t>
      </w:r>
      <w:r>
        <w:rPr>
          <w:rFonts w:hint="eastAsia" w:ascii="仿宋" w:hAnsi="仿宋" w:eastAsia="仿宋" w:cs="仿宋"/>
          <w:b w:val="0"/>
          <w:bCs w:val="0"/>
          <w:color w:val="000000" w:themeColor="text1"/>
          <w:kern w:val="0"/>
          <w:sz w:val="32"/>
          <w:szCs w:val="32"/>
          <w:u w:color="000000"/>
          <w:lang w:val="en-US" w:eastAsia="zh-CN" w:bidi="ar-SA"/>
          <w14:textFill>
            <w14:solidFill>
              <w14:schemeClr w14:val="tx1"/>
            </w14:solidFill>
          </w14:textFill>
        </w:rPr>
        <w:t>制定了2021年拆迁工作计划，选派精兵强将充实到拆迁一线，石码头小学扩建项目提前1个月完成工作任务，3号地、11号地、12号地的拆迁工作稳步推进。五是持续推进乡村振兴工作。选派了4名干部驻村工作。根据帮扶对象存在的困难制定了一对一帮扶措施，及时掌握其家庭情况和动态信息，着力解决其急难愁盼问题。为帮扶村龙凤港村、龚家坪社区共解决资金12万元，助力乡村振兴。</w:t>
      </w:r>
    </w:p>
    <w:p>
      <w:pPr>
        <w:autoSpaceDE w:val="0"/>
        <w:ind w:firstLine="640" w:firstLineChars="200"/>
        <w:rPr>
          <w:rFonts w:hint="eastAsia" w:ascii="仿宋" w:hAnsi="仿宋" w:eastAsia="仿宋" w:cs="仿宋"/>
          <w:sz w:val="32"/>
          <w:szCs w:val="32"/>
        </w:rPr>
      </w:pPr>
      <w:r>
        <w:rPr>
          <w:rFonts w:hint="eastAsia" w:ascii="仿宋" w:hAnsi="仿宋" w:eastAsia="仿宋" w:cs="仿宋"/>
          <w:sz w:val="32"/>
          <w:szCs w:val="32"/>
        </w:rPr>
        <w:t>回顾一年的工作，</w:t>
      </w:r>
      <w:r>
        <w:rPr>
          <w:rFonts w:hint="eastAsia" w:ascii="仿宋" w:hAnsi="仿宋" w:eastAsia="仿宋" w:cs="仿宋"/>
          <w:sz w:val="32"/>
          <w:szCs w:val="32"/>
          <w:lang w:eastAsia="zh-CN"/>
        </w:rPr>
        <w:t>在</w:t>
      </w:r>
      <w:r>
        <w:rPr>
          <w:rFonts w:hint="eastAsia" w:ascii="仿宋" w:hAnsi="仿宋" w:eastAsia="仿宋" w:cs="仿宋"/>
          <w:sz w:val="32"/>
          <w:szCs w:val="32"/>
        </w:rPr>
        <w:t>区政府以及班子的正确领导</w:t>
      </w:r>
      <w:r>
        <w:rPr>
          <w:rFonts w:hint="eastAsia" w:ascii="仿宋" w:hAnsi="仿宋" w:eastAsia="仿宋" w:cs="仿宋"/>
          <w:sz w:val="32"/>
          <w:szCs w:val="32"/>
          <w:lang w:eastAsia="zh-CN"/>
        </w:rPr>
        <w:t>下</w:t>
      </w:r>
      <w:r>
        <w:rPr>
          <w:rFonts w:hint="eastAsia" w:ascii="仿宋" w:hAnsi="仿宋" w:eastAsia="仿宋" w:cs="仿宋"/>
          <w:sz w:val="32"/>
          <w:szCs w:val="32"/>
        </w:rPr>
        <w:t>，</w:t>
      </w:r>
      <w:r>
        <w:rPr>
          <w:rFonts w:hint="eastAsia" w:ascii="仿宋" w:hAnsi="仿宋" w:eastAsia="仿宋" w:cs="仿宋"/>
          <w:sz w:val="32"/>
          <w:szCs w:val="32"/>
          <w:lang w:eastAsia="zh-CN"/>
        </w:rPr>
        <w:t>经过</w:t>
      </w:r>
      <w:r>
        <w:rPr>
          <w:rFonts w:hint="eastAsia" w:ascii="仿宋" w:hAnsi="仿宋" w:eastAsia="仿宋" w:cs="仿宋"/>
          <w:sz w:val="32"/>
          <w:szCs w:val="32"/>
        </w:rPr>
        <w:t>大家的共同努力，我局在20</w:t>
      </w:r>
      <w:r>
        <w:rPr>
          <w:rFonts w:hint="eastAsia" w:ascii="仿宋" w:hAnsi="仿宋" w:eastAsia="仿宋" w:cs="仿宋"/>
          <w:sz w:val="32"/>
          <w:szCs w:val="32"/>
          <w:lang w:val="en-US" w:eastAsia="zh-CN"/>
        </w:rPr>
        <w:t>21</w:t>
      </w:r>
      <w:r>
        <w:rPr>
          <w:rFonts w:hint="eastAsia" w:ascii="仿宋" w:hAnsi="仿宋" w:eastAsia="仿宋" w:cs="仿宋"/>
          <w:sz w:val="32"/>
          <w:szCs w:val="32"/>
        </w:rPr>
        <w:t>年的绩效考核中被评为</w:t>
      </w:r>
      <w:r>
        <w:rPr>
          <w:rFonts w:hint="eastAsia" w:ascii="仿宋" w:hAnsi="仿宋" w:eastAsia="仿宋" w:cs="仿宋"/>
          <w:sz w:val="32"/>
          <w:szCs w:val="32"/>
          <w:lang w:eastAsia="zh-CN"/>
        </w:rPr>
        <w:t>一</w:t>
      </w:r>
      <w:r>
        <w:rPr>
          <w:rFonts w:hint="eastAsia" w:ascii="仿宋" w:hAnsi="仿宋" w:eastAsia="仿宋" w:cs="仿宋"/>
          <w:sz w:val="32"/>
          <w:szCs w:val="32"/>
        </w:rPr>
        <w:t>等奖。20</w:t>
      </w:r>
      <w:r>
        <w:rPr>
          <w:rFonts w:hint="eastAsia" w:ascii="仿宋" w:hAnsi="仿宋" w:eastAsia="仿宋" w:cs="仿宋"/>
          <w:sz w:val="32"/>
          <w:szCs w:val="32"/>
          <w:lang w:val="en-US" w:eastAsia="zh-CN"/>
        </w:rPr>
        <w:t>21</w:t>
      </w:r>
      <w:r>
        <w:rPr>
          <w:rFonts w:hint="eastAsia" w:ascii="仿宋" w:hAnsi="仿宋" w:eastAsia="仿宋" w:cs="仿宋"/>
          <w:sz w:val="32"/>
          <w:szCs w:val="32"/>
        </w:rPr>
        <w:t>年预算绩效自评分9</w:t>
      </w:r>
      <w:r>
        <w:rPr>
          <w:rFonts w:hint="eastAsia" w:ascii="仿宋" w:hAnsi="仿宋" w:eastAsia="仿宋" w:cs="仿宋"/>
          <w:sz w:val="32"/>
          <w:szCs w:val="32"/>
          <w:lang w:val="en-US" w:eastAsia="zh-CN"/>
        </w:rPr>
        <w:t>8</w:t>
      </w:r>
      <w:r>
        <w:rPr>
          <w:rFonts w:hint="eastAsia" w:ascii="仿宋" w:hAnsi="仿宋" w:eastAsia="仿宋" w:cs="仿宋"/>
          <w:sz w:val="32"/>
          <w:szCs w:val="32"/>
        </w:rPr>
        <w:t>分，等级为“优秀”。</w:t>
      </w:r>
    </w:p>
    <w:p>
      <w:pPr>
        <w:autoSpaceDE w:val="0"/>
        <w:ind w:firstLine="3360" w:firstLineChars="1050"/>
        <w:rPr>
          <w:rFonts w:hint="eastAsia" w:ascii="仿宋" w:hAnsi="仿宋" w:eastAsia="仿宋" w:cs="仿宋"/>
          <w:kern w:val="0"/>
          <w:sz w:val="32"/>
          <w:szCs w:val="32"/>
        </w:rPr>
      </w:pPr>
    </w:p>
    <w:p>
      <w:pPr>
        <w:autoSpaceDE w:val="0"/>
        <w:ind w:firstLine="3360" w:firstLineChars="1050"/>
        <w:rPr>
          <w:rFonts w:hint="eastAsia" w:ascii="仿宋" w:hAnsi="仿宋" w:eastAsia="仿宋" w:cs="仿宋"/>
          <w:kern w:val="0"/>
          <w:sz w:val="32"/>
          <w:szCs w:val="32"/>
        </w:rPr>
      </w:pPr>
    </w:p>
    <w:p>
      <w:pPr>
        <w:autoSpaceDE w:val="0"/>
        <w:ind w:firstLine="4000" w:firstLineChars="1250"/>
        <w:rPr>
          <w:rFonts w:hint="eastAsia" w:ascii="仿宋" w:hAnsi="仿宋" w:eastAsia="仿宋" w:cs="仿宋"/>
          <w:kern w:val="0"/>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0MGFiYjg1NGQ2ODQwNDJkMTc1NWM3MWVjYTliNTUifQ=="/>
  </w:docVars>
  <w:rsids>
    <w:rsidRoot w:val="002C0E39"/>
    <w:rsid w:val="00187A55"/>
    <w:rsid w:val="002C0E39"/>
    <w:rsid w:val="030B70DA"/>
    <w:rsid w:val="14490118"/>
    <w:rsid w:val="15435DE6"/>
    <w:rsid w:val="187307E9"/>
    <w:rsid w:val="19B846CF"/>
    <w:rsid w:val="1F7413EB"/>
    <w:rsid w:val="207E11C8"/>
    <w:rsid w:val="251175E6"/>
    <w:rsid w:val="27766813"/>
    <w:rsid w:val="27E2731F"/>
    <w:rsid w:val="29340175"/>
    <w:rsid w:val="2B663492"/>
    <w:rsid w:val="2BE154D3"/>
    <w:rsid w:val="3BC96A15"/>
    <w:rsid w:val="3F367F1D"/>
    <w:rsid w:val="40497302"/>
    <w:rsid w:val="414F30D8"/>
    <w:rsid w:val="44B938DB"/>
    <w:rsid w:val="464B008D"/>
    <w:rsid w:val="49512083"/>
    <w:rsid w:val="4A716C3E"/>
    <w:rsid w:val="4B88511B"/>
    <w:rsid w:val="4E720846"/>
    <w:rsid w:val="50EA3BAB"/>
    <w:rsid w:val="53D66A11"/>
    <w:rsid w:val="5A2C4051"/>
    <w:rsid w:val="5F6149FC"/>
    <w:rsid w:val="66E83B22"/>
    <w:rsid w:val="6B220568"/>
    <w:rsid w:val="6C644A65"/>
    <w:rsid w:val="767135EB"/>
    <w:rsid w:val="7C543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afterLines="0"/>
      <w:ind w:left="420" w:leftChars="200"/>
    </w:pPr>
  </w:style>
  <w:style w:type="paragraph" w:styleId="4">
    <w:name w:val="Body Text"/>
    <w:basedOn w:val="1"/>
    <w:qFormat/>
    <w:uiPriority w:val="0"/>
    <w:pPr>
      <w:spacing w:after="120"/>
    </w:pPr>
    <w:rPr>
      <w:rFonts w:ascii="Calibri" w:hAnsi="Calibri" w:eastAsia="宋体" w:cs="Times New Roman"/>
    </w:rPr>
  </w:style>
  <w:style w:type="paragraph" w:styleId="5">
    <w:name w:val="Plain Text"/>
    <w:basedOn w:val="1"/>
    <w:qFormat/>
    <w:uiPriority w:val="99"/>
    <w:rPr>
      <w:rFonts w:ascii="宋体" w:hAnsi="Courier New" w:cs="Courier New"/>
      <w:szCs w:val="21"/>
    </w:r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4"/>
    <w:qFormat/>
    <w:uiPriority w:val="0"/>
    <w:pPr>
      <w:ind w:firstLine="420" w:firstLineChars="1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3214</Words>
  <Characters>3404</Characters>
  <Lines>21</Lines>
  <Paragraphs>6</Paragraphs>
  <TotalTime>169</TotalTime>
  <ScaleCrop>false</ScaleCrop>
  <LinksUpToDate>false</LinksUpToDate>
  <CharactersWithSpaces>3404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2021-10-25T08:08:00Z</dcterms:created>
  <dc:creator>Administrator</dc:creator>
  <cp:lastModifiedBy>Administrator</cp:lastModifiedBy>
  <dcterms:modified xsi:type="dcterms:W3CDTF">2022-09-15T06:05:31Z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61092E7A49284FCFA0D7FD2C484847A0</vt:lpwstr>
  </property>
</Properties>
</file>