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35" w:rsidRDefault="00052C35">
      <w:pPr>
        <w:jc w:val="center"/>
        <w:rPr>
          <w:rFonts w:ascii="宋体" w:eastAsia="宋体" w:hAnsi="宋体" w:cs="Arial" w:hint="eastAsia"/>
          <w:b/>
          <w:bCs/>
          <w:sz w:val="36"/>
          <w:szCs w:val="36"/>
        </w:rPr>
      </w:pPr>
      <w:r>
        <w:rPr>
          <w:rFonts w:ascii="宋体" w:eastAsia="宋体" w:hAnsi="宋体" w:cs="Arial" w:hint="eastAsia"/>
          <w:b/>
          <w:bCs/>
          <w:sz w:val="36"/>
          <w:szCs w:val="36"/>
        </w:rPr>
        <w:t>益阳市资阳区大潭口血防站</w:t>
      </w:r>
    </w:p>
    <w:p w:rsidR="00DC40A8" w:rsidRDefault="00215547">
      <w:pPr>
        <w:jc w:val="center"/>
        <w:rPr>
          <w:rFonts w:ascii="Arial" w:eastAsia="宋体" w:hAnsi="Arial" w:cs="Arial"/>
          <w:b/>
          <w:bCs/>
          <w:sz w:val="36"/>
          <w:szCs w:val="36"/>
        </w:rPr>
      </w:pPr>
      <w:r>
        <w:rPr>
          <w:rFonts w:ascii="宋体" w:eastAsia="宋体" w:hAnsi="宋体" w:cs="Arial" w:hint="eastAsia"/>
          <w:b/>
          <w:bCs/>
          <w:sz w:val="36"/>
          <w:szCs w:val="36"/>
        </w:rPr>
        <w:t>项目支出</w:t>
      </w:r>
      <w:r>
        <w:rPr>
          <w:rFonts w:ascii="宋体" w:eastAsia="宋体" w:hAnsi="宋体" w:cs="Arial"/>
          <w:b/>
          <w:bCs/>
          <w:sz w:val="36"/>
          <w:szCs w:val="36"/>
        </w:rPr>
        <w:t>绩效</w:t>
      </w:r>
      <w:r>
        <w:rPr>
          <w:rFonts w:ascii="宋体" w:eastAsia="宋体" w:hAnsi="宋体" w:cs="Arial" w:hint="eastAsia"/>
          <w:b/>
          <w:bCs/>
          <w:sz w:val="36"/>
          <w:szCs w:val="36"/>
        </w:rPr>
        <w:t>评价报告</w:t>
      </w:r>
    </w:p>
    <w:p w:rsidR="00DC40A8" w:rsidRDefault="00DC40A8">
      <w:pPr>
        <w:jc w:val="center"/>
        <w:rPr>
          <w:rFonts w:ascii="仿宋_GB2312"/>
          <w:szCs w:val="30"/>
        </w:rPr>
      </w:pPr>
    </w:p>
    <w:p w:rsidR="00DC40A8" w:rsidRDefault="00215547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一、基本情况</w:t>
      </w:r>
    </w:p>
    <w:p w:rsidR="00470B78" w:rsidRPr="00470B78" w:rsidRDefault="00470B78" w:rsidP="00470B78">
      <w:pPr>
        <w:spacing w:line="600" w:lineRule="exact"/>
        <w:ind w:firstLineChars="200" w:firstLine="600"/>
        <w:rPr>
          <w:rFonts w:ascii="仿宋_GB2312" w:hint="eastAsia"/>
        </w:rPr>
      </w:pPr>
      <w:r w:rsidRPr="00470B78">
        <w:rPr>
          <w:rFonts w:ascii="仿宋_GB2312" w:hint="eastAsia"/>
        </w:rPr>
        <w:t>益阳市资阳区大潭口血防站</w:t>
      </w:r>
      <w:r w:rsidRPr="00470B78">
        <w:rPr>
          <w:rFonts w:ascii="仿宋_GB2312" w:hint="eastAsia"/>
        </w:rPr>
        <w:t>位于资阳区张家塞乡大潭口村，负责本辖区血吸虫病的防治，主要开展查螺、灭螺，血吸虫病的检查、治疗和宣传工作。</w:t>
      </w:r>
    </w:p>
    <w:p w:rsidR="00052C35" w:rsidRPr="00037987" w:rsidRDefault="00052C35" w:rsidP="00052C35">
      <w:pPr>
        <w:autoSpaceDE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2021年度投入</w:t>
      </w:r>
      <w:r w:rsidR="00215547">
        <w:rPr>
          <w:rFonts w:ascii="仿宋" w:eastAsia="仿宋" w:hAnsi="仿宋" w:hint="eastAsia"/>
          <w:sz w:val="32"/>
          <w:szCs w:val="32"/>
        </w:rPr>
        <w:t>血防项目</w:t>
      </w:r>
      <w:r>
        <w:rPr>
          <w:rFonts w:ascii="仿宋" w:eastAsia="仿宋" w:hAnsi="仿宋" w:hint="eastAsia"/>
          <w:sz w:val="32"/>
          <w:szCs w:val="32"/>
        </w:rPr>
        <w:t>资金131.33万元，实际使用152.71万元（含上年度结转资金61.77万元）。</w:t>
      </w:r>
    </w:p>
    <w:p w:rsidR="00052C35" w:rsidRDefault="00052C35" w:rsidP="00052C35">
      <w:pPr>
        <w:spacing w:line="600" w:lineRule="exact"/>
        <w:rPr>
          <w:rFonts w:ascii="仿宋_GB2312" w:hint="eastAsia"/>
        </w:rPr>
      </w:pPr>
      <w:r>
        <w:rPr>
          <w:rFonts w:ascii="仿宋_GB2312" w:hint="eastAsia"/>
        </w:rPr>
        <w:t>（二）项目绩效目标。</w:t>
      </w:r>
    </w:p>
    <w:p w:rsidR="00052C35" w:rsidRDefault="00215547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总体目标</w:t>
      </w:r>
      <w:r w:rsidR="00052C35">
        <w:rPr>
          <w:rFonts w:ascii="仿宋_GB2312" w:hint="eastAsia"/>
        </w:rPr>
        <w:t>：以血吸虫病传播控制标准为新的起点，努力向实现传播阻断目标迈进。</w:t>
      </w:r>
    </w:p>
    <w:p w:rsidR="00DC40A8" w:rsidRDefault="00052C35" w:rsidP="00052C35">
      <w:pPr>
        <w:spacing w:line="600" w:lineRule="exact"/>
        <w:ind w:firstLineChars="200" w:firstLine="600"/>
        <w:rPr>
          <w:rFonts w:ascii="仿宋_GB2312"/>
        </w:rPr>
      </w:pPr>
      <w:r>
        <w:rPr>
          <w:rFonts w:ascii="仿宋_GB2312" w:hint="eastAsia"/>
        </w:rPr>
        <w:t>阶段性目标</w:t>
      </w:r>
      <w:r>
        <w:rPr>
          <w:rFonts w:ascii="仿宋_GB2312" w:hint="eastAsia"/>
        </w:rPr>
        <w:t>：把《血吸虫病防治条例》的贯彻落实、血防知识普及和急性血吸虫病预防、规范晚血吸虫病的救治作为工作重点，加强部门联动，开展综合治理，全面巩固血吸虫病疫情控制达标成果，为如期实现血防工作长期目标打好基础</w:t>
      </w:r>
      <w:r w:rsidR="00215547">
        <w:rPr>
          <w:rFonts w:ascii="仿宋_GB2312" w:hint="eastAsia"/>
        </w:rPr>
        <w:t>。</w:t>
      </w:r>
    </w:p>
    <w:p w:rsidR="00DC40A8" w:rsidRDefault="00215547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二、绩效评价工作开展情况</w:t>
      </w:r>
    </w:p>
    <w:p w:rsidR="00DC40A8" w:rsidRDefault="00215547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（一）绩效评价目的、对象和范围。</w:t>
      </w:r>
    </w:p>
    <w:p w:rsidR="00052C35" w:rsidRDefault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目的：加强财政支出管理，强化支出责任，建立科学、合理的财政专项资金绩效评价管理体系，提高财政资金使用效益。</w:t>
      </w:r>
    </w:p>
    <w:p w:rsidR="00052C35" w:rsidRDefault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对象：血防经费项目工作的资金投入和工作效果。</w:t>
      </w:r>
    </w:p>
    <w:p w:rsidR="00052C35" w:rsidRDefault="00052C35">
      <w:pPr>
        <w:spacing w:line="600" w:lineRule="exact"/>
        <w:ind w:firstLineChars="200" w:firstLine="600"/>
        <w:rPr>
          <w:rFonts w:ascii="仿宋_GB2312"/>
        </w:rPr>
      </w:pPr>
      <w:r>
        <w:rPr>
          <w:rFonts w:ascii="仿宋_GB2312" w:hint="eastAsia"/>
        </w:rPr>
        <w:lastRenderedPageBreak/>
        <w:t>范围：血防项目经费。</w:t>
      </w:r>
    </w:p>
    <w:p w:rsidR="00DC40A8" w:rsidRDefault="00215547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（二）绩效评价原则、评价指标体系（附表说明）、评价方法、评价标准等。</w:t>
      </w:r>
    </w:p>
    <w:p w:rsidR="00052C35" w:rsidRDefault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1、绩效评价原则</w:t>
      </w:r>
    </w:p>
    <w:p w:rsidR="00052C35" w:rsidRDefault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（1）客观、科学、公正的原则；</w:t>
      </w:r>
    </w:p>
    <w:p w:rsidR="00052C35" w:rsidRDefault="00052C35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（2）综合绩效评价的原则；</w:t>
      </w:r>
    </w:p>
    <w:p w:rsidR="00052C35" w:rsidRDefault="00052C35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（3）定量和定性分析的原则；</w:t>
      </w:r>
    </w:p>
    <w:p w:rsidR="00052C35" w:rsidRDefault="00052C35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（4）统筹规划、稳步推进的原则；</w:t>
      </w:r>
    </w:p>
    <w:p w:rsidR="00052C35" w:rsidRDefault="00052C35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（5）财政支出绩效评价与财政支出管理相结合的原则；</w:t>
      </w:r>
    </w:p>
    <w:p w:rsidR="0011670E" w:rsidRDefault="0011670E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（6）</w:t>
      </w:r>
      <w:r w:rsidR="00470B78">
        <w:rPr>
          <w:rFonts w:ascii="仿宋_GB2312" w:hint="eastAsia"/>
        </w:rPr>
        <w:t>财政支出绩效评价贯彻事前、事中、事后的原则。</w:t>
      </w:r>
    </w:p>
    <w:p w:rsidR="00470B78" w:rsidRDefault="00470B78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2、评价指示体系：设定资金执行率、产出指标、效益指标和满意度指标4个一级指标，每个指标下设二级指标和三级指标，并设定每一个指标的评份标准，经项目科室自评打分，再由绩效评价小组进行内部考核评分，最后形成绩效考核结果。</w:t>
      </w:r>
    </w:p>
    <w:p w:rsidR="00470B78" w:rsidRDefault="00470B78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3、评价方法：自评，群众满意度调查。</w:t>
      </w:r>
    </w:p>
    <w:p w:rsidR="00470B78" w:rsidRDefault="00470B78" w:rsidP="00052C35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4、评价标准：见下表。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1569"/>
        <w:gridCol w:w="2144"/>
        <w:gridCol w:w="875"/>
        <w:gridCol w:w="2736"/>
      </w:tblGrid>
      <w:tr w:rsidR="00470B78" w:rsidRPr="00470B78" w:rsidTr="00470B78">
        <w:trPr>
          <w:trHeight w:val="462"/>
          <w:jc w:val="center"/>
        </w:trPr>
        <w:tc>
          <w:tcPr>
            <w:tcW w:w="957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一级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470B78">
              <w:rPr>
                <w:rFonts w:ascii="仿宋_GB2312" w:hint="eastAsia"/>
                <w:sz w:val="24"/>
              </w:rPr>
              <w:t>指标</w:t>
            </w:r>
          </w:p>
        </w:tc>
        <w:tc>
          <w:tcPr>
            <w:tcW w:w="1569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二级指标</w:t>
            </w:r>
          </w:p>
        </w:tc>
        <w:tc>
          <w:tcPr>
            <w:tcW w:w="2144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三级指标</w:t>
            </w:r>
          </w:p>
        </w:tc>
        <w:tc>
          <w:tcPr>
            <w:tcW w:w="875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分值</w:t>
            </w:r>
          </w:p>
        </w:tc>
        <w:tc>
          <w:tcPr>
            <w:tcW w:w="2736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得分歀</w:t>
            </w:r>
          </w:p>
        </w:tc>
      </w:tr>
      <w:tr w:rsidR="00470B78" w:rsidRPr="00470B78" w:rsidTr="00470B78">
        <w:trPr>
          <w:trHeight w:val="462"/>
          <w:jc w:val="center"/>
        </w:trPr>
        <w:tc>
          <w:tcPr>
            <w:tcW w:w="957" w:type="dxa"/>
            <w:vMerge w:val="restart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产出指标</w:t>
            </w:r>
          </w:p>
        </w:tc>
        <w:tc>
          <w:tcPr>
            <w:tcW w:w="1569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数量指标</w:t>
            </w:r>
          </w:p>
        </w:tc>
        <w:tc>
          <w:tcPr>
            <w:tcW w:w="2144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项目数</w:t>
            </w:r>
          </w:p>
        </w:tc>
        <w:tc>
          <w:tcPr>
            <w:tcW w:w="875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736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达到年度指标值得10分，否则不得分</w:t>
            </w:r>
          </w:p>
        </w:tc>
      </w:tr>
      <w:tr w:rsidR="00470B78" w:rsidRPr="00470B78" w:rsidTr="00470B78">
        <w:trPr>
          <w:trHeight w:val="462"/>
          <w:jc w:val="center"/>
        </w:trPr>
        <w:tc>
          <w:tcPr>
            <w:tcW w:w="957" w:type="dxa"/>
            <w:vMerge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重量指标</w:t>
            </w:r>
          </w:p>
        </w:tc>
        <w:tc>
          <w:tcPr>
            <w:tcW w:w="2144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结论和决定执行率</w:t>
            </w:r>
          </w:p>
        </w:tc>
        <w:tc>
          <w:tcPr>
            <w:tcW w:w="875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736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达到年度指标值得10分，每下降10%扣1分，</w:t>
            </w:r>
            <w:r>
              <w:rPr>
                <w:rFonts w:ascii="仿宋_GB2312" w:hint="eastAsia"/>
                <w:sz w:val="24"/>
              </w:rPr>
              <w:lastRenderedPageBreak/>
              <w:t>低于60%不得分</w:t>
            </w:r>
          </w:p>
        </w:tc>
      </w:tr>
      <w:tr w:rsidR="00470B78" w:rsidRPr="00470B78" w:rsidTr="00470B78">
        <w:trPr>
          <w:trHeight w:val="462"/>
          <w:jc w:val="center"/>
        </w:trPr>
        <w:tc>
          <w:tcPr>
            <w:tcW w:w="957" w:type="dxa"/>
            <w:vMerge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时效指标</w:t>
            </w:r>
          </w:p>
        </w:tc>
        <w:tc>
          <w:tcPr>
            <w:tcW w:w="2144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工作开展及时率</w:t>
            </w:r>
          </w:p>
        </w:tc>
        <w:tc>
          <w:tcPr>
            <w:tcW w:w="875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736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达到年度指标值得10分，每下降10%扣1分，低于60%不得分</w:t>
            </w:r>
          </w:p>
        </w:tc>
      </w:tr>
      <w:tr w:rsidR="00470B78" w:rsidRPr="00470B78" w:rsidTr="00470B78">
        <w:trPr>
          <w:trHeight w:val="462"/>
          <w:jc w:val="center"/>
        </w:trPr>
        <w:tc>
          <w:tcPr>
            <w:tcW w:w="957" w:type="dxa"/>
            <w:vMerge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 w:rsidRPr="00470B78">
              <w:rPr>
                <w:rFonts w:ascii="仿宋_GB2312" w:hint="eastAsia"/>
                <w:sz w:val="24"/>
              </w:rPr>
              <w:t>成本指标</w:t>
            </w:r>
          </w:p>
        </w:tc>
        <w:tc>
          <w:tcPr>
            <w:tcW w:w="2144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工作经费</w:t>
            </w:r>
          </w:p>
        </w:tc>
        <w:tc>
          <w:tcPr>
            <w:tcW w:w="875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736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达到年度指标值得10分，</w:t>
            </w:r>
            <w:r>
              <w:rPr>
                <w:rFonts w:ascii="仿宋_GB2312" w:hint="eastAsia"/>
                <w:sz w:val="24"/>
              </w:rPr>
              <w:t>否则不得分</w:t>
            </w:r>
          </w:p>
        </w:tc>
      </w:tr>
      <w:tr w:rsidR="00470B78" w:rsidRPr="00470B78" w:rsidTr="00470B78">
        <w:trPr>
          <w:trHeight w:val="462"/>
          <w:jc w:val="center"/>
        </w:trPr>
        <w:tc>
          <w:tcPr>
            <w:tcW w:w="957" w:type="dxa"/>
            <w:vMerge w:val="restart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效益指标</w:t>
            </w:r>
          </w:p>
        </w:tc>
        <w:tc>
          <w:tcPr>
            <w:tcW w:w="1569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经济效益</w:t>
            </w:r>
          </w:p>
        </w:tc>
        <w:tc>
          <w:tcPr>
            <w:tcW w:w="2144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经济损失挽回金额</w:t>
            </w:r>
          </w:p>
        </w:tc>
        <w:tc>
          <w:tcPr>
            <w:tcW w:w="875" w:type="dxa"/>
            <w:vAlign w:val="center"/>
          </w:tcPr>
          <w:p w:rsidR="00470B78" w:rsidRDefault="00470B78" w:rsidP="00470B78">
            <w:pPr>
              <w:jc w:val="center"/>
            </w:pPr>
            <w:r w:rsidRPr="00E56392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736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达到年度指标值得10分，</w:t>
            </w:r>
            <w:r>
              <w:rPr>
                <w:rFonts w:ascii="仿宋_GB2312" w:hint="eastAsia"/>
                <w:sz w:val="24"/>
              </w:rPr>
              <w:t>否则不得分</w:t>
            </w:r>
          </w:p>
        </w:tc>
      </w:tr>
      <w:tr w:rsidR="00470B78" w:rsidRPr="00470B78" w:rsidTr="00470B78">
        <w:trPr>
          <w:trHeight w:val="462"/>
          <w:jc w:val="center"/>
        </w:trPr>
        <w:tc>
          <w:tcPr>
            <w:tcW w:w="957" w:type="dxa"/>
            <w:vMerge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社会效益</w:t>
            </w:r>
          </w:p>
        </w:tc>
        <w:tc>
          <w:tcPr>
            <w:tcW w:w="2144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建议事项采纳率</w:t>
            </w:r>
          </w:p>
        </w:tc>
        <w:tc>
          <w:tcPr>
            <w:tcW w:w="875" w:type="dxa"/>
            <w:vAlign w:val="center"/>
          </w:tcPr>
          <w:p w:rsidR="00470B78" w:rsidRDefault="00470B78" w:rsidP="00470B78">
            <w:pPr>
              <w:jc w:val="center"/>
            </w:pPr>
            <w:r w:rsidRPr="00E56392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736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达到年度指标值得10分，</w:t>
            </w:r>
            <w:r>
              <w:rPr>
                <w:rFonts w:ascii="仿宋_GB2312" w:hint="eastAsia"/>
                <w:sz w:val="24"/>
              </w:rPr>
              <w:t>否则不得分</w:t>
            </w:r>
          </w:p>
        </w:tc>
      </w:tr>
      <w:tr w:rsidR="00470B78" w:rsidRPr="00470B78" w:rsidTr="00470B78">
        <w:trPr>
          <w:trHeight w:val="462"/>
          <w:jc w:val="center"/>
        </w:trPr>
        <w:tc>
          <w:tcPr>
            <w:tcW w:w="957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满意度指标</w:t>
            </w:r>
          </w:p>
        </w:tc>
        <w:tc>
          <w:tcPr>
            <w:tcW w:w="1569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服务对象满意度指标</w:t>
            </w:r>
          </w:p>
        </w:tc>
        <w:tc>
          <w:tcPr>
            <w:tcW w:w="2144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调查问卷满意度</w:t>
            </w:r>
          </w:p>
        </w:tc>
        <w:tc>
          <w:tcPr>
            <w:tcW w:w="875" w:type="dxa"/>
            <w:vAlign w:val="center"/>
          </w:tcPr>
          <w:p w:rsidR="00470B78" w:rsidRDefault="00470B78" w:rsidP="00470B78">
            <w:pPr>
              <w:jc w:val="center"/>
            </w:pPr>
            <w:r w:rsidRPr="00E56392"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736" w:type="dxa"/>
            <w:vAlign w:val="center"/>
          </w:tcPr>
          <w:p w:rsidR="00470B78" w:rsidRPr="00470B78" w:rsidRDefault="00470B78" w:rsidP="00470B78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达到年度指标值得10分，</w:t>
            </w:r>
            <w:r>
              <w:rPr>
                <w:rFonts w:ascii="仿宋_GB2312" w:hint="eastAsia"/>
                <w:sz w:val="24"/>
              </w:rPr>
              <w:t>每下降5%扣1分，</w:t>
            </w:r>
            <w:r>
              <w:rPr>
                <w:rFonts w:ascii="仿宋_GB2312" w:hint="eastAsia"/>
                <w:sz w:val="24"/>
              </w:rPr>
              <w:t>低于60%不得分</w:t>
            </w:r>
          </w:p>
        </w:tc>
      </w:tr>
    </w:tbl>
    <w:p w:rsidR="00215547" w:rsidRDefault="00215547" w:rsidP="00215547">
      <w:pPr>
        <w:spacing w:line="600" w:lineRule="exact"/>
        <w:rPr>
          <w:rFonts w:ascii="仿宋_GB2312" w:hint="eastAsia"/>
        </w:rPr>
      </w:pPr>
    </w:p>
    <w:p w:rsidR="00DC40A8" w:rsidRDefault="00215547" w:rsidP="00215547">
      <w:pPr>
        <w:spacing w:line="600" w:lineRule="exact"/>
        <w:rPr>
          <w:rFonts w:ascii="仿宋_GB2312" w:hint="eastAsia"/>
        </w:rPr>
      </w:pPr>
      <w:r>
        <w:rPr>
          <w:rFonts w:ascii="黑体" w:eastAsia="黑体" w:hAnsi="黑体" w:hint="eastAsia"/>
        </w:rPr>
        <w:t>三、综合评价情况及评价结论</w:t>
      </w:r>
      <w:r>
        <w:rPr>
          <w:rFonts w:ascii="仿宋_GB2312" w:hint="eastAsia"/>
        </w:rPr>
        <w:t>（附相关评分表）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64"/>
        <w:gridCol w:w="2560"/>
        <w:gridCol w:w="2513"/>
      </w:tblGrid>
      <w:tr w:rsidR="00470B78" w:rsidTr="00470B78">
        <w:trPr>
          <w:jc w:val="center"/>
        </w:trPr>
        <w:tc>
          <w:tcPr>
            <w:tcW w:w="2564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名称</w:t>
            </w:r>
          </w:p>
        </w:tc>
        <w:tc>
          <w:tcPr>
            <w:tcW w:w="2560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执行率</w:t>
            </w:r>
          </w:p>
        </w:tc>
        <w:tc>
          <w:tcPr>
            <w:tcW w:w="2513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得分</w:t>
            </w:r>
          </w:p>
        </w:tc>
      </w:tr>
      <w:tr w:rsidR="00470B78" w:rsidTr="00470B78">
        <w:trPr>
          <w:jc w:val="center"/>
        </w:trPr>
        <w:tc>
          <w:tcPr>
            <w:tcW w:w="2564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资金使用</w:t>
            </w:r>
          </w:p>
        </w:tc>
        <w:tc>
          <w:tcPr>
            <w:tcW w:w="2560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100%</w:t>
            </w:r>
          </w:p>
        </w:tc>
        <w:tc>
          <w:tcPr>
            <w:tcW w:w="2513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10</w:t>
            </w:r>
          </w:p>
        </w:tc>
      </w:tr>
      <w:tr w:rsidR="00470B78" w:rsidTr="00470B78">
        <w:trPr>
          <w:jc w:val="center"/>
        </w:trPr>
        <w:tc>
          <w:tcPr>
            <w:tcW w:w="2564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数量指标</w:t>
            </w:r>
          </w:p>
        </w:tc>
        <w:tc>
          <w:tcPr>
            <w:tcW w:w="2560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100%</w:t>
            </w:r>
          </w:p>
        </w:tc>
        <w:tc>
          <w:tcPr>
            <w:tcW w:w="2513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10</w:t>
            </w:r>
          </w:p>
        </w:tc>
      </w:tr>
      <w:tr w:rsidR="00470B78" w:rsidTr="00470B78">
        <w:trPr>
          <w:jc w:val="center"/>
        </w:trPr>
        <w:tc>
          <w:tcPr>
            <w:tcW w:w="2564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时效指标</w:t>
            </w:r>
          </w:p>
        </w:tc>
        <w:tc>
          <w:tcPr>
            <w:tcW w:w="2560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100%</w:t>
            </w:r>
          </w:p>
        </w:tc>
        <w:tc>
          <w:tcPr>
            <w:tcW w:w="2513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10</w:t>
            </w:r>
          </w:p>
        </w:tc>
      </w:tr>
      <w:tr w:rsidR="00470B78" w:rsidTr="00470B78">
        <w:trPr>
          <w:jc w:val="center"/>
        </w:trPr>
        <w:tc>
          <w:tcPr>
            <w:tcW w:w="2564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成本指标</w:t>
            </w:r>
          </w:p>
        </w:tc>
        <w:tc>
          <w:tcPr>
            <w:tcW w:w="2560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100%</w:t>
            </w:r>
          </w:p>
        </w:tc>
        <w:tc>
          <w:tcPr>
            <w:tcW w:w="2513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</w:p>
        </w:tc>
      </w:tr>
      <w:tr w:rsidR="00470B78" w:rsidTr="00470B78">
        <w:trPr>
          <w:jc w:val="center"/>
        </w:trPr>
        <w:tc>
          <w:tcPr>
            <w:tcW w:w="2564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经济效益</w:t>
            </w:r>
          </w:p>
        </w:tc>
        <w:tc>
          <w:tcPr>
            <w:tcW w:w="2560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100%</w:t>
            </w:r>
          </w:p>
        </w:tc>
        <w:tc>
          <w:tcPr>
            <w:tcW w:w="2513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</w:p>
        </w:tc>
      </w:tr>
      <w:tr w:rsidR="00470B78" w:rsidTr="00470B78">
        <w:trPr>
          <w:jc w:val="center"/>
        </w:trPr>
        <w:tc>
          <w:tcPr>
            <w:tcW w:w="2564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社会效益</w:t>
            </w:r>
          </w:p>
        </w:tc>
        <w:tc>
          <w:tcPr>
            <w:tcW w:w="2560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100%</w:t>
            </w:r>
          </w:p>
        </w:tc>
        <w:tc>
          <w:tcPr>
            <w:tcW w:w="2513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10</w:t>
            </w:r>
          </w:p>
        </w:tc>
      </w:tr>
      <w:tr w:rsidR="00470B78" w:rsidTr="00470B78">
        <w:trPr>
          <w:jc w:val="center"/>
        </w:trPr>
        <w:tc>
          <w:tcPr>
            <w:tcW w:w="2564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lastRenderedPageBreak/>
              <w:t>服务满意度调查</w:t>
            </w:r>
          </w:p>
        </w:tc>
        <w:tc>
          <w:tcPr>
            <w:tcW w:w="2560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95%</w:t>
            </w:r>
          </w:p>
        </w:tc>
        <w:tc>
          <w:tcPr>
            <w:tcW w:w="2513" w:type="dxa"/>
            <w:vAlign w:val="center"/>
          </w:tcPr>
          <w:p w:rsidR="00470B78" w:rsidRDefault="00470B78" w:rsidP="00470B78">
            <w:pPr>
              <w:spacing w:line="60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9</w:t>
            </w:r>
          </w:p>
        </w:tc>
      </w:tr>
    </w:tbl>
    <w:p w:rsidR="00470B78" w:rsidRDefault="00470B78">
      <w:pPr>
        <w:spacing w:line="600" w:lineRule="exact"/>
        <w:ind w:firstLineChars="200" w:firstLine="600"/>
        <w:rPr>
          <w:rFonts w:ascii="仿宋_GB2312"/>
        </w:rPr>
      </w:pPr>
      <w:r>
        <w:rPr>
          <w:rFonts w:ascii="仿宋_GB2312" w:hint="eastAsia"/>
        </w:rPr>
        <w:t>综合所得，2021年度血防项目经费能够按照要求、对照标准进行实施，并且制定了长效的管理制度，严格专款专用，自评总分为99分。</w:t>
      </w:r>
    </w:p>
    <w:p w:rsidR="00DC40A8" w:rsidRDefault="00215547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四、绩效评价指标分析</w:t>
      </w:r>
    </w:p>
    <w:p w:rsidR="00DC40A8" w:rsidRDefault="00215547">
      <w:pPr>
        <w:spacing w:line="600" w:lineRule="exact"/>
        <w:ind w:firstLineChars="200" w:firstLine="600"/>
        <w:outlineLvl w:val="0"/>
        <w:rPr>
          <w:rFonts w:ascii="仿宋_GB2312" w:hint="eastAsia"/>
        </w:rPr>
      </w:pPr>
      <w:r>
        <w:rPr>
          <w:rFonts w:ascii="仿宋_GB2312" w:hint="eastAsia"/>
        </w:rPr>
        <w:t>（一）项目决策情况。</w:t>
      </w:r>
    </w:p>
    <w:p w:rsidR="00470B78" w:rsidRDefault="00470B78" w:rsidP="00470B78">
      <w:pPr>
        <w:spacing w:line="600" w:lineRule="exact"/>
        <w:ind w:firstLineChars="200" w:firstLine="600"/>
        <w:outlineLvl w:val="0"/>
        <w:rPr>
          <w:rFonts w:ascii="仿宋_GB2312"/>
        </w:rPr>
      </w:pPr>
      <w:r>
        <w:rPr>
          <w:rFonts w:ascii="仿宋_GB2312" w:hint="eastAsia"/>
        </w:rPr>
        <w:t>2021年度血防项目经费年初预算金额为131.33万元，实际到位资金131.33万元，全年执行数为152.71万元，执行率116.28%。在项目资金管理中，我站严格按照财务管理制度，严格财务支出流程，对于项目资金未出现无故截留。</w:t>
      </w:r>
    </w:p>
    <w:p w:rsidR="00DC40A8" w:rsidRDefault="00215547">
      <w:pPr>
        <w:spacing w:line="600" w:lineRule="exact"/>
        <w:ind w:firstLineChars="200" w:firstLine="600"/>
        <w:outlineLvl w:val="0"/>
        <w:rPr>
          <w:rFonts w:ascii="仿宋_GB2312" w:hint="eastAsia"/>
        </w:rPr>
      </w:pPr>
      <w:r>
        <w:rPr>
          <w:rFonts w:ascii="仿宋_GB2312" w:hint="eastAsia"/>
        </w:rPr>
        <w:t>（二）项目过程情况。</w:t>
      </w:r>
    </w:p>
    <w:p w:rsidR="00470B78" w:rsidRDefault="00470B78">
      <w:pPr>
        <w:spacing w:line="600" w:lineRule="exact"/>
        <w:ind w:firstLineChars="200" w:firstLine="600"/>
        <w:outlineLvl w:val="0"/>
        <w:rPr>
          <w:rFonts w:hint="eastAsia"/>
          <w:szCs w:val="30"/>
        </w:rPr>
      </w:pP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、健全组织。为高度重视血防工作，以一把手为组长、分管领导为副组长，相关部门负责人为成员的血防工作领导小组，明确了相关成员单位的职责，定期召开会议，研究部署血防工作。</w:t>
      </w:r>
    </w:p>
    <w:p w:rsidR="00470B78" w:rsidRDefault="00470B78" w:rsidP="00470B78">
      <w:pPr>
        <w:spacing w:line="600" w:lineRule="exact"/>
        <w:ind w:firstLineChars="200" w:firstLine="600"/>
        <w:outlineLvl w:val="0"/>
        <w:rPr>
          <w:rFonts w:hint="eastAsia"/>
          <w:szCs w:val="30"/>
        </w:rPr>
      </w:pP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、明确责任。每年年初签订血防工作目标责任书，明确包保责任，分解血防年度目标任务。年终，组织全体人员逐项进行考核结账考核结果纳入绩效考核。</w:t>
      </w:r>
    </w:p>
    <w:p w:rsidR="00DC40A8" w:rsidRPr="00470B78" w:rsidRDefault="00215547">
      <w:pPr>
        <w:spacing w:line="600" w:lineRule="exact"/>
        <w:ind w:firstLineChars="200" w:firstLine="600"/>
        <w:outlineLvl w:val="0"/>
        <w:rPr>
          <w:rFonts w:hint="eastAsia"/>
          <w:szCs w:val="30"/>
        </w:rPr>
      </w:pPr>
      <w:r w:rsidRPr="00470B78">
        <w:rPr>
          <w:rFonts w:hint="eastAsia"/>
          <w:szCs w:val="30"/>
        </w:rPr>
        <w:t>（三）项目产出情况。</w:t>
      </w:r>
    </w:p>
    <w:p w:rsidR="00470B78" w:rsidRPr="00470B78" w:rsidRDefault="00470B78" w:rsidP="00470B78">
      <w:pPr>
        <w:spacing w:line="600" w:lineRule="exact"/>
        <w:ind w:firstLineChars="200" w:firstLine="600"/>
        <w:outlineLvl w:val="0"/>
        <w:rPr>
          <w:szCs w:val="30"/>
        </w:rPr>
      </w:pPr>
      <w:r w:rsidRPr="00470B78">
        <w:rPr>
          <w:rFonts w:hint="eastAsia"/>
          <w:szCs w:val="30"/>
        </w:rPr>
        <w:t>实查垸内查螺面积</w:t>
      </w:r>
      <w:r w:rsidRPr="00470B78">
        <w:rPr>
          <w:rFonts w:hint="eastAsia"/>
          <w:szCs w:val="30"/>
        </w:rPr>
        <w:t>59.1582</w:t>
      </w:r>
      <w:r w:rsidRPr="00470B78">
        <w:rPr>
          <w:rFonts w:hint="eastAsia"/>
          <w:szCs w:val="30"/>
        </w:rPr>
        <w:t>万平方米，计划查螺面积</w:t>
      </w:r>
      <w:r w:rsidRPr="00470B78">
        <w:rPr>
          <w:rFonts w:hint="eastAsia"/>
          <w:szCs w:val="30"/>
        </w:rPr>
        <w:t>54</w:t>
      </w:r>
      <w:r w:rsidRPr="00470B78">
        <w:rPr>
          <w:rFonts w:hint="eastAsia"/>
          <w:szCs w:val="30"/>
        </w:rPr>
        <w:t>万平方米。调查框数</w:t>
      </w:r>
      <w:r w:rsidRPr="00470B78">
        <w:rPr>
          <w:rFonts w:hint="eastAsia"/>
          <w:szCs w:val="30"/>
        </w:rPr>
        <w:t>12260</w:t>
      </w:r>
      <w:r w:rsidRPr="00470B78">
        <w:rPr>
          <w:rFonts w:hint="eastAsia"/>
          <w:szCs w:val="30"/>
        </w:rPr>
        <w:t>框，垸内未查出钉螺，垸外计划查螺面积</w:t>
      </w:r>
      <w:r w:rsidRPr="00470B78">
        <w:rPr>
          <w:rFonts w:hint="eastAsia"/>
          <w:szCs w:val="30"/>
        </w:rPr>
        <w:t>964</w:t>
      </w:r>
      <w:r w:rsidRPr="00470B78">
        <w:rPr>
          <w:rFonts w:hint="eastAsia"/>
          <w:szCs w:val="30"/>
        </w:rPr>
        <w:t>万平方米，其中春查（实查面积</w:t>
      </w:r>
      <w:r w:rsidRPr="00470B78">
        <w:rPr>
          <w:rFonts w:hint="eastAsia"/>
          <w:szCs w:val="30"/>
        </w:rPr>
        <w:t>996</w:t>
      </w:r>
      <w:r w:rsidRPr="00470B78">
        <w:rPr>
          <w:rFonts w:hint="eastAsia"/>
          <w:szCs w:val="30"/>
        </w:rPr>
        <w:t>万平方米，查螺框数</w:t>
      </w:r>
      <w:r w:rsidRPr="00470B78">
        <w:rPr>
          <w:rFonts w:hint="eastAsia"/>
          <w:szCs w:val="30"/>
        </w:rPr>
        <w:t>23875</w:t>
      </w:r>
      <w:r w:rsidRPr="00470B78">
        <w:rPr>
          <w:rFonts w:hint="eastAsia"/>
          <w:szCs w:val="30"/>
        </w:rPr>
        <w:t>框，其中查出钉螺数</w:t>
      </w:r>
      <w:r w:rsidRPr="00470B78">
        <w:rPr>
          <w:rFonts w:hint="eastAsia"/>
          <w:szCs w:val="30"/>
        </w:rPr>
        <w:t>21</w:t>
      </w:r>
      <w:r w:rsidRPr="00470B78">
        <w:rPr>
          <w:rFonts w:hint="eastAsia"/>
          <w:szCs w:val="30"/>
        </w:rPr>
        <w:t>只，活螺数</w:t>
      </w:r>
      <w:r w:rsidRPr="00470B78">
        <w:rPr>
          <w:rFonts w:hint="eastAsia"/>
          <w:szCs w:val="30"/>
        </w:rPr>
        <w:t>15</w:t>
      </w:r>
      <w:r w:rsidRPr="00470B78">
        <w:rPr>
          <w:rFonts w:hint="eastAsia"/>
          <w:szCs w:val="30"/>
        </w:rPr>
        <w:t>只，未查出阳性螺。秋查螺面积</w:t>
      </w:r>
      <w:r w:rsidRPr="00470B78">
        <w:rPr>
          <w:rFonts w:hint="eastAsia"/>
          <w:szCs w:val="30"/>
        </w:rPr>
        <w:lastRenderedPageBreak/>
        <w:t>822</w:t>
      </w:r>
      <w:r w:rsidRPr="00470B78">
        <w:rPr>
          <w:rFonts w:hint="eastAsia"/>
          <w:szCs w:val="30"/>
        </w:rPr>
        <w:t>万平方米，查螺框数</w:t>
      </w:r>
      <w:r w:rsidRPr="00470B78">
        <w:rPr>
          <w:rFonts w:hint="eastAsia"/>
          <w:szCs w:val="30"/>
        </w:rPr>
        <w:t>20550</w:t>
      </w:r>
      <w:r w:rsidRPr="00470B78">
        <w:rPr>
          <w:rFonts w:hint="eastAsia"/>
          <w:szCs w:val="30"/>
        </w:rPr>
        <w:t>框，其中查出钉螺数</w:t>
      </w:r>
      <w:r w:rsidRPr="00470B78">
        <w:rPr>
          <w:rFonts w:hint="eastAsia"/>
          <w:szCs w:val="30"/>
        </w:rPr>
        <w:t>11</w:t>
      </w:r>
      <w:r w:rsidRPr="00470B78">
        <w:rPr>
          <w:rFonts w:hint="eastAsia"/>
          <w:szCs w:val="30"/>
        </w:rPr>
        <w:t>只，活螺数</w:t>
      </w:r>
      <w:r w:rsidRPr="00470B78">
        <w:rPr>
          <w:rFonts w:hint="eastAsia"/>
          <w:szCs w:val="30"/>
        </w:rPr>
        <w:t>4</w:t>
      </w:r>
      <w:r w:rsidRPr="00470B78">
        <w:rPr>
          <w:rFonts w:hint="eastAsia"/>
          <w:szCs w:val="30"/>
        </w:rPr>
        <w:t>只，未查出阳性螺。</w:t>
      </w:r>
    </w:p>
    <w:p w:rsidR="00470B78" w:rsidRPr="00470B78" w:rsidRDefault="00470B78" w:rsidP="00470B78">
      <w:pPr>
        <w:spacing w:line="600" w:lineRule="exact"/>
        <w:ind w:firstLineChars="200" w:firstLine="600"/>
        <w:outlineLvl w:val="0"/>
        <w:rPr>
          <w:rFonts w:hint="eastAsia"/>
          <w:szCs w:val="30"/>
        </w:rPr>
      </w:pPr>
      <w:r w:rsidRPr="00470B78">
        <w:rPr>
          <w:rFonts w:hint="eastAsia"/>
          <w:szCs w:val="30"/>
        </w:rPr>
        <w:t>垸外灭螺计划面积</w:t>
      </w:r>
      <w:r w:rsidRPr="00470B78">
        <w:rPr>
          <w:rFonts w:hint="eastAsia"/>
          <w:szCs w:val="30"/>
        </w:rPr>
        <w:t>175</w:t>
      </w:r>
      <w:r w:rsidRPr="00470B78">
        <w:rPr>
          <w:rFonts w:hint="eastAsia"/>
          <w:szCs w:val="30"/>
        </w:rPr>
        <w:t>万平方米，实际上半年灭螺面积</w:t>
      </w:r>
      <w:r w:rsidRPr="00470B78">
        <w:rPr>
          <w:rFonts w:hint="eastAsia"/>
          <w:szCs w:val="30"/>
        </w:rPr>
        <w:t>182</w:t>
      </w:r>
      <w:r w:rsidRPr="00470B78">
        <w:rPr>
          <w:rFonts w:hint="eastAsia"/>
          <w:szCs w:val="30"/>
        </w:rPr>
        <w:t>万平方米。下半年灭螺面积</w:t>
      </w:r>
      <w:r w:rsidRPr="00470B78">
        <w:rPr>
          <w:rFonts w:hint="eastAsia"/>
          <w:szCs w:val="30"/>
        </w:rPr>
        <w:t>20</w:t>
      </w:r>
      <w:r w:rsidRPr="00470B78">
        <w:rPr>
          <w:rFonts w:hint="eastAsia"/>
          <w:szCs w:val="30"/>
        </w:rPr>
        <w:t>万平方米，灭蚴任务</w:t>
      </w:r>
      <w:r w:rsidRPr="00470B78">
        <w:rPr>
          <w:rFonts w:hint="eastAsia"/>
          <w:szCs w:val="30"/>
        </w:rPr>
        <w:t>30</w:t>
      </w:r>
      <w:r w:rsidRPr="00470B78">
        <w:rPr>
          <w:rFonts w:hint="eastAsia"/>
          <w:szCs w:val="30"/>
        </w:rPr>
        <w:t>万平方米已全部完成。</w:t>
      </w:r>
      <w:r w:rsidRPr="00470B78">
        <w:rPr>
          <w:rFonts w:hint="eastAsia"/>
          <w:szCs w:val="30"/>
        </w:rPr>
        <w:t xml:space="preserve">                                              </w:t>
      </w:r>
    </w:p>
    <w:p w:rsidR="00DC40A8" w:rsidRPr="00470B78" w:rsidRDefault="00215547">
      <w:pPr>
        <w:spacing w:line="600" w:lineRule="exact"/>
        <w:ind w:firstLineChars="200" w:firstLine="600"/>
        <w:outlineLvl w:val="0"/>
        <w:rPr>
          <w:rFonts w:hint="eastAsia"/>
          <w:szCs w:val="30"/>
        </w:rPr>
      </w:pPr>
      <w:r w:rsidRPr="00470B78">
        <w:rPr>
          <w:rFonts w:hint="eastAsia"/>
          <w:szCs w:val="30"/>
        </w:rPr>
        <w:t>（四）项目效益情况。</w:t>
      </w:r>
    </w:p>
    <w:p w:rsidR="00470B78" w:rsidRPr="00470B78" w:rsidRDefault="00470B78" w:rsidP="00470B78">
      <w:pPr>
        <w:spacing w:line="600" w:lineRule="exact"/>
        <w:ind w:firstLineChars="200" w:firstLine="600"/>
        <w:outlineLvl w:val="0"/>
        <w:rPr>
          <w:szCs w:val="30"/>
        </w:rPr>
      </w:pPr>
      <w:r w:rsidRPr="00470B78">
        <w:rPr>
          <w:rFonts w:hint="eastAsia"/>
          <w:szCs w:val="30"/>
        </w:rPr>
        <w:t>从预算申报、资金分配、预算执行、组织管理、财务管理、项目产出及效果等方面对血防专项资金使用进行了综合评价，整体完成情况良好，血吸虫病防治达到传播阻断标准要求。</w:t>
      </w:r>
    </w:p>
    <w:p w:rsidR="00470B78" w:rsidRPr="00215547" w:rsidRDefault="00215547" w:rsidP="00215547">
      <w:pPr>
        <w:spacing w:line="600" w:lineRule="exact"/>
        <w:ind w:firstLineChars="200" w:firstLine="602"/>
        <w:rPr>
          <w:rFonts w:hint="eastAsia"/>
          <w:b/>
          <w:szCs w:val="30"/>
        </w:rPr>
      </w:pPr>
      <w:r w:rsidRPr="00215547">
        <w:rPr>
          <w:rFonts w:hint="eastAsia"/>
          <w:b/>
          <w:szCs w:val="30"/>
        </w:rPr>
        <w:t>五、主要经验及做法、存在的问题及原因分析</w:t>
      </w:r>
    </w:p>
    <w:p w:rsidR="00470B78" w:rsidRDefault="00470B78" w:rsidP="00470B78">
      <w:pPr>
        <w:spacing w:line="600" w:lineRule="exact"/>
        <w:ind w:firstLineChars="200" w:firstLine="600"/>
        <w:outlineLvl w:val="0"/>
        <w:rPr>
          <w:rFonts w:hint="eastAsia"/>
          <w:szCs w:val="30"/>
        </w:rPr>
      </w:pP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、主要经验及做法</w:t>
      </w:r>
    </w:p>
    <w:p w:rsidR="00470B78" w:rsidRDefault="00470B78" w:rsidP="00470B78">
      <w:pPr>
        <w:spacing w:line="600" w:lineRule="exact"/>
        <w:ind w:firstLineChars="200" w:firstLine="600"/>
        <w:outlineLvl w:val="0"/>
        <w:rPr>
          <w:rFonts w:hint="eastAsia"/>
          <w:szCs w:val="30"/>
        </w:rPr>
      </w:pPr>
      <w:r>
        <w:rPr>
          <w:rFonts w:hint="eastAsia"/>
          <w:szCs w:val="30"/>
        </w:rPr>
        <w:t>建立健全联防联控制度。主动与各周边血防单位联系，共同研究、制定联防联控工作和考核评估的方案，建立健全信息交流、轮流值班等工作制度，建立起各乡镇之间的联防联控工作机制；加强联防联控教育宣传，积极开展血防宣传月、宣传周活动，张贴标语、发放传单等方式，充分调动干部群众参与配合联防联控工作的积极性。</w:t>
      </w:r>
    </w:p>
    <w:p w:rsidR="00470B78" w:rsidRPr="00470B78" w:rsidRDefault="00470B78" w:rsidP="00470B78">
      <w:pPr>
        <w:spacing w:line="600" w:lineRule="exact"/>
        <w:ind w:firstLineChars="200" w:firstLine="600"/>
        <w:outlineLvl w:val="0"/>
        <w:rPr>
          <w:rFonts w:hint="eastAsia"/>
          <w:szCs w:val="30"/>
        </w:rPr>
      </w:pP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、</w:t>
      </w:r>
      <w:r w:rsidRPr="00470B78">
        <w:rPr>
          <w:rFonts w:hint="eastAsia"/>
          <w:szCs w:val="30"/>
        </w:rPr>
        <w:t>存在的问题及原因：基层血防站业务人员能力有待提高，血防工作系统而复杂，工作量大，专业人员少，缺乏工作经验，导致工作欠规范。</w:t>
      </w:r>
    </w:p>
    <w:p w:rsidR="00DC40A8" w:rsidRDefault="00215547">
      <w:pPr>
        <w:spacing w:line="600" w:lineRule="exact"/>
        <w:ind w:firstLineChars="200" w:firstLine="6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六、有关建议</w:t>
      </w:r>
    </w:p>
    <w:p w:rsidR="00DC40A8" w:rsidRPr="00215547" w:rsidRDefault="00215547" w:rsidP="00215547">
      <w:pPr>
        <w:spacing w:line="600" w:lineRule="exact"/>
        <w:ind w:firstLineChars="200" w:firstLine="600"/>
        <w:rPr>
          <w:rFonts w:ascii="仿宋_GB2312"/>
          <w:bCs/>
          <w:sz w:val="32"/>
          <w:szCs w:val="32"/>
        </w:rPr>
      </w:pPr>
      <w:r>
        <w:rPr>
          <w:rFonts w:ascii="黑体" w:eastAsia="黑体" w:hAnsi="黑体" w:hint="eastAsia"/>
        </w:rPr>
        <w:t>七、其他需要说明的问题</w:t>
      </w:r>
      <w:bookmarkStart w:id="0" w:name="_GoBack"/>
      <w:bookmarkEnd w:id="0"/>
    </w:p>
    <w:sectPr w:rsidR="00DC40A8" w:rsidRPr="00215547" w:rsidSect="00470B78">
      <w:pgSz w:w="11906" w:h="16838"/>
      <w:pgMar w:top="1928" w:right="1531" w:bottom="1418" w:left="1531" w:header="737" w:footer="851" w:gutter="0"/>
      <w:cols w:space="720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B6752"/>
    <w:rsid w:val="00052C35"/>
    <w:rsid w:val="0011670E"/>
    <w:rsid w:val="00215547"/>
    <w:rsid w:val="00470B78"/>
    <w:rsid w:val="00DC40A8"/>
    <w:rsid w:val="72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8"/>
    <w:qFormat/>
    <w:rsid w:val="00470B78"/>
    <w:pPr>
      <w:widowControl w:val="0"/>
      <w:jc w:val="both"/>
    </w:pPr>
    <w:rPr>
      <w:kern w:val="2"/>
      <w:sz w:val="21"/>
      <w:szCs w:val="22"/>
    </w:rPr>
  </w:style>
  <w:style w:type="character" w:customStyle="1" w:styleId="peoplefilling">
    <w:name w:val="peoplefilling"/>
    <w:basedOn w:val="a0"/>
    <w:rsid w:val="00470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8"/>
    <w:qFormat/>
    <w:rsid w:val="00470B78"/>
    <w:pPr>
      <w:widowControl w:val="0"/>
      <w:jc w:val="both"/>
    </w:pPr>
    <w:rPr>
      <w:kern w:val="2"/>
      <w:sz w:val="21"/>
      <w:szCs w:val="22"/>
    </w:rPr>
  </w:style>
  <w:style w:type="character" w:customStyle="1" w:styleId="peoplefilling">
    <w:name w:val="peoplefilling"/>
    <w:basedOn w:val="a0"/>
    <w:rsid w:val="0047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2022-09-23T01:14:00Z</dcterms:created>
  <dcterms:modified xsi:type="dcterms:W3CDTF">2022-09-23T03:56:00Z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5E5CD249ECBF4AC283192AD57D6A0CBB</vt:lpwstr>
  </property>
</Properties>
</file>