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35" w:rsidRPr="00EA1C35" w:rsidRDefault="00DA3532" w:rsidP="00B27838">
      <w:pPr>
        <w:autoSpaceDE w:val="0"/>
        <w:jc w:val="center"/>
        <w:rPr>
          <w:rFonts w:ascii="黑体" w:eastAsia="黑体" w:hAnsi="黑体"/>
          <w:kern w:val="0"/>
          <w:sz w:val="44"/>
          <w:szCs w:val="44"/>
        </w:rPr>
      </w:pPr>
      <w:r w:rsidRPr="00EA1C35">
        <w:rPr>
          <w:rFonts w:ascii="黑体" w:eastAsia="黑体" w:hAnsi="黑体" w:hint="eastAsia"/>
          <w:kern w:val="0"/>
          <w:sz w:val="44"/>
          <w:szCs w:val="44"/>
        </w:rPr>
        <w:t>益阳市资阳区</w:t>
      </w:r>
      <w:r w:rsidR="00EA1C35" w:rsidRPr="00EA1C35">
        <w:rPr>
          <w:rFonts w:ascii="黑体" w:eastAsia="黑体" w:hAnsi="黑体" w:hint="eastAsia"/>
          <w:kern w:val="0"/>
          <w:sz w:val="44"/>
          <w:szCs w:val="44"/>
        </w:rPr>
        <w:t>大潭口血防站</w:t>
      </w:r>
    </w:p>
    <w:p w:rsidR="005C5EC4" w:rsidRDefault="00EA1C35" w:rsidP="00B27838">
      <w:pPr>
        <w:autoSpaceDE w:val="0"/>
        <w:jc w:val="center"/>
        <w:rPr>
          <w:rFonts w:ascii="黑体" w:eastAsia="黑体" w:hAnsi="黑体"/>
          <w:kern w:val="0"/>
          <w:sz w:val="44"/>
          <w:szCs w:val="44"/>
        </w:rPr>
      </w:pPr>
      <w:r w:rsidRPr="00EA1C35">
        <w:rPr>
          <w:rFonts w:ascii="黑体" w:eastAsia="黑体" w:hAnsi="黑体" w:hint="eastAsia"/>
          <w:kern w:val="0"/>
          <w:sz w:val="44"/>
          <w:szCs w:val="44"/>
        </w:rPr>
        <w:t>2021</w:t>
      </w:r>
      <w:r w:rsidR="008C6422">
        <w:rPr>
          <w:rFonts w:ascii="黑体" w:eastAsia="黑体" w:hAnsi="黑体" w:hint="eastAsia"/>
          <w:kern w:val="0"/>
          <w:sz w:val="44"/>
          <w:szCs w:val="44"/>
        </w:rPr>
        <w:t>年整体</w:t>
      </w:r>
      <w:r w:rsidR="00DA3532" w:rsidRPr="00EA1C35">
        <w:rPr>
          <w:rFonts w:ascii="黑体" w:eastAsia="黑体" w:hAnsi="黑体" w:hint="eastAsia"/>
          <w:kern w:val="0"/>
          <w:sz w:val="44"/>
          <w:szCs w:val="44"/>
        </w:rPr>
        <w:t>绩效自评报告</w:t>
      </w:r>
    </w:p>
    <w:p w:rsidR="00EA1C35" w:rsidRPr="00EA1C35" w:rsidRDefault="00EA1C35" w:rsidP="00B27838">
      <w:pPr>
        <w:pStyle w:val="a0"/>
        <w:ind w:firstLine="210"/>
        <w:jc w:val="center"/>
      </w:pPr>
    </w:p>
    <w:p w:rsidR="005C5EC4" w:rsidRPr="00EA1C35" w:rsidRDefault="00DA3532">
      <w:pPr>
        <w:autoSpaceDE w:val="0"/>
        <w:ind w:firstLineChars="250" w:firstLine="800"/>
        <w:rPr>
          <w:rFonts w:ascii="仿宋" w:eastAsia="仿宋" w:hAnsi="仿宋"/>
          <w:kern w:val="0"/>
          <w:sz w:val="32"/>
          <w:szCs w:val="32"/>
        </w:rPr>
      </w:pPr>
      <w:r w:rsidRPr="00EA1C35">
        <w:rPr>
          <w:rFonts w:ascii="仿宋" w:eastAsia="仿宋" w:hAnsi="仿宋" w:hint="eastAsia"/>
          <w:kern w:val="0"/>
          <w:sz w:val="32"/>
          <w:szCs w:val="32"/>
        </w:rPr>
        <w:t>为进一步规范财政资金管理，牢固树立预算绩效理念，强化支出责任，提高财政资金使用效益，按照资阳区财政局</w:t>
      </w:r>
      <w:r w:rsidR="009B3034">
        <w:rPr>
          <w:rFonts w:ascii="仿宋" w:eastAsia="仿宋" w:hAnsi="仿宋" w:hint="eastAsia"/>
          <w:kern w:val="0"/>
          <w:sz w:val="32"/>
          <w:szCs w:val="32"/>
        </w:rPr>
        <w:t>要求，我站</w:t>
      </w:r>
      <w:r w:rsidRPr="00EA1C35">
        <w:rPr>
          <w:rFonts w:ascii="仿宋" w:eastAsia="仿宋" w:hAnsi="仿宋" w:hint="eastAsia"/>
          <w:kern w:val="0"/>
          <w:sz w:val="32"/>
          <w:szCs w:val="32"/>
        </w:rPr>
        <w:t>对</w:t>
      </w:r>
      <w:r w:rsidR="00EA1C35">
        <w:rPr>
          <w:rFonts w:ascii="仿宋" w:eastAsia="仿宋" w:hAnsi="仿宋" w:hint="eastAsia"/>
          <w:kern w:val="0"/>
          <w:sz w:val="32"/>
          <w:szCs w:val="32"/>
        </w:rPr>
        <w:t>2021</w:t>
      </w:r>
      <w:r w:rsidRPr="00EA1C35">
        <w:rPr>
          <w:rFonts w:ascii="仿宋" w:eastAsia="仿宋" w:hAnsi="仿宋" w:hint="eastAsia"/>
          <w:kern w:val="0"/>
          <w:sz w:val="32"/>
          <w:szCs w:val="32"/>
        </w:rPr>
        <w:t>年度部门预算整体支出情况进行了自我评价，情况报告如下：</w:t>
      </w:r>
    </w:p>
    <w:p w:rsidR="005C5EC4" w:rsidRPr="00EA1C35" w:rsidRDefault="00DA3532" w:rsidP="00037987">
      <w:pPr>
        <w:autoSpaceDE w:val="0"/>
        <w:ind w:firstLineChars="200" w:firstLine="643"/>
        <w:rPr>
          <w:rFonts w:ascii="仿宋" w:eastAsia="仿宋" w:hAnsi="仿宋"/>
          <w:b/>
          <w:kern w:val="0"/>
          <w:sz w:val="32"/>
          <w:szCs w:val="32"/>
        </w:rPr>
      </w:pPr>
      <w:r w:rsidRPr="00EA1C35">
        <w:rPr>
          <w:rFonts w:ascii="仿宋" w:eastAsia="仿宋" w:hAnsi="仿宋" w:hint="eastAsia"/>
          <w:b/>
          <w:kern w:val="0"/>
          <w:sz w:val="32"/>
          <w:szCs w:val="32"/>
        </w:rPr>
        <w:t>一、</w:t>
      </w:r>
      <w:r w:rsidR="00037987">
        <w:rPr>
          <w:rFonts w:ascii="仿宋" w:eastAsia="仿宋" w:hAnsi="仿宋" w:hint="eastAsia"/>
          <w:b/>
          <w:kern w:val="0"/>
          <w:sz w:val="32"/>
          <w:szCs w:val="32"/>
        </w:rPr>
        <w:t>单位</w:t>
      </w:r>
      <w:r w:rsidRPr="00EA1C35">
        <w:rPr>
          <w:rFonts w:ascii="仿宋" w:eastAsia="仿宋" w:hAnsi="仿宋" w:hint="eastAsia"/>
          <w:b/>
          <w:kern w:val="0"/>
          <w:sz w:val="32"/>
          <w:szCs w:val="32"/>
        </w:rPr>
        <w:t>基本情况</w:t>
      </w:r>
    </w:p>
    <w:p w:rsidR="005C5EC4" w:rsidRDefault="00EA1C35">
      <w:pPr>
        <w:autoSpaceDE w:val="0"/>
        <w:ind w:firstLineChars="250" w:firstLine="800"/>
        <w:rPr>
          <w:rFonts w:ascii="仿宋" w:eastAsia="仿宋" w:hAnsi="仿宋" w:cs="Helvetica"/>
          <w:kern w:val="0"/>
          <w:sz w:val="32"/>
          <w:szCs w:val="32"/>
        </w:rPr>
      </w:pPr>
      <w:r>
        <w:rPr>
          <w:rFonts w:ascii="仿宋" w:eastAsia="仿宋" w:hAnsi="仿宋" w:hint="eastAsia"/>
          <w:sz w:val="32"/>
          <w:szCs w:val="32"/>
        </w:rPr>
        <w:t>资阳区大潭口血防站位于资阳区张家塞乡大潭口村，为</w:t>
      </w:r>
      <w:r>
        <w:rPr>
          <w:rFonts w:ascii="仿宋" w:eastAsia="仿宋" w:hAnsi="仿宋" w:hint="eastAsia"/>
          <w:kern w:val="0"/>
          <w:sz w:val="32"/>
          <w:szCs w:val="32"/>
        </w:rPr>
        <w:t>独立核算、财政预算二级拨款单位</w:t>
      </w:r>
      <w:r>
        <w:rPr>
          <w:rFonts w:ascii="仿宋" w:eastAsia="仿宋" w:hAnsi="仿宋" w:hint="eastAsia"/>
          <w:sz w:val="32"/>
          <w:szCs w:val="32"/>
        </w:rPr>
        <w:t>。主要服务范围：查螺、灭螺、血吸虫病的检查、治疗和宣传工作。</w:t>
      </w:r>
      <w:r>
        <w:rPr>
          <w:rFonts w:ascii="仿宋" w:eastAsia="仿宋" w:hAnsi="仿宋" w:hint="eastAsia"/>
          <w:kern w:val="0"/>
          <w:sz w:val="32"/>
          <w:szCs w:val="32"/>
        </w:rPr>
        <w:t>2021年末，我单位</w:t>
      </w:r>
      <w:r w:rsidR="00DA3532" w:rsidRPr="00EA1C35">
        <w:rPr>
          <w:rFonts w:ascii="仿宋" w:eastAsia="仿宋" w:hAnsi="仿宋" w:hint="eastAsia"/>
          <w:kern w:val="0"/>
          <w:sz w:val="32"/>
          <w:szCs w:val="32"/>
        </w:rPr>
        <w:t>实有编制人数</w:t>
      </w:r>
      <w:r>
        <w:rPr>
          <w:rFonts w:ascii="仿宋" w:eastAsia="仿宋" w:hAnsi="仿宋" w:hint="eastAsia"/>
          <w:kern w:val="0"/>
          <w:sz w:val="32"/>
          <w:szCs w:val="32"/>
        </w:rPr>
        <w:t>27</w:t>
      </w:r>
      <w:r w:rsidR="00DA3532" w:rsidRPr="00EA1C35">
        <w:rPr>
          <w:rFonts w:ascii="仿宋" w:eastAsia="仿宋" w:hAnsi="仿宋" w:hint="eastAsia"/>
          <w:kern w:val="0"/>
          <w:sz w:val="32"/>
          <w:szCs w:val="32"/>
        </w:rPr>
        <w:t>人，退休人员</w:t>
      </w:r>
      <w:r>
        <w:rPr>
          <w:rFonts w:ascii="仿宋" w:eastAsia="仿宋" w:hAnsi="仿宋" w:hint="eastAsia"/>
          <w:kern w:val="0"/>
          <w:sz w:val="32"/>
          <w:szCs w:val="32"/>
        </w:rPr>
        <w:t>11</w:t>
      </w:r>
      <w:r w:rsidR="00DA3532" w:rsidRPr="00EA1C35">
        <w:rPr>
          <w:rFonts w:ascii="仿宋" w:eastAsia="仿宋" w:hAnsi="仿宋" w:hint="eastAsia"/>
          <w:kern w:val="0"/>
          <w:sz w:val="32"/>
          <w:szCs w:val="32"/>
        </w:rPr>
        <w:t>人，共计</w:t>
      </w:r>
      <w:r>
        <w:rPr>
          <w:rFonts w:ascii="仿宋" w:eastAsia="仿宋" w:hAnsi="仿宋" w:hint="eastAsia"/>
          <w:kern w:val="0"/>
          <w:sz w:val="32"/>
          <w:szCs w:val="32"/>
        </w:rPr>
        <w:t>38</w:t>
      </w:r>
      <w:r w:rsidR="00DA3532" w:rsidRPr="00EA1C35">
        <w:rPr>
          <w:rFonts w:ascii="仿宋" w:eastAsia="仿宋" w:hAnsi="仿宋" w:hint="eastAsia"/>
          <w:kern w:val="0"/>
          <w:sz w:val="32"/>
          <w:szCs w:val="32"/>
        </w:rPr>
        <w:t>人。</w:t>
      </w:r>
      <w:r w:rsidR="00037987" w:rsidRPr="005113ED">
        <w:rPr>
          <w:rFonts w:ascii="仿宋" w:eastAsia="仿宋" w:hAnsi="仿宋" w:cs="Helvetica"/>
          <w:kern w:val="0"/>
          <w:sz w:val="32"/>
          <w:szCs w:val="32"/>
        </w:rPr>
        <w:t>内设股室主要包括院长室、办公室、财务室、预防组、门诊部、住院部、药房、仓库等</w:t>
      </w:r>
      <w:r w:rsidR="00037987">
        <w:rPr>
          <w:rFonts w:ascii="仿宋" w:eastAsia="仿宋" w:hAnsi="仿宋" w:cs="Helvetica" w:hint="eastAsia"/>
          <w:kern w:val="0"/>
          <w:sz w:val="32"/>
          <w:szCs w:val="32"/>
        </w:rPr>
        <w:t>。</w:t>
      </w:r>
    </w:p>
    <w:p w:rsidR="00037987" w:rsidRPr="00037987" w:rsidRDefault="00037987" w:rsidP="005649E6">
      <w:pPr>
        <w:autoSpaceDE w:val="0"/>
        <w:ind w:firstLineChars="200" w:firstLine="420"/>
        <w:rPr>
          <w:rFonts w:ascii="仿宋" w:eastAsia="仿宋" w:hAnsi="仿宋"/>
          <w:sz w:val="32"/>
          <w:szCs w:val="32"/>
        </w:rPr>
      </w:pPr>
      <w:r>
        <w:rPr>
          <w:rFonts w:hint="eastAsia"/>
        </w:rPr>
        <w:t xml:space="preserve">  </w:t>
      </w:r>
    </w:p>
    <w:p w:rsidR="005C5EC4" w:rsidRPr="00037987" w:rsidRDefault="00037987" w:rsidP="00037987">
      <w:pPr>
        <w:autoSpaceDE w:val="0"/>
        <w:ind w:firstLineChars="200" w:firstLine="643"/>
        <w:rPr>
          <w:rFonts w:ascii="仿宋" w:eastAsia="仿宋" w:hAnsi="仿宋"/>
          <w:b/>
          <w:sz w:val="32"/>
          <w:szCs w:val="32"/>
        </w:rPr>
      </w:pPr>
      <w:r w:rsidRPr="00037987">
        <w:rPr>
          <w:rFonts w:ascii="仿宋" w:eastAsia="仿宋" w:hAnsi="仿宋" w:hint="eastAsia"/>
          <w:b/>
          <w:sz w:val="32"/>
          <w:szCs w:val="32"/>
        </w:rPr>
        <w:t>二、一般公共预算支出情况</w:t>
      </w:r>
    </w:p>
    <w:p w:rsidR="00037987" w:rsidRDefault="00037987">
      <w:pPr>
        <w:widowControl/>
        <w:autoSpaceDE w:val="0"/>
        <w:ind w:firstLineChars="200" w:firstLine="640"/>
        <w:jc w:val="left"/>
        <w:rPr>
          <w:rFonts w:ascii="仿宋" w:eastAsia="仿宋" w:hAnsi="仿宋"/>
          <w:sz w:val="32"/>
          <w:szCs w:val="32"/>
        </w:rPr>
      </w:pPr>
      <w:r>
        <w:rPr>
          <w:rFonts w:ascii="仿宋" w:eastAsia="仿宋" w:hAnsi="仿宋" w:hint="eastAsia"/>
          <w:sz w:val="32"/>
          <w:szCs w:val="32"/>
        </w:rPr>
        <w:t>（一）基本支出情况</w:t>
      </w:r>
    </w:p>
    <w:p w:rsidR="00037987" w:rsidRPr="00037987" w:rsidRDefault="00037987" w:rsidP="00037987">
      <w:pPr>
        <w:pStyle w:val="a0"/>
        <w:ind w:firstLineChars="200" w:firstLine="640"/>
        <w:rPr>
          <w:rFonts w:ascii="仿宋" w:eastAsia="仿宋" w:hAnsi="仿宋"/>
        </w:rPr>
      </w:pPr>
      <w:r w:rsidRPr="005113ED">
        <w:rPr>
          <w:rFonts w:ascii="仿宋" w:eastAsia="仿宋" w:hAnsi="仿宋" w:cs="Helvetica"/>
          <w:color w:val="212529"/>
          <w:kern w:val="0"/>
          <w:sz w:val="32"/>
          <w:szCs w:val="32"/>
        </w:rPr>
        <w:t>2021年度财政拨款基本支出</w:t>
      </w:r>
      <w:r w:rsidR="00C112D8">
        <w:rPr>
          <w:rFonts w:ascii="仿宋" w:eastAsia="仿宋" w:hAnsi="仿宋" w:cs="Helvetica" w:hint="eastAsia"/>
          <w:color w:val="212529"/>
          <w:kern w:val="0"/>
          <w:sz w:val="32"/>
          <w:szCs w:val="32"/>
        </w:rPr>
        <w:t>265.2</w:t>
      </w:r>
      <w:r w:rsidRPr="005113ED">
        <w:rPr>
          <w:rFonts w:ascii="仿宋" w:eastAsia="仿宋" w:hAnsi="仿宋" w:cs="Helvetica"/>
          <w:color w:val="212529"/>
          <w:kern w:val="0"/>
          <w:sz w:val="32"/>
          <w:szCs w:val="32"/>
        </w:rPr>
        <w:t>万元，其中：人员经费23</w:t>
      </w:r>
      <w:r w:rsidR="00C112D8">
        <w:rPr>
          <w:rFonts w:ascii="仿宋" w:eastAsia="仿宋" w:hAnsi="仿宋" w:cs="Helvetica" w:hint="eastAsia"/>
          <w:color w:val="212529"/>
          <w:kern w:val="0"/>
          <w:sz w:val="32"/>
          <w:szCs w:val="32"/>
        </w:rPr>
        <w:t>4.37</w:t>
      </w:r>
      <w:r w:rsidRPr="005113ED">
        <w:rPr>
          <w:rFonts w:ascii="仿宋" w:eastAsia="仿宋" w:hAnsi="仿宋" w:cs="Helvetica"/>
          <w:color w:val="212529"/>
          <w:kern w:val="0"/>
          <w:sz w:val="32"/>
          <w:szCs w:val="32"/>
        </w:rPr>
        <w:t>万元，占基本支出的</w:t>
      </w:r>
      <w:r w:rsidR="00C112D8">
        <w:rPr>
          <w:rFonts w:ascii="仿宋" w:eastAsia="仿宋" w:hAnsi="仿宋" w:cs="Helvetica"/>
          <w:color w:val="212529"/>
          <w:kern w:val="0"/>
          <w:sz w:val="32"/>
          <w:szCs w:val="32"/>
        </w:rPr>
        <w:t>8</w:t>
      </w:r>
      <w:r w:rsidR="00C112D8">
        <w:rPr>
          <w:rFonts w:ascii="仿宋" w:eastAsia="仿宋" w:hAnsi="仿宋" w:cs="Helvetica" w:hint="eastAsia"/>
          <w:color w:val="212529"/>
          <w:kern w:val="0"/>
          <w:sz w:val="32"/>
          <w:szCs w:val="32"/>
        </w:rPr>
        <w:t>8.37</w:t>
      </w:r>
      <w:r w:rsidRPr="005113ED">
        <w:rPr>
          <w:rFonts w:ascii="仿宋" w:eastAsia="仿宋" w:hAnsi="仿宋" w:cs="Helvetica"/>
          <w:color w:val="212529"/>
          <w:kern w:val="0"/>
          <w:sz w:val="32"/>
          <w:szCs w:val="32"/>
        </w:rPr>
        <w:t>%</w:t>
      </w:r>
      <w:r w:rsidRPr="005113ED">
        <w:rPr>
          <w:rFonts w:ascii="仿宋" w:eastAsia="仿宋" w:hAnsi="仿宋" w:cs="Helvetica" w:hint="eastAsia"/>
          <w:color w:val="212529"/>
          <w:kern w:val="0"/>
          <w:sz w:val="32"/>
          <w:szCs w:val="32"/>
        </w:rPr>
        <w:t>，主要包括：</w:t>
      </w:r>
      <w:r w:rsidRPr="005113ED">
        <w:rPr>
          <w:rFonts w:ascii="仿宋" w:eastAsia="仿宋" w:hAnsi="仿宋" w:cs="Helvetica"/>
          <w:color w:val="212529"/>
          <w:kern w:val="0"/>
          <w:sz w:val="32"/>
          <w:szCs w:val="32"/>
        </w:rPr>
        <w:t>基本工资、津贴补贴、绩效工资、机关事业单位基本养老保险缴费、职工基本医疗保险缴费、其他社会保障缴费、住房公积金、其他工资福利支出、生活补助。</w:t>
      </w:r>
      <w:r w:rsidR="00C112D8">
        <w:rPr>
          <w:rFonts w:ascii="仿宋" w:eastAsia="仿宋" w:hAnsi="仿宋" w:cs="Helvetica" w:hint="eastAsia"/>
          <w:color w:val="212529"/>
          <w:kern w:val="0"/>
          <w:sz w:val="32"/>
          <w:szCs w:val="32"/>
        </w:rPr>
        <w:t>商品和服务支出26.37</w:t>
      </w:r>
      <w:r w:rsidRPr="005113ED">
        <w:rPr>
          <w:rFonts w:ascii="仿宋" w:eastAsia="仿宋" w:hAnsi="仿宋" w:cs="Helvetica"/>
          <w:color w:val="212529"/>
          <w:kern w:val="0"/>
          <w:sz w:val="32"/>
          <w:szCs w:val="32"/>
        </w:rPr>
        <w:t>万元，</w:t>
      </w:r>
      <w:r w:rsidRPr="005113ED">
        <w:rPr>
          <w:rFonts w:ascii="仿宋" w:eastAsia="仿宋" w:hAnsi="仿宋" w:cs="Helvetica"/>
          <w:color w:val="212529"/>
          <w:kern w:val="0"/>
          <w:sz w:val="32"/>
          <w:szCs w:val="32"/>
        </w:rPr>
        <w:lastRenderedPageBreak/>
        <w:t>占基本支出的</w:t>
      </w:r>
      <w:r w:rsidR="00C112D8">
        <w:rPr>
          <w:rFonts w:ascii="仿宋" w:eastAsia="仿宋" w:hAnsi="仿宋" w:cs="Helvetica" w:hint="eastAsia"/>
          <w:color w:val="212529"/>
          <w:kern w:val="0"/>
          <w:sz w:val="32"/>
          <w:szCs w:val="32"/>
        </w:rPr>
        <w:t>9.94</w:t>
      </w:r>
      <w:r w:rsidRPr="005113ED">
        <w:rPr>
          <w:rFonts w:ascii="仿宋" w:eastAsia="仿宋" w:hAnsi="仿宋" w:cs="Helvetica"/>
          <w:color w:val="212529"/>
          <w:kern w:val="0"/>
          <w:sz w:val="32"/>
          <w:szCs w:val="32"/>
        </w:rPr>
        <w:t>%，主要包括：信息网络及软件购置更新、办公费、印刷费、邮电费、物业管理费、维修（护）费、专用材料费、劳务费、工会经费、福利费、其他交通费用、其他商品和服务支出。</w:t>
      </w:r>
      <w:r w:rsidR="00C112D8">
        <w:rPr>
          <w:rFonts w:ascii="仿宋" w:eastAsia="仿宋" w:hAnsi="仿宋" w:cs="Helvetica" w:hint="eastAsia"/>
          <w:color w:val="212529"/>
          <w:kern w:val="0"/>
          <w:sz w:val="32"/>
          <w:szCs w:val="32"/>
        </w:rPr>
        <w:t>对个人和家庭补助1.67万元，占基本支出的0.63%，资本性支出2.8万元，占基本支出的1.06%</w:t>
      </w:r>
    </w:p>
    <w:p w:rsidR="00037987" w:rsidRDefault="00037987">
      <w:pPr>
        <w:widowControl/>
        <w:autoSpaceDE w:val="0"/>
        <w:ind w:firstLineChars="200" w:firstLine="640"/>
        <w:jc w:val="left"/>
        <w:rPr>
          <w:rFonts w:ascii="仿宋" w:eastAsia="仿宋" w:hAnsi="仿宋"/>
          <w:sz w:val="32"/>
          <w:szCs w:val="32"/>
        </w:rPr>
      </w:pPr>
      <w:r w:rsidRPr="005113ED">
        <w:rPr>
          <w:rFonts w:ascii="仿宋" w:eastAsia="仿宋" w:hAnsi="仿宋" w:cs="Helvetica"/>
          <w:color w:val="212529"/>
          <w:kern w:val="0"/>
          <w:sz w:val="32"/>
          <w:szCs w:val="32"/>
        </w:rPr>
        <w:t>2021</w:t>
      </w:r>
      <w:r>
        <w:rPr>
          <w:rFonts w:ascii="仿宋" w:eastAsia="仿宋" w:hAnsi="仿宋" w:cs="Helvetica"/>
          <w:color w:val="212529"/>
          <w:kern w:val="0"/>
          <w:sz w:val="32"/>
          <w:szCs w:val="32"/>
        </w:rPr>
        <w:t>年度财政拨款</w:t>
      </w:r>
      <w:r>
        <w:rPr>
          <w:rFonts w:ascii="仿宋" w:eastAsia="仿宋" w:hAnsi="仿宋" w:cs="Helvetica" w:hint="eastAsia"/>
          <w:color w:val="212529"/>
          <w:kern w:val="0"/>
          <w:sz w:val="32"/>
          <w:szCs w:val="32"/>
        </w:rPr>
        <w:t>项目</w:t>
      </w:r>
      <w:r w:rsidRPr="005113ED">
        <w:rPr>
          <w:rFonts w:ascii="仿宋" w:eastAsia="仿宋" w:hAnsi="仿宋" w:cs="Helvetica"/>
          <w:color w:val="212529"/>
          <w:kern w:val="0"/>
          <w:sz w:val="32"/>
          <w:szCs w:val="32"/>
        </w:rPr>
        <w:t>支出</w:t>
      </w:r>
      <w:r>
        <w:rPr>
          <w:rFonts w:ascii="仿宋" w:eastAsia="仿宋" w:hAnsi="仿宋" w:cs="Helvetica" w:hint="eastAsia"/>
          <w:color w:val="212529"/>
          <w:kern w:val="0"/>
          <w:sz w:val="32"/>
          <w:szCs w:val="32"/>
        </w:rPr>
        <w:t>131.33万元，其中：工资福利支出7.05万元，占项目支出5.37%；商品服务支出119.27万元，占项目支出的90.82%；对个人和家庭补助5.02万元，占项目支出的3.82%，主要包括办公费、印刷费、水费、差旅费、维修费、专用材料、委托业务费、其他交通费用和其他商品服务支出。</w:t>
      </w:r>
    </w:p>
    <w:p w:rsidR="00037987" w:rsidRPr="00037987" w:rsidRDefault="00037987" w:rsidP="00C112D8">
      <w:pPr>
        <w:widowControl/>
        <w:autoSpaceDE w:val="0"/>
        <w:ind w:firstLineChars="200" w:firstLine="640"/>
        <w:jc w:val="left"/>
        <w:rPr>
          <w:rFonts w:ascii="仿宋" w:eastAsia="仿宋" w:hAnsi="仿宋"/>
          <w:sz w:val="32"/>
          <w:szCs w:val="32"/>
        </w:rPr>
      </w:pPr>
      <w:r>
        <w:rPr>
          <w:rFonts w:ascii="仿宋" w:eastAsia="仿宋" w:hAnsi="仿宋" w:hint="eastAsia"/>
          <w:sz w:val="32"/>
          <w:szCs w:val="32"/>
        </w:rPr>
        <w:t>三、政府性基金预算支出情况。</w:t>
      </w:r>
    </w:p>
    <w:p w:rsidR="00037987" w:rsidRPr="00037987" w:rsidRDefault="00037987" w:rsidP="00C112D8">
      <w:pPr>
        <w:pStyle w:val="a0"/>
        <w:ind w:firstLineChars="200" w:firstLine="640"/>
        <w:rPr>
          <w:rFonts w:ascii="仿宋" w:eastAsia="仿宋" w:hAnsi="仿宋"/>
          <w:sz w:val="32"/>
          <w:szCs w:val="32"/>
        </w:rPr>
      </w:pPr>
      <w:r w:rsidRPr="00037987">
        <w:rPr>
          <w:rFonts w:ascii="仿宋" w:eastAsia="仿宋" w:hAnsi="仿宋" w:hint="eastAsia"/>
          <w:sz w:val="32"/>
          <w:szCs w:val="32"/>
        </w:rPr>
        <w:t>四、国有资本经营预算支出情况</w:t>
      </w:r>
    </w:p>
    <w:p w:rsidR="00037987" w:rsidRPr="00037987" w:rsidRDefault="00037987" w:rsidP="00C112D8">
      <w:pPr>
        <w:pStyle w:val="a0"/>
        <w:ind w:firstLineChars="200" w:firstLine="640"/>
        <w:rPr>
          <w:rFonts w:ascii="仿宋" w:eastAsia="仿宋" w:hAnsi="仿宋"/>
          <w:sz w:val="32"/>
          <w:szCs w:val="32"/>
        </w:rPr>
      </w:pPr>
      <w:r w:rsidRPr="00037987">
        <w:rPr>
          <w:rFonts w:ascii="仿宋" w:eastAsia="仿宋" w:hAnsi="仿宋" w:hint="eastAsia"/>
          <w:sz w:val="32"/>
          <w:szCs w:val="32"/>
        </w:rPr>
        <w:t>五、社会保险基金预算支出情况</w:t>
      </w:r>
    </w:p>
    <w:p w:rsidR="00037987" w:rsidRPr="00037987" w:rsidRDefault="005649E6" w:rsidP="00037987">
      <w:pPr>
        <w:pStyle w:val="a0"/>
        <w:ind w:firstLineChars="200" w:firstLine="640"/>
        <w:rPr>
          <w:rFonts w:ascii="仿宋" w:eastAsia="仿宋" w:hAnsi="仿宋"/>
          <w:sz w:val="32"/>
          <w:szCs w:val="32"/>
        </w:rPr>
      </w:pPr>
      <w:r>
        <w:rPr>
          <w:rFonts w:ascii="仿宋" w:eastAsia="仿宋" w:hAnsi="仿宋" w:hint="eastAsia"/>
          <w:sz w:val="32"/>
          <w:szCs w:val="32"/>
        </w:rPr>
        <w:t>六、部门整体支出绩效</w:t>
      </w:r>
      <w:r w:rsidR="00037987" w:rsidRPr="00037987">
        <w:rPr>
          <w:rFonts w:ascii="仿宋" w:eastAsia="仿宋" w:hAnsi="仿宋" w:hint="eastAsia"/>
          <w:sz w:val="32"/>
          <w:szCs w:val="32"/>
        </w:rPr>
        <w:t>情况</w:t>
      </w:r>
    </w:p>
    <w:p w:rsidR="00037987" w:rsidRPr="005113ED" w:rsidRDefault="00037987" w:rsidP="00037987">
      <w:pPr>
        <w:widowControl/>
        <w:shd w:val="clear" w:color="auto" w:fill="FFFFFF"/>
        <w:ind w:firstLine="640"/>
        <w:jc w:val="left"/>
        <w:rPr>
          <w:rFonts w:ascii="仿宋" w:eastAsia="仿宋" w:hAnsi="仿宋" w:cs="Helvetica"/>
          <w:color w:val="212529"/>
          <w:kern w:val="0"/>
          <w:sz w:val="27"/>
          <w:szCs w:val="27"/>
        </w:rPr>
      </w:pPr>
      <w:r w:rsidRPr="005113ED">
        <w:rPr>
          <w:rFonts w:ascii="仿宋" w:eastAsia="仿宋" w:hAnsi="仿宋" w:cs="Helvetica"/>
          <w:color w:val="212529"/>
          <w:kern w:val="0"/>
          <w:sz w:val="32"/>
          <w:szCs w:val="32"/>
        </w:rPr>
        <w:t>从预算申报、资金分配、预算执行、组织管理、财务管理、项目产出及效果等方面对</w:t>
      </w:r>
      <w:r w:rsidR="00C112D8">
        <w:rPr>
          <w:rFonts w:ascii="仿宋" w:eastAsia="仿宋" w:hAnsi="仿宋" w:cs="Helvetica" w:hint="eastAsia"/>
          <w:color w:val="212529"/>
          <w:kern w:val="0"/>
          <w:sz w:val="32"/>
          <w:szCs w:val="32"/>
        </w:rPr>
        <w:t>整体</w:t>
      </w:r>
      <w:r w:rsidR="00C112D8">
        <w:rPr>
          <w:rFonts w:ascii="仿宋" w:eastAsia="仿宋" w:hAnsi="仿宋" w:cs="Helvetica"/>
          <w:color w:val="212529"/>
          <w:kern w:val="0"/>
          <w:sz w:val="32"/>
          <w:szCs w:val="32"/>
        </w:rPr>
        <w:t>资金使用进行了综合评价，整体完成情况良好</w:t>
      </w:r>
      <w:r w:rsidRPr="005113ED">
        <w:rPr>
          <w:rFonts w:ascii="仿宋" w:eastAsia="仿宋" w:hAnsi="仿宋" w:cs="Helvetica"/>
          <w:color w:val="212529"/>
          <w:kern w:val="0"/>
          <w:sz w:val="32"/>
          <w:szCs w:val="32"/>
        </w:rPr>
        <w:t>。</w:t>
      </w:r>
    </w:p>
    <w:p w:rsidR="00037987" w:rsidRPr="00037987" w:rsidRDefault="00037987">
      <w:pPr>
        <w:widowControl/>
        <w:autoSpaceDE w:val="0"/>
        <w:ind w:firstLineChars="200" w:firstLine="640"/>
        <w:jc w:val="left"/>
        <w:rPr>
          <w:rFonts w:ascii="仿宋" w:eastAsia="仿宋" w:hAnsi="仿宋"/>
          <w:sz w:val="32"/>
          <w:szCs w:val="32"/>
        </w:rPr>
      </w:pPr>
      <w:r w:rsidRPr="00037987">
        <w:rPr>
          <w:rFonts w:ascii="仿宋" w:eastAsia="仿宋" w:hAnsi="仿宋" w:hint="eastAsia"/>
          <w:sz w:val="32"/>
          <w:szCs w:val="32"/>
        </w:rPr>
        <w:t>七、存在的问题及原因分析</w:t>
      </w:r>
    </w:p>
    <w:p w:rsidR="00037987" w:rsidRDefault="00037987" w:rsidP="00037987">
      <w:pPr>
        <w:widowControl/>
        <w:autoSpaceDE w:val="0"/>
        <w:ind w:firstLineChars="200" w:firstLine="640"/>
        <w:jc w:val="left"/>
        <w:rPr>
          <w:rFonts w:ascii="仿宋" w:eastAsia="仿宋" w:hAnsi="仿宋"/>
          <w:sz w:val="32"/>
          <w:szCs w:val="32"/>
        </w:rPr>
      </w:pPr>
      <w:r>
        <w:rPr>
          <w:rFonts w:ascii="仿宋" w:eastAsia="仿宋" w:hAnsi="仿宋" w:hint="eastAsia"/>
          <w:sz w:val="32"/>
          <w:szCs w:val="32"/>
        </w:rPr>
        <w:t>部分预算一体化绩效监控偏差需完成并确定具体费用后才能进行支付。</w:t>
      </w:r>
    </w:p>
    <w:p w:rsidR="00037987" w:rsidRDefault="00037987" w:rsidP="00037987">
      <w:pPr>
        <w:pStyle w:val="a0"/>
        <w:ind w:firstLineChars="200" w:firstLine="640"/>
        <w:rPr>
          <w:rFonts w:ascii="仿宋" w:eastAsia="仿宋" w:hAnsi="仿宋"/>
          <w:sz w:val="32"/>
          <w:szCs w:val="32"/>
        </w:rPr>
      </w:pPr>
      <w:r>
        <w:rPr>
          <w:rFonts w:ascii="仿宋" w:eastAsia="仿宋" w:hAnsi="仿宋" w:hint="eastAsia"/>
          <w:sz w:val="32"/>
          <w:szCs w:val="32"/>
        </w:rPr>
        <w:lastRenderedPageBreak/>
        <w:t>八、下一步改进措施</w:t>
      </w:r>
    </w:p>
    <w:p w:rsidR="00037987" w:rsidRPr="00037987" w:rsidRDefault="00037987" w:rsidP="00037987">
      <w:pPr>
        <w:pStyle w:val="a0"/>
        <w:ind w:firstLineChars="200" w:firstLine="640"/>
        <w:rPr>
          <w:rFonts w:ascii="仿宋" w:eastAsia="仿宋" w:hAnsi="仿宋"/>
          <w:sz w:val="32"/>
          <w:szCs w:val="32"/>
        </w:rPr>
      </w:pPr>
      <w:r w:rsidRPr="00037987">
        <w:rPr>
          <w:rFonts w:ascii="仿宋" w:eastAsia="仿宋" w:hAnsi="仿宋" w:hint="eastAsia"/>
          <w:sz w:val="32"/>
          <w:szCs w:val="32"/>
        </w:rPr>
        <w:t>对专项资金偏离预算绩效目标的支出，及时采取有效措施予以纠正，让资金管理人，进一步规范专项资金使用绩效。</w:t>
      </w:r>
    </w:p>
    <w:p w:rsidR="00037987" w:rsidRDefault="00037987">
      <w:pPr>
        <w:widowControl/>
        <w:autoSpaceDE w:val="0"/>
        <w:ind w:firstLineChars="200" w:firstLine="640"/>
        <w:rPr>
          <w:rFonts w:ascii="仿宋" w:eastAsia="仿宋" w:hAnsi="仿宋"/>
          <w:sz w:val="32"/>
          <w:szCs w:val="32"/>
        </w:rPr>
      </w:pPr>
      <w:r>
        <w:rPr>
          <w:rFonts w:ascii="仿宋" w:eastAsia="仿宋" w:hAnsi="仿宋" w:hint="eastAsia"/>
          <w:sz w:val="32"/>
          <w:szCs w:val="32"/>
        </w:rPr>
        <w:t>九、其他需要说明的情况</w:t>
      </w:r>
    </w:p>
    <w:p w:rsidR="00EA1C35" w:rsidRDefault="00EA1C35" w:rsidP="00666AFC">
      <w:pPr>
        <w:autoSpaceDE w:val="0"/>
        <w:rPr>
          <w:rFonts w:ascii="仿宋" w:eastAsia="仿宋" w:hAnsi="仿宋"/>
          <w:kern w:val="0"/>
          <w:sz w:val="32"/>
          <w:szCs w:val="32"/>
        </w:rPr>
      </w:pPr>
    </w:p>
    <w:p w:rsidR="00EA1C35" w:rsidRDefault="00EA1C35">
      <w:pPr>
        <w:autoSpaceDE w:val="0"/>
        <w:ind w:firstLineChars="1050" w:firstLine="3360"/>
        <w:rPr>
          <w:rFonts w:ascii="仿宋" w:eastAsia="仿宋" w:hAnsi="仿宋"/>
          <w:kern w:val="0"/>
          <w:sz w:val="32"/>
          <w:szCs w:val="32"/>
        </w:rPr>
      </w:pPr>
    </w:p>
    <w:p w:rsidR="00EA1C35" w:rsidRDefault="00EA1C35">
      <w:pPr>
        <w:autoSpaceDE w:val="0"/>
        <w:ind w:firstLineChars="1050" w:firstLine="3360"/>
        <w:rPr>
          <w:rFonts w:ascii="仿宋" w:eastAsia="仿宋" w:hAnsi="仿宋"/>
          <w:kern w:val="0"/>
          <w:sz w:val="32"/>
          <w:szCs w:val="32"/>
        </w:rPr>
      </w:pPr>
      <w:bookmarkStart w:id="0" w:name="_GoBack"/>
      <w:bookmarkEnd w:id="0"/>
    </w:p>
    <w:p w:rsidR="005C5EC4" w:rsidRPr="00EA1C35" w:rsidRDefault="005C5EC4" w:rsidP="00EA1C35">
      <w:pPr>
        <w:autoSpaceDE w:val="0"/>
        <w:ind w:firstLineChars="1400" w:firstLine="4480"/>
        <w:rPr>
          <w:rFonts w:ascii="仿宋" w:eastAsia="仿宋" w:hAnsi="仿宋"/>
          <w:kern w:val="0"/>
          <w:sz w:val="32"/>
          <w:szCs w:val="32"/>
        </w:rPr>
      </w:pPr>
    </w:p>
    <w:sectPr w:rsidR="005C5EC4" w:rsidRPr="00EA1C3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38" w:rsidRDefault="00F76238">
      <w:r>
        <w:separator/>
      </w:r>
    </w:p>
  </w:endnote>
  <w:endnote w:type="continuationSeparator" w:id="0">
    <w:p w:rsidR="00F76238" w:rsidRDefault="00F7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C4" w:rsidRDefault="00DA353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5EC4" w:rsidRDefault="00DA3532">
                          <w:pPr>
                            <w:pStyle w:val="a5"/>
                          </w:pPr>
                          <w:r>
                            <w:fldChar w:fldCharType="begin"/>
                          </w:r>
                          <w:r>
                            <w:instrText xml:space="preserve"> PAGE  \* MERGEFORMAT </w:instrText>
                          </w:r>
                          <w:r>
                            <w:fldChar w:fldCharType="separate"/>
                          </w:r>
                          <w:r w:rsidR="00C112D8">
                            <w:rPr>
                              <w:noProof/>
                            </w:rPr>
                            <w:t>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5C5EC4" w:rsidRDefault="00DA3532">
                    <w:pPr>
                      <w:pStyle w:val="a5"/>
                    </w:pPr>
                    <w:r>
                      <w:fldChar w:fldCharType="begin"/>
                    </w:r>
                    <w:r>
                      <w:instrText xml:space="preserve"> PAGE  \* MERGEFORMAT </w:instrText>
                    </w:r>
                    <w:r>
                      <w:fldChar w:fldCharType="separate"/>
                    </w:r>
                    <w:r w:rsidR="00C112D8">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38" w:rsidRDefault="00F76238">
      <w:r>
        <w:separator/>
      </w:r>
    </w:p>
  </w:footnote>
  <w:footnote w:type="continuationSeparator" w:id="0">
    <w:p w:rsidR="00F76238" w:rsidRDefault="00F7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C4" w:rsidRDefault="005C5E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E39"/>
    <w:rsid w:val="00037987"/>
    <w:rsid w:val="00101DDC"/>
    <w:rsid w:val="00187A55"/>
    <w:rsid w:val="002C0E39"/>
    <w:rsid w:val="002D3F17"/>
    <w:rsid w:val="002F4F98"/>
    <w:rsid w:val="004C2C32"/>
    <w:rsid w:val="004C67FB"/>
    <w:rsid w:val="005649E6"/>
    <w:rsid w:val="005C5EC4"/>
    <w:rsid w:val="00666AFC"/>
    <w:rsid w:val="007452E7"/>
    <w:rsid w:val="008C6422"/>
    <w:rsid w:val="009A6D63"/>
    <w:rsid w:val="009B3034"/>
    <w:rsid w:val="009B3C07"/>
    <w:rsid w:val="00B27838"/>
    <w:rsid w:val="00C112D8"/>
    <w:rsid w:val="00CC73C3"/>
    <w:rsid w:val="00D96282"/>
    <w:rsid w:val="00DA3532"/>
    <w:rsid w:val="00EA1C35"/>
    <w:rsid w:val="00F45132"/>
    <w:rsid w:val="00F76238"/>
    <w:rsid w:val="030B70DA"/>
    <w:rsid w:val="14490118"/>
    <w:rsid w:val="15435DE6"/>
    <w:rsid w:val="187307E9"/>
    <w:rsid w:val="27E2731F"/>
    <w:rsid w:val="29340175"/>
    <w:rsid w:val="2B663492"/>
    <w:rsid w:val="2BE154D3"/>
    <w:rsid w:val="414F30D8"/>
    <w:rsid w:val="464B008D"/>
    <w:rsid w:val="49512083"/>
    <w:rsid w:val="4A716C3E"/>
    <w:rsid w:val="4B88511B"/>
    <w:rsid w:val="50EA3BAB"/>
    <w:rsid w:val="5A2C4051"/>
    <w:rsid w:val="66E83B22"/>
    <w:rsid w:val="6B220568"/>
    <w:rsid w:val="6C64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rPr>
      <w:rFonts w:cs="Times New Roman"/>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宋体"/>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rPr>
      <w:rFonts w:cs="Times New Roman"/>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145</Words>
  <Characters>828</Characters>
  <Application>Microsoft Office Word</Application>
  <DocSecurity>0</DocSecurity>
  <Lines>6</Lines>
  <Paragraphs>1</Paragraphs>
  <ScaleCrop>false</ScaleCrop>
  <Company>微软中国</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13</cp:revision>
  <dcterms:created xsi:type="dcterms:W3CDTF">2022-09-15T01:34:00Z</dcterms:created>
  <dcterms:modified xsi:type="dcterms:W3CDTF">2022-09-23T04:06:00Z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61092E7A49284FCFA0D7FD2C484847A0</vt:lpwstr>
  </property>
</Properties>
</file>