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21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3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color w:val="FF0000"/>
                <w:w w:val="68"/>
                <w:sz w:val="11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w w:val="68"/>
                <w:sz w:val="130"/>
                <w:szCs w:val="130"/>
                <w:lang w:val="en-US" w:eastAsia="zh-CN"/>
              </w:rPr>
              <w:t>益阳市资阳区民政局</w:t>
            </w:r>
          </w:p>
        </w:tc>
      </w:tr>
    </w:tbl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447040</wp:posOffset>
                </wp:positionV>
                <wp:extent cx="54864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5.2pt;height:0pt;width:432pt;z-index:251659264;mso-width-relative:page;mso-height-relative:page;" filled="f" stroked="t" coordsize="21600,21600" o:gfxdata="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fUsWDVAAAABgEAAA8AAAAAAAAAAQAgAAAAIgAAAGRycy9kb3ducmV2Lnht&#10;bFBLAQIUABQAAAAIAIdO4kDXqPja/AEAAPMDAAAOAAAAAAAAAAEAIAAAACQBAABkcnMvZTJvRG9j&#10;LnhtbFBLBQYAAAAABgAGAFkBAACS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00" w:beforeAutospacing="1" w:after="100" w:afterAutospacing="1" w:line="600" w:lineRule="exact"/>
        <w:ind w:right="641"/>
        <w:jc w:val="center"/>
        <w:rPr>
          <w:rFonts w:ascii="Times New Roman" w:hAnsi="Times New Roman" w:cs="Times New Roman" w:eastAsiaTheme="majorEastAsia"/>
          <w:b/>
          <w:bCs/>
          <w:sz w:val="44"/>
          <w:szCs w:val="44"/>
        </w:rPr>
      </w:pPr>
    </w:p>
    <w:p>
      <w:pPr>
        <w:spacing w:before="100" w:beforeAutospacing="1" w:after="100" w:afterAutospacing="1" w:line="579" w:lineRule="exact"/>
        <w:ind w:right="641"/>
        <w:jc w:val="center"/>
        <w:rPr>
          <w:rFonts w:hint="eastAsia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益阳市资阳区</w:t>
      </w:r>
      <w:r>
        <w:rPr>
          <w:rFonts w:ascii="Times New Roman" w:hAnsi="Times New Roman" w:cs="Times New Roman" w:eastAsiaTheme="majorEastAsia"/>
          <w:b/>
          <w:bCs/>
          <w:sz w:val="44"/>
          <w:szCs w:val="44"/>
        </w:rPr>
        <w:t>民政</w:t>
      </w:r>
      <w:r>
        <w:rPr>
          <w:rFonts w:hint="eastAsia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局</w:t>
      </w:r>
    </w:p>
    <w:p>
      <w:pPr>
        <w:spacing w:before="100" w:beforeAutospacing="1" w:after="100" w:afterAutospacing="1" w:line="579" w:lineRule="exact"/>
        <w:ind w:right="641"/>
        <w:jc w:val="center"/>
        <w:rPr>
          <w:rFonts w:ascii="Times New Roman" w:hAnsi="Times New Roman" w:cs="Times New Roman" w:eastAsiaTheme="majorEastAsia"/>
          <w:b/>
          <w:bCs/>
          <w:sz w:val="44"/>
          <w:szCs w:val="44"/>
        </w:rPr>
      </w:pPr>
      <w:r>
        <w:rPr>
          <w:rFonts w:ascii="Times New Roman" w:hAnsi="Times New Roman" w:cs="Times New Roman" w:eastAsiaTheme="majorEastAsia"/>
          <w:b/>
          <w:bCs/>
          <w:sz w:val="44"/>
          <w:szCs w:val="44"/>
        </w:rPr>
        <w:t xml:space="preserve">  20</w:t>
      </w:r>
      <w:r>
        <w:rPr>
          <w:rFonts w:hint="eastAsia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  <w:t>21</w:t>
      </w:r>
      <w:r>
        <w:rPr>
          <w:rFonts w:ascii="Times New Roman" w:hAnsi="Times New Roman" w:cs="Times New Roman" w:eastAsiaTheme="majorEastAsia"/>
          <w:b/>
          <w:bCs/>
          <w:sz w:val="44"/>
          <w:szCs w:val="44"/>
        </w:rPr>
        <w:t>年度部门整体支出绩效评价报告</w:t>
      </w:r>
    </w:p>
    <w:p>
      <w:pPr>
        <w:spacing w:before="100" w:beforeAutospacing="1" w:after="100" w:afterAutospacing="1" w:line="579" w:lineRule="exact"/>
        <w:ind w:right="641"/>
        <w:jc w:val="center"/>
        <w:rPr>
          <w:rFonts w:ascii="Times New Roman" w:hAnsi="Times New Roman" w:cs="Times New Roman" w:eastAsiaTheme="majorEastAsia"/>
          <w:b/>
          <w:bCs/>
          <w:sz w:val="44"/>
          <w:szCs w:val="44"/>
        </w:rPr>
      </w:pPr>
    </w:p>
    <w:p>
      <w:pPr>
        <w:pStyle w:val="3"/>
        <w:spacing w:line="579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为进一步规范财政资金管理，牢固树立预算绩效理念，强化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支出责任，提高财政资金使用效益，</w:t>
      </w:r>
      <w:r>
        <w:rPr>
          <w:rFonts w:ascii="Times New Roman" w:hAnsi="Times New Roman" w:eastAsia="仿宋_GB2312" w:cs="Times New Roman"/>
          <w:sz w:val="32"/>
          <w:szCs w:val="32"/>
        </w:rPr>
        <w:t>根据《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益阳市资阳区</w:t>
      </w:r>
      <w:r>
        <w:rPr>
          <w:rFonts w:ascii="Times New Roman" w:hAnsi="Times New Roman" w:eastAsia="仿宋_GB2312" w:cs="Times New Roman"/>
          <w:sz w:val="32"/>
          <w:szCs w:val="32"/>
        </w:rPr>
        <w:t>财政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ascii="Times New Roman" w:hAnsi="Times New Roman" w:eastAsia="仿宋_GB2312" w:cs="Times New Roman"/>
          <w:sz w:val="32"/>
          <w:szCs w:val="32"/>
        </w:rPr>
        <w:t>关于开展20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预算</w:t>
      </w:r>
      <w:r>
        <w:rPr>
          <w:rFonts w:ascii="Times New Roman" w:hAnsi="Times New Roman" w:eastAsia="仿宋_GB2312" w:cs="Times New Roman"/>
          <w:sz w:val="32"/>
          <w:szCs w:val="32"/>
        </w:rPr>
        <w:t>绩效自评工作的通知》要求，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我局</w:t>
      </w:r>
      <w:r>
        <w:rPr>
          <w:rFonts w:ascii="Times New Roman" w:hAnsi="Times New Roman" w:eastAsia="仿宋_GB2312" w:cs="Times New Roman"/>
          <w:sz w:val="32"/>
          <w:szCs w:val="32"/>
        </w:rPr>
        <w:t>组织开展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了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年度部门整体支出绩效自评工作，现将绩效评价情况及评价结果报告如下：</w:t>
      </w:r>
    </w:p>
    <w:p>
      <w:pPr>
        <w:numPr>
          <w:ilvl w:val="0"/>
          <w:numId w:val="1"/>
        </w:numPr>
        <w:spacing w:line="579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部门基本情况</w:t>
      </w:r>
    </w:p>
    <w:p>
      <w:pPr>
        <w:pStyle w:val="3"/>
        <w:spacing w:line="579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资阳区民政局</w:t>
      </w:r>
      <w:r>
        <w:rPr>
          <w:rFonts w:hint="eastAsia" w:ascii="仿宋_GB2312" w:eastAsia="仿宋_GB2312"/>
          <w:sz w:val="32"/>
          <w:szCs w:val="32"/>
        </w:rPr>
        <w:t>贯彻落实党中央和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委关于民政工作的方针政策和决策部署，在履行职责过程中坚持和加强党对民政工作的集中统一领导，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主要职</w:t>
      </w:r>
      <w:r>
        <w:rPr>
          <w:rFonts w:ascii="Times New Roman" w:hAnsi="Times New Roman" w:eastAsia="仿宋_GB2312" w:cs="Times New Roman"/>
          <w:sz w:val="32"/>
          <w:szCs w:val="32"/>
        </w:rPr>
        <w:t>责是：拟订全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民政事业发展规划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和政策</w:t>
      </w:r>
      <w:r>
        <w:rPr>
          <w:rFonts w:ascii="Times New Roman" w:hAnsi="Times New Roman" w:eastAsia="仿宋_GB2312" w:cs="Times New Roman"/>
          <w:sz w:val="32"/>
          <w:szCs w:val="32"/>
        </w:rPr>
        <w:t>并组织实施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和监督检查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拟订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对</w:t>
      </w:r>
      <w:r>
        <w:rPr>
          <w:rFonts w:ascii="Times New Roman" w:hAnsi="Times New Roman" w:eastAsia="仿宋_GB2312" w:cs="Times New Roman"/>
          <w:sz w:val="32"/>
          <w:szCs w:val="32"/>
        </w:rPr>
        <w:t>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社会团体、基金会、社会服务机构等社会组织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进行</w:t>
      </w:r>
      <w:r>
        <w:rPr>
          <w:rFonts w:ascii="Times New Roman" w:hAnsi="Times New Roman" w:eastAsia="仿宋_GB2312" w:cs="Times New Roman"/>
          <w:sz w:val="32"/>
          <w:szCs w:val="32"/>
        </w:rPr>
        <w:t>登记管理和执法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监督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拟订全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社会救助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规划、制度和</w:t>
      </w:r>
      <w:r>
        <w:rPr>
          <w:rFonts w:ascii="Times New Roman" w:hAnsi="Times New Roman" w:eastAsia="仿宋_GB2312" w:cs="Times New Roman"/>
          <w:sz w:val="32"/>
          <w:szCs w:val="32"/>
        </w:rPr>
        <w:t>标准，负责城乡居民最低生活保障、特困人员救助供养、临时救助、生活无着流浪乞讨人员救助工作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拟订全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城乡基层群众自治建设和社区治理政策，指导城乡社区治理体系和治理能力建设，提出加强和改进城乡基层政权建设的建议，推动基层民主政治建设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拟订全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行政区划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总体规划，组织行政</w:t>
      </w:r>
      <w:r>
        <w:rPr>
          <w:rFonts w:ascii="Times New Roman" w:hAnsi="Times New Roman" w:eastAsia="仿宋_GB2312" w:cs="Times New Roman"/>
          <w:sz w:val="32"/>
          <w:szCs w:val="32"/>
        </w:rPr>
        <w:t>区域界线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的勘定和管理工作，</w:t>
      </w:r>
      <w:r>
        <w:rPr>
          <w:rFonts w:ascii="Times New Roman" w:hAnsi="Times New Roman" w:eastAsia="仿宋_GB2312" w:cs="Times New Roman"/>
          <w:sz w:val="32"/>
          <w:szCs w:val="32"/>
        </w:rPr>
        <w:t>负责地名管理工作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贯彻实施有关</w:t>
      </w:r>
      <w:r>
        <w:rPr>
          <w:rFonts w:ascii="Times New Roman" w:hAnsi="Times New Roman" w:eastAsia="仿宋_GB2312" w:cs="Times New Roman"/>
          <w:sz w:val="32"/>
          <w:szCs w:val="32"/>
        </w:rPr>
        <w:t>婚姻管理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法规和</w:t>
      </w:r>
      <w:r>
        <w:rPr>
          <w:rFonts w:ascii="Times New Roman" w:hAnsi="Times New Roman" w:eastAsia="仿宋_GB2312" w:cs="Times New Roman"/>
          <w:sz w:val="32"/>
          <w:szCs w:val="32"/>
        </w:rPr>
        <w:t>政策，推进婚俗改革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拟订全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殡葬管理政策、服务规范并组织实施，推进殡葬改革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统筹推进、督促指导、监督管理养老服务工作，拟订全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养老服务体系建设规划、政策、标准并组织实施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贯彻实施有关</w:t>
      </w:r>
      <w:r>
        <w:rPr>
          <w:rFonts w:ascii="Times New Roman" w:hAnsi="Times New Roman" w:eastAsia="仿宋_GB2312" w:cs="Times New Roman"/>
          <w:sz w:val="32"/>
          <w:szCs w:val="32"/>
        </w:rPr>
        <w:t>残疾人权益保护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的法律法规和</w:t>
      </w:r>
      <w:r>
        <w:rPr>
          <w:rFonts w:ascii="Times New Roman" w:hAnsi="Times New Roman" w:eastAsia="仿宋_GB2312" w:cs="Times New Roman"/>
          <w:sz w:val="32"/>
          <w:szCs w:val="32"/>
        </w:rPr>
        <w:t>政策，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落实</w:t>
      </w:r>
      <w:r>
        <w:rPr>
          <w:rFonts w:ascii="Times New Roman" w:hAnsi="Times New Roman" w:eastAsia="仿宋_GB2312" w:cs="Times New Roman"/>
          <w:sz w:val="32"/>
          <w:szCs w:val="32"/>
        </w:rPr>
        <w:t>残疾人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两项补贴</w:t>
      </w:r>
      <w:r>
        <w:rPr>
          <w:rFonts w:ascii="Times New Roman" w:hAnsi="Times New Roman" w:eastAsia="仿宋_GB2312" w:cs="Times New Roman"/>
          <w:sz w:val="32"/>
          <w:szCs w:val="32"/>
        </w:rPr>
        <w:t>福利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待遇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贯彻实施有关</w:t>
      </w:r>
      <w:r>
        <w:rPr>
          <w:rFonts w:ascii="Times New Roman" w:hAnsi="Times New Roman" w:eastAsia="仿宋_GB2312" w:cs="Times New Roman"/>
          <w:sz w:val="32"/>
          <w:szCs w:val="32"/>
        </w:rPr>
        <w:t>儿童福利、孤弃儿童保障、儿童收养、儿童救助保护政策、标准，健全农村留守儿童关爱服务体系和困境儿童保障制度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拟订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促进</w:t>
      </w:r>
      <w:r>
        <w:rPr>
          <w:rFonts w:ascii="Times New Roman" w:hAnsi="Times New Roman" w:eastAsia="仿宋_GB2312" w:cs="Times New Roman"/>
          <w:sz w:val="32"/>
          <w:szCs w:val="32"/>
        </w:rPr>
        <w:t>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慈善事业发展政策，指导社会捐助工作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拟订全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社会工作、志愿服务政策和标准，会同有关部门推进社会工作人才队伍建设和志愿者队伍建设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完成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政府交办的其他任务。</w:t>
      </w:r>
    </w:p>
    <w:p>
      <w:pPr>
        <w:pStyle w:val="3"/>
        <w:spacing w:line="579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资阳区民政局</w:t>
      </w:r>
      <w:r>
        <w:rPr>
          <w:rFonts w:ascii="Times New Roman" w:hAnsi="Times New Roman" w:eastAsia="仿宋_GB2312" w:cs="Times New Roman"/>
          <w:sz w:val="32"/>
          <w:szCs w:val="32"/>
        </w:rPr>
        <w:t>共有行政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股</w:t>
      </w:r>
      <w:r>
        <w:rPr>
          <w:rFonts w:ascii="Times New Roman" w:hAnsi="Times New Roman" w:eastAsia="仿宋_GB2312" w:cs="Times New Roman"/>
          <w:sz w:val="32"/>
          <w:szCs w:val="32"/>
        </w:rPr>
        <w:t>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，直属事业单位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个，其中纳入部门预决算范围的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个，为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益阳市社会福利院、益阳市儿童福利院、益阳市社区服务总站、益阳市资阳区婚姻服务中心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ascii="Times New Roman" w:hAnsi="Times New Roman" w:eastAsia="仿宋_GB2312" w:cs="Times New Roman"/>
          <w:sz w:val="32"/>
          <w:szCs w:val="32"/>
        </w:rPr>
        <w:t>机关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年末实有在职人员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15"/>
        <w:widowControl/>
        <w:numPr>
          <w:ilvl w:val="0"/>
          <w:numId w:val="1"/>
        </w:numPr>
        <w:spacing w:line="579" w:lineRule="exact"/>
        <w:ind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pStyle w:val="15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2021年度财政拨款支出决算数为8934.58万元，主要用于以下方面：社会保障和就业支出8792.13万元，占98.41%;卫生健康支出88.81万元，占0.99%；住房保障支出53.64万元，占0.6%。</w:t>
      </w:r>
    </w:p>
    <w:p>
      <w:pPr>
        <w:pStyle w:val="15"/>
        <w:widowControl/>
        <w:numPr>
          <w:ilvl w:val="0"/>
          <w:numId w:val="2"/>
        </w:numPr>
        <w:spacing w:line="579" w:lineRule="exact"/>
        <w:ind w:firstLine="643"/>
        <w:rPr>
          <w:rFonts w:ascii="Times New Roman" w:hAnsi="Times New Roman" w:eastAsia="楷体GB2312" w:cs="Times New Roman"/>
          <w:b/>
          <w:bCs/>
          <w:sz w:val="32"/>
          <w:szCs w:val="32"/>
        </w:rPr>
      </w:pPr>
      <w:r>
        <w:rPr>
          <w:rFonts w:ascii="Times New Roman" w:hAnsi="Times New Roman" w:eastAsia="楷体GB2312" w:cs="Times New Roman"/>
          <w:b/>
          <w:bCs/>
          <w:sz w:val="32"/>
          <w:szCs w:val="32"/>
        </w:rPr>
        <w:t>基本支出情况</w:t>
      </w:r>
    </w:p>
    <w:p>
      <w:pPr>
        <w:pStyle w:val="15"/>
        <w:widowControl/>
        <w:numPr>
          <w:ilvl w:val="0"/>
          <w:numId w:val="0"/>
        </w:num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年度财政拨款基本支出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708.89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万元，其中：人员经费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676.15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万元，占基本支出的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95.38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%,主要包括基本工资、津贴补贴、奖金、基本养老保险缴费、职业年金、医疗保险缴费、住房公积金等；公用经费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32.74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万元，占基本支出的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%，主要包括办公费、印刷费、咨询费、手续费、水电费、维修（护）费、物业费、劳务费、公务接待费、培训费、差旅费、工会费、福利费、办公设备购置等。</w:t>
      </w:r>
    </w:p>
    <w:p>
      <w:pPr>
        <w:numPr>
          <w:ilvl w:val="0"/>
          <w:numId w:val="2"/>
        </w:numPr>
        <w:adjustRightInd w:val="0"/>
        <w:snapToGrid w:val="0"/>
        <w:spacing w:line="579" w:lineRule="exact"/>
        <w:ind w:left="0" w:leftChars="0" w:firstLine="643" w:firstLineChars="200"/>
        <w:rPr>
          <w:rFonts w:hint="eastAsia" w:ascii="Times New Roman" w:hAnsi="Times New Roman" w:eastAsia="楷体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楷体GB2312" w:cs="Times New Roman"/>
          <w:b/>
          <w:bCs/>
          <w:sz w:val="32"/>
          <w:szCs w:val="32"/>
        </w:rPr>
        <w:t>“三公”经费财政拨款支出具体情况</w:t>
      </w:r>
    </w:p>
    <w:p>
      <w:pPr>
        <w:pStyle w:val="15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2021年度“三公”经费财政拨款支出决算中，公务接待费支出决算5.54万元，较上年度有所减少，系落实“过紧日子”决策缩减了开支。</w:t>
      </w:r>
    </w:p>
    <w:p>
      <w:pPr>
        <w:widowControl/>
        <w:numPr>
          <w:ilvl w:val="0"/>
          <w:numId w:val="3"/>
        </w:numPr>
        <w:spacing w:line="579" w:lineRule="exact"/>
        <w:ind w:firstLine="640" w:firstLineChars="200"/>
        <w:rPr>
          <w:rFonts w:ascii="Times New Roman" w:hAnsi="Times New Roman" w:eastAsia="黑体" w:cs="Times New Roman"/>
          <w:color w:val="333333"/>
          <w:sz w:val="32"/>
          <w:szCs w:val="32"/>
        </w:rPr>
      </w:pPr>
      <w:r>
        <w:rPr>
          <w:rFonts w:ascii="Times New Roman" w:hAnsi="Times New Roman" w:eastAsia="黑体" w:cs="Times New Roman"/>
          <w:color w:val="333333"/>
          <w:sz w:val="32"/>
          <w:szCs w:val="32"/>
        </w:rPr>
        <w:t>政府性基金预算支出情况</w:t>
      </w:r>
    </w:p>
    <w:p>
      <w:pPr>
        <w:pStyle w:val="15"/>
        <w:widowControl/>
        <w:numPr>
          <w:ilvl w:val="255"/>
          <w:numId w:val="0"/>
        </w:numPr>
        <w:spacing w:line="579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财政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ascii="Times New Roman" w:hAnsi="Times New Roman" w:eastAsia="仿宋_GB2312" w:cs="Times New Roman"/>
          <w:sz w:val="32"/>
          <w:szCs w:val="32"/>
        </w:rPr>
        <w:t>批复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 w:cs="Times New Roman"/>
          <w:sz w:val="32"/>
          <w:szCs w:val="32"/>
        </w:rPr>
        <w:t>民政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ascii="Times New Roman" w:hAnsi="Times New Roman" w:eastAsia="仿宋_GB2312" w:cs="Times New Roman"/>
          <w:sz w:val="32"/>
          <w:szCs w:val="32"/>
        </w:rPr>
        <w:t>政府性基金预算收入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157.1</w:t>
      </w:r>
      <w:r>
        <w:rPr>
          <w:rFonts w:ascii="Times New Roman" w:hAnsi="Times New Roman" w:eastAsia="仿宋_GB2312" w:cs="Times New Roman"/>
          <w:sz w:val="32"/>
          <w:szCs w:val="32"/>
        </w:rPr>
        <w:t>万元，上年结转结余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507.87</w:t>
      </w:r>
      <w:r>
        <w:rPr>
          <w:rFonts w:ascii="Times New Roman" w:hAnsi="Times New Roman" w:eastAsia="仿宋_GB2312" w:cs="Times New Roman"/>
          <w:sz w:val="32"/>
          <w:szCs w:val="32"/>
        </w:rPr>
        <w:t>万元，全年政府性基金预算支出共计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664.97</w:t>
      </w:r>
      <w:r>
        <w:rPr>
          <w:rFonts w:ascii="Times New Roman" w:hAnsi="Times New Roman" w:eastAsia="仿宋_GB2312" w:cs="Times New Roman"/>
          <w:sz w:val="32"/>
          <w:szCs w:val="32"/>
        </w:rPr>
        <w:t>元。年末结转结余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万元。</w:t>
      </w:r>
    </w:p>
    <w:p>
      <w:pPr>
        <w:pStyle w:val="15"/>
        <w:widowControl/>
        <w:numPr>
          <w:ilvl w:val="0"/>
          <w:numId w:val="3"/>
        </w:numPr>
        <w:spacing w:line="579" w:lineRule="exact"/>
        <w:ind w:firstLine="640"/>
        <w:rPr>
          <w:rFonts w:ascii="Times New Roman" w:hAnsi="Times New Roman" w:eastAsia="黑体" w:cs="Times New Roman"/>
          <w:color w:val="333333"/>
          <w:sz w:val="32"/>
          <w:szCs w:val="32"/>
        </w:rPr>
      </w:pPr>
      <w:r>
        <w:rPr>
          <w:rFonts w:ascii="Times New Roman" w:hAnsi="Times New Roman" w:eastAsia="黑体" w:cs="Times New Roman"/>
          <w:color w:val="333333"/>
          <w:sz w:val="32"/>
          <w:szCs w:val="32"/>
        </w:rPr>
        <w:t>国有资本经营预算支出情况</w:t>
      </w:r>
    </w:p>
    <w:p>
      <w:pPr>
        <w:pStyle w:val="15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eastAsia" w:ascii="仿宋_GB2312" w:hAnsi="Times New Roman" w:eastAsia="仿宋_GB2312" w:cs="Times New Roman"/>
          <w:sz w:val="32"/>
          <w:szCs w:val="32"/>
        </w:rPr>
        <w:t>民政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无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国有资本经营预算支出。</w:t>
      </w:r>
    </w:p>
    <w:p>
      <w:pPr>
        <w:pStyle w:val="15"/>
        <w:widowControl/>
        <w:numPr>
          <w:ilvl w:val="0"/>
          <w:numId w:val="3"/>
        </w:numPr>
        <w:spacing w:line="579" w:lineRule="exact"/>
        <w:ind w:firstLine="640"/>
        <w:rPr>
          <w:rFonts w:ascii="Times New Roman" w:hAnsi="Times New Roman" w:eastAsia="黑体" w:cs="Times New Roman"/>
          <w:color w:val="333333"/>
          <w:sz w:val="32"/>
          <w:szCs w:val="32"/>
        </w:rPr>
      </w:pPr>
      <w:r>
        <w:rPr>
          <w:rFonts w:ascii="Times New Roman" w:hAnsi="Times New Roman" w:eastAsia="黑体" w:cs="Times New Roman"/>
          <w:color w:val="333333"/>
          <w:sz w:val="32"/>
          <w:szCs w:val="32"/>
        </w:rPr>
        <w:t>社会保险基金预算支出情况</w:t>
      </w:r>
    </w:p>
    <w:p>
      <w:pPr>
        <w:pStyle w:val="15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仿宋_GB2312" w:hAnsi="Times New Roman" w:eastAsia="仿宋_GB2312" w:cs="Times New Roman"/>
          <w:color w:val="333333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eastAsia" w:ascii="仿宋_GB2312" w:hAnsi="Times New Roman" w:eastAsia="仿宋_GB2312" w:cs="Times New Roman"/>
          <w:sz w:val="32"/>
          <w:szCs w:val="32"/>
        </w:rPr>
        <w:t>民政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局无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社会保险基金预算支出。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六、部门整体支出绩效情况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2021年，</w:t>
      </w:r>
      <w:r>
        <w:rPr>
          <w:rFonts w:hint="eastAsia" w:ascii="仿宋" w:hAnsi="仿宋" w:eastAsia="仿宋" w:cs="仿宋"/>
          <w:sz w:val="32"/>
          <w:szCs w:val="32"/>
        </w:rPr>
        <w:t>在区委、区政府的正确领导和大力支持下，区民政局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以</w:t>
      </w:r>
      <w:r>
        <w:rPr>
          <w:rFonts w:hint="eastAsia" w:ascii="仿宋" w:hAnsi="仿宋" w:eastAsia="仿宋" w:cs="仿宋"/>
          <w:bCs/>
          <w:sz w:val="32"/>
          <w:szCs w:val="32"/>
        </w:rPr>
        <w:t>习近平新时代中国特色社会主义思想</w:t>
      </w:r>
      <w:r>
        <w:rPr>
          <w:rFonts w:hint="eastAsia" w:ascii="仿宋" w:hAnsi="仿宋" w:eastAsia="仿宋" w:cs="仿宋"/>
          <w:bCs/>
          <w:sz w:val="32"/>
          <w:szCs w:val="32"/>
          <w:lang w:eastAsia="zh-Hans"/>
        </w:rPr>
        <w:t>为指导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Hans"/>
        </w:rPr>
        <w:t>全面</w:t>
      </w:r>
      <w:r>
        <w:rPr>
          <w:rFonts w:hint="eastAsia" w:ascii="仿宋" w:hAnsi="仿宋" w:eastAsia="仿宋" w:cs="仿宋"/>
          <w:bCs/>
          <w:sz w:val="32"/>
          <w:szCs w:val="32"/>
        </w:rPr>
        <w:t>贯彻</w:t>
      </w:r>
      <w:r>
        <w:rPr>
          <w:rFonts w:hint="eastAsia" w:ascii="仿宋" w:hAnsi="仿宋" w:eastAsia="仿宋" w:cs="仿宋"/>
          <w:bCs/>
          <w:sz w:val="32"/>
          <w:szCs w:val="32"/>
          <w:lang w:eastAsia="zh-Hans"/>
        </w:rPr>
        <w:t>落实</w:t>
      </w:r>
      <w:r>
        <w:rPr>
          <w:rFonts w:hint="eastAsia" w:ascii="仿宋" w:hAnsi="仿宋" w:eastAsia="仿宋" w:cs="仿宋"/>
          <w:bCs/>
          <w:sz w:val="32"/>
          <w:szCs w:val="32"/>
        </w:rPr>
        <w:t>党的十九大</w:t>
      </w:r>
      <w:r>
        <w:rPr>
          <w:rFonts w:hint="eastAsia" w:ascii="仿宋" w:hAnsi="仿宋" w:eastAsia="仿宋" w:cs="仿宋"/>
          <w:bCs/>
          <w:sz w:val="32"/>
          <w:szCs w:val="32"/>
          <w:lang w:eastAsia="zh-Hans"/>
        </w:rPr>
        <w:t>和十九届历次全会</w:t>
      </w:r>
      <w:r>
        <w:rPr>
          <w:rFonts w:hint="eastAsia" w:ascii="仿宋" w:hAnsi="仿宋" w:eastAsia="仿宋" w:cs="仿宋"/>
          <w:bCs/>
          <w:sz w:val="32"/>
          <w:szCs w:val="32"/>
        </w:rPr>
        <w:t>精神</w:t>
      </w:r>
      <w:r>
        <w:rPr>
          <w:rFonts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努力践行“民政为民、民政爱民”工作理念，全面履行最底</w:t>
      </w:r>
      <w:r>
        <w:rPr>
          <w:rFonts w:hint="eastAsia" w:ascii="仿宋" w:hAnsi="仿宋" w:eastAsia="仿宋" w:cs="仿宋"/>
          <w:bCs/>
          <w:sz w:val="32"/>
          <w:szCs w:val="32"/>
          <w:lang w:eastAsia="zh-Hans"/>
        </w:rPr>
        <w:t>层</w:t>
      </w:r>
      <w:r>
        <w:rPr>
          <w:rFonts w:hint="eastAsia" w:ascii="仿宋" w:hAnsi="仿宋" w:eastAsia="仿宋" w:cs="仿宋"/>
          <w:bCs/>
          <w:sz w:val="32"/>
          <w:szCs w:val="32"/>
        </w:rPr>
        <w:t>的民生保障、最基本的社会服务、最基础的社会治理和专项行政管理职责，稳步推进各项工作落实，全区民政事业取得了新的进步。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经自评，区民政局20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年度部门整体支出绩效评价得分9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分</w:t>
      </w:r>
      <w:r>
        <w:rPr>
          <w:rFonts w:ascii="Times New Roman" w:hAnsi="Times New Roman" w:eastAsia="仿宋_GB2312" w:cs="Times New Roman"/>
          <w:sz w:val="32"/>
          <w:szCs w:val="32"/>
        </w:rPr>
        <w:t>（详见附件）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部门整体支出绩效为“优”。主要绩效如下：</w:t>
      </w:r>
    </w:p>
    <w:p>
      <w:pPr>
        <w:pStyle w:val="2"/>
        <w:spacing w:line="600" w:lineRule="exact"/>
        <w:ind w:firstLine="643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民政工作稳步推进</w:t>
      </w:r>
    </w:p>
    <w:p>
      <w:pPr>
        <w:pStyle w:val="2"/>
        <w:spacing w:line="600" w:lineRule="exact"/>
        <w:ind w:firstLine="643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Hans" w:bidi="ar-SA"/>
        </w:rPr>
        <w:t>一是突出精准智能，基本民生全面兜牢。</w:t>
      </w:r>
      <w:r>
        <w:rPr>
          <w:rFonts w:hint="eastAsia" w:ascii="仿宋" w:hAnsi="仿宋" w:eastAsia="仿宋" w:cs="仿宋"/>
          <w:sz w:val="32"/>
          <w:szCs w:val="32"/>
        </w:rPr>
        <w:t>一是持续提高社会救助水平。</w:t>
      </w:r>
      <w:r>
        <w:rPr>
          <w:rFonts w:hint="eastAsia" w:ascii="仿宋" w:hAnsi="仿宋" w:eastAsia="仿宋" w:cs="仿宋_GB2312"/>
          <w:sz w:val="32"/>
          <w:szCs w:val="32"/>
        </w:rPr>
        <w:t>按照省民生实事要求，城市低保保障标准提高到580元/月，农村低保提高到4320元/年,城市特困人员基本生活标准提高到754元/月，农村特困人员基本生活标准提高到5616元/年，残疾人“两项补贴”标准提高到70元/月，社会救助的兜底保障作用得到了积极的发挥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是推进社会救助改革创新。</w:t>
      </w:r>
      <w:r>
        <w:rPr>
          <w:rFonts w:hint="eastAsia" w:ascii="仿宋" w:hAnsi="仿宋" w:eastAsia="仿宋" w:cs="方正小标宋简体"/>
          <w:sz w:val="32"/>
          <w:szCs w:val="32"/>
        </w:rPr>
        <w:t>依托社会救助智能监管系统开展“精准救助+掌</w:t>
      </w:r>
      <w:r>
        <w:rPr>
          <w:rFonts w:hint="eastAsia" w:ascii="仿宋" w:hAnsi="仿宋" w:eastAsia="仿宋" w:cs="仿宋_GB2312"/>
          <w:sz w:val="32"/>
          <w:szCs w:val="32"/>
        </w:rPr>
        <w:t>上办+网上办”创新试点工作，整合低保网上申请业务流程，开出了我省首张电子低保证明，真正打通服务群众的“最后一公里”。同时积极探索具有资阳特色的“党建+社会救助”新模式，在大码头街道鹅羊池社区、长春镇龙凤港村试点以党建网格为依托，织密织牢兜底保障网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Hans" w:bidi="ar-SA"/>
        </w:rPr>
        <w:t>二是突出优质高效，社会服务全面提升。</w:t>
      </w:r>
      <w:r>
        <w:rPr>
          <w:rFonts w:hint="eastAsia" w:ascii="仿宋" w:hAnsi="仿宋" w:eastAsia="仿宋" w:cs="仿宋"/>
          <w:sz w:val="32"/>
          <w:szCs w:val="32"/>
        </w:rPr>
        <w:t>坚持多措并举，养老服务体系不断健全。按照“扶持示范一批、规范整治一批、关停一批”的要求，关停了4家民办养老机构，逐步规范养老机构服务行为。建立防范化解涉众型非法经营活动稳定风险联席会议制度，在益阳市人民政府网站、资水之阳公众号等平台及时发布风险提示，对民办养老机构开展涉众型非法经营“绿、橙、红”三级风险预警机制，每季度联合市场监管、金融、公安等部门对养老机构进行综合监管。坚持生态优先，积极推进移风易俗。广泛开展殡葬改革宣传，引导群众节地生态安葬，切实推进农村公益性公墓建设。目前，张家塞乡公益性公墓已完成建设，茈湖口镇公墓建设也接近尾声，其他3个乡镇相关手续正在办理中。规范婚姻登记管理工作，婚姻登记服务质量不断提升。</w:t>
      </w:r>
    </w:p>
    <w:p>
      <w:pPr>
        <w:spacing w:line="600" w:lineRule="exact"/>
        <w:ind w:firstLine="643" w:firstLineChars="200"/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Hans" w:bidi="ar-SA"/>
        </w:rPr>
        <w:t>三是突出规范管理，社会治理全面进步。</w:t>
      </w:r>
      <w:r>
        <w:rPr>
          <w:rFonts w:hint="eastAsia" w:ascii="仿宋" w:hAnsi="仿宋" w:eastAsia="仿宋" w:cs="仿宋"/>
          <w:sz w:val="32"/>
          <w:szCs w:val="32"/>
        </w:rPr>
        <w:t>积极探索城乡基层治理工作创新实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践，</w:t>
      </w:r>
      <w:r>
        <w:rPr>
          <w:rFonts w:hint="eastAsia" w:ascii="仿宋" w:hAnsi="仿宋" w:eastAsia="仿宋" w:cs="仿宋"/>
          <w:sz w:val="32"/>
          <w:szCs w:val="32"/>
        </w:rPr>
        <w:t>构建起城乡社区治理新格局。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全区88个行政村、36个社区通过村（居）委会换届，“两委”班子年龄、学历和交叉任职实现“一降两升”，村级班子战斗力得到增强。</w:t>
      </w:r>
      <w:r>
        <w:rPr>
          <w:rFonts w:hint="eastAsia" w:ascii="仿宋" w:hAnsi="仿宋" w:eastAsia="仿宋" w:cs="仿宋"/>
          <w:sz w:val="32"/>
          <w:szCs w:val="32"/>
        </w:rPr>
        <w:t>规范基层公共服务平台准入事项，推动基层公共服务“一门式”全覆盖，为基层群众性自治组织放权赋能松绑。坚持从严管理，社会组织管理规范有序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慈善、社工事业蓬勃发展。深入开展“夏季送清凉”、“寒冬送温暖”流浪乞讨人员救助保护等工作，群众幸福感和满意度不断提高。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Hans" w:bidi="ar-SA"/>
        </w:rPr>
        <w:t>四是突出安全稳定，各项工作稳步推进。</w:t>
      </w:r>
      <w:r>
        <w:rPr>
          <w:rFonts w:hint="eastAsia" w:ascii="仿宋" w:hAnsi="仿宋" w:eastAsia="仿宋" w:cs="仿宋_GB2312"/>
          <w:sz w:val="32"/>
          <w:szCs w:val="32"/>
        </w:rPr>
        <w:t>按照政府常务会议要求，与原合作方</w:t>
      </w:r>
      <w:r>
        <w:rPr>
          <w:rFonts w:hint="eastAsia" w:ascii="仿宋" w:hAnsi="仿宋" w:eastAsia="仿宋" w:cs="仿宋"/>
          <w:sz w:val="32"/>
          <w:szCs w:val="32"/>
        </w:rPr>
        <w:t>解除合作协议，</w:t>
      </w:r>
      <w:r>
        <w:rPr>
          <w:rFonts w:hint="eastAsia" w:ascii="仿宋" w:hAnsi="仿宋" w:eastAsia="仿宋" w:cs="仿宋_GB2312"/>
          <w:sz w:val="32"/>
          <w:szCs w:val="32"/>
        </w:rPr>
        <w:t>积极协助</w:t>
      </w:r>
      <w:r>
        <w:rPr>
          <w:rFonts w:hint="eastAsia" w:ascii="仿宋" w:hAnsi="仿宋" w:eastAsia="仿宋" w:cs="仿宋"/>
          <w:sz w:val="32"/>
          <w:szCs w:val="32"/>
        </w:rPr>
        <w:t>资阳发展集团</w:t>
      </w:r>
      <w:r>
        <w:rPr>
          <w:rFonts w:hint="eastAsia" w:ascii="仿宋" w:hAnsi="仿宋" w:eastAsia="仿宋" w:cs="仿宋_GB2312"/>
          <w:sz w:val="32"/>
          <w:szCs w:val="32"/>
        </w:rPr>
        <w:t>处理后续事宜，全力保障春晓项目重启建设。以桥北市场群消防安全隐患整治“百日安全”行动为契机，从严抓实民政服务机构和民福市场常态化疫情防控和安全生产工作，强化隐患排查整改，基本安全隐患全部整改到位。</w:t>
      </w:r>
    </w:p>
    <w:p>
      <w:pPr>
        <w:spacing w:line="60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五是强化</w:t>
      </w: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Hans" w:bidi="ar-SA"/>
        </w:rPr>
        <w:t>阵地</w:t>
      </w: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意识，切实扛起党组主体责任。</w:t>
      </w:r>
      <w:r>
        <w:rPr>
          <w:rFonts w:hint="eastAsia" w:ascii="仿宋" w:hAnsi="仿宋" w:eastAsia="仿宋" w:cs="仿宋"/>
          <w:kern w:val="0"/>
          <w:sz w:val="32"/>
          <w:szCs w:val="32"/>
        </w:rPr>
        <w:t>局党组</w:t>
      </w:r>
      <w:r>
        <w:rPr>
          <w:rFonts w:ascii="仿宋" w:hAnsi="仿宋" w:eastAsia="仿宋" w:cs="仿宋"/>
          <w:kern w:val="0"/>
          <w:sz w:val="32"/>
          <w:szCs w:val="32"/>
        </w:rPr>
        <w:t>深入学习贯彻习近平新时代中国特色社会主义思想，切实加强党</w:t>
      </w:r>
      <w:r>
        <w:rPr>
          <w:rFonts w:hint="eastAsia" w:ascii="仿宋" w:hAnsi="仿宋" w:eastAsia="仿宋" w:cs="仿宋"/>
          <w:kern w:val="0"/>
          <w:sz w:val="32"/>
          <w:szCs w:val="32"/>
        </w:rPr>
        <w:t>组</w:t>
      </w:r>
      <w:r>
        <w:rPr>
          <w:rFonts w:ascii="仿宋" w:hAnsi="仿宋" w:eastAsia="仿宋" w:cs="仿宋"/>
          <w:kern w:val="0"/>
          <w:sz w:val="32"/>
          <w:szCs w:val="32"/>
        </w:rPr>
        <w:t>主体责任的落实</w:t>
      </w:r>
      <w:r>
        <w:rPr>
          <w:rFonts w:hint="eastAsia" w:ascii="仿宋" w:hAnsi="仿宋" w:eastAsia="仿宋" w:cs="仿宋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以加强党的建设来推动和保证民政工作任务的圆满完成。</w:t>
      </w:r>
      <w:r>
        <w:rPr>
          <w:rFonts w:eastAsia="仿宋_GB2312"/>
          <w:sz w:val="32"/>
          <w:szCs w:val="32"/>
        </w:rPr>
        <w:t>坚持落实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三会一课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制度、双重组织生活制度，坚持领导干部率先垂范，领导班子深入开展</w:t>
      </w:r>
      <w:r>
        <w:rPr>
          <w:rFonts w:hint="eastAsia" w:eastAsia="仿宋_GB2312"/>
          <w:sz w:val="32"/>
          <w:szCs w:val="32"/>
        </w:rPr>
        <w:t>讲</w:t>
      </w:r>
      <w:r>
        <w:rPr>
          <w:rFonts w:eastAsia="仿宋_GB2312"/>
          <w:sz w:val="32"/>
          <w:szCs w:val="32"/>
        </w:rPr>
        <w:t>党</w:t>
      </w:r>
      <w:r>
        <w:rPr>
          <w:rFonts w:hint="eastAsia" w:ascii="仿宋" w:hAnsi="仿宋" w:eastAsia="仿宋" w:cs="仿宋"/>
          <w:sz w:val="32"/>
          <w:szCs w:val="32"/>
        </w:rPr>
        <w:t>课活动。在意识形态阵地建设上，全力打造坚固组织阵地、思想阵地、宣传阵地，牢牢把握意识形</w:t>
      </w:r>
      <w:r>
        <w:rPr>
          <w:rFonts w:eastAsia="仿宋_GB2312"/>
          <w:sz w:val="32"/>
          <w:szCs w:val="32"/>
        </w:rPr>
        <w:t>态工作主导权，将意识形态工作纳入党建工作责任制，实行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一把手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负总责，班子成员各负其责，明确工作责任，层层抓落实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确保</w:t>
      </w:r>
      <w:r>
        <w:rPr>
          <w:rFonts w:hint="eastAsia" w:eastAsia="仿宋_GB2312"/>
          <w:sz w:val="32"/>
          <w:szCs w:val="32"/>
        </w:rPr>
        <w:t>了</w:t>
      </w:r>
      <w:r>
        <w:rPr>
          <w:rFonts w:eastAsia="仿宋_GB2312"/>
          <w:sz w:val="32"/>
          <w:szCs w:val="32"/>
        </w:rPr>
        <w:t>意识形态领域安全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jc w:val="left"/>
        <w:rPr>
          <w:rFonts w:hint="eastAsi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六是</w:t>
      </w: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Hans" w:bidi="ar-SA"/>
        </w:rPr>
        <w:t>突出勤政务实，切实筑牢廉政思想防线。</w:t>
      </w:r>
      <w:r>
        <w:rPr>
          <w:rFonts w:hint="eastAsia" w:ascii="仿宋" w:hAnsi="仿宋" w:eastAsia="仿宋" w:cs="仿宋_GB2312"/>
          <w:sz w:val="32"/>
          <w:szCs w:val="32"/>
        </w:rPr>
        <w:t>把党风廉政建设有机融入到民政工作的各个方面。</w:t>
      </w:r>
      <w:r>
        <w:rPr>
          <w:rFonts w:hint="eastAsia" w:ascii="仿宋" w:hAnsi="仿宋" w:eastAsia="仿宋" w:cs="仿宋"/>
          <w:sz w:val="32"/>
          <w:szCs w:val="32"/>
        </w:rPr>
        <w:t>一是严格执行中央“八项规定”、《领导干部廉洁从政若干准则》等相关规定，发扬艰苦奋斗、勤俭节约的优良传统和作风，严格控制各种费用的支出，强化联审会签工作程序，坚持财务审批“一支笔”的制度，涉及“三重一大”事项，班子集中研究、集体决策，主动接收监督。二是深入开展四大专项整治行动，通过开展警示教育、督导安全生产、组织志愿服务三条“线”齐步推进，推动民政干部职工转变作风、履职尽责，进一步构筑廉政防线。三是通过开展对民政领域惠民惠农财政补贴资金“一卡通”使用情</w:t>
      </w:r>
      <w:r>
        <w:rPr>
          <w:rFonts w:hint="eastAsia" w:ascii="仿宋" w:hAnsi="仿宋" w:eastAsia="仿宋" w:cs="仿宋"/>
          <w:bCs/>
          <w:sz w:val="32"/>
          <w:szCs w:val="32"/>
        </w:rPr>
        <w:t>况专项督查和财务专项审计等专项整治行动，进一步加强对民生资金使用的监管和</w:t>
      </w:r>
      <w:r>
        <w:rPr>
          <w:rFonts w:hint="eastAsia" w:ascii="仿宋" w:hAnsi="仿宋" w:eastAsia="仿宋" w:cs="仿宋"/>
          <w:sz w:val="32"/>
          <w:szCs w:val="32"/>
        </w:rPr>
        <w:t>廉政风险点的自查。</w:t>
      </w: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七、</w:t>
      </w:r>
      <w:r>
        <w:rPr>
          <w:rFonts w:ascii="Times New Roman" w:hAnsi="Times New Roman" w:eastAsia="黑体" w:cs="Times New Roman"/>
          <w:sz w:val="32"/>
          <w:szCs w:val="32"/>
        </w:rPr>
        <w:t>存在的问题及原因分析</w:t>
      </w:r>
    </w:p>
    <w:p>
      <w:pPr>
        <w:widowControl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部门预算的人员经费和公用经费严重不足。我局系统除了日常办公支出外,还要承担差额编制和自收自支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的人员经费。单位日常运转的刚性支出大，现有的部门预算资金已不能满足日益增长的工作需要。</w:t>
      </w:r>
    </w:p>
    <w:p>
      <w:pPr>
        <w:spacing w:line="579" w:lineRule="exact"/>
        <w:ind w:firstLine="643" w:firstLineChars="200"/>
        <w:rPr>
          <w:rFonts w:hint="eastAsia" w:ascii="Times New Roman" w:hAnsi="Times New Roman" w:eastAsia="楷体GB2312" w:cs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楷体GB2312" w:cs="Times New Roman"/>
          <w:b/>
          <w:bCs/>
          <w:sz w:val="32"/>
          <w:szCs w:val="32"/>
        </w:rPr>
        <w:t>八、下一步改进措施</w:t>
      </w:r>
      <w:r>
        <w:rPr>
          <w:rFonts w:hint="eastAsia" w:ascii="Times New Roman" w:hAnsi="Times New Roman" w:eastAsia="楷体GB2312" w:cs="Times New Roman"/>
          <w:b/>
          <w:bCs/>
          <w:sz w:val="32"/>
          <w:szCs w:val="32"/>
          <w:lang w:eastAsia="zh-CN"/>
        </w:rPr>
        <w:t>和建议</w:t>
      </w:r>
    </w:p>
    <w:p>
      <w:pPr>
        <w:widowControl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1、加强预算管理意识，优化预算执行管理。我局将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认真贯彻落实预算法</w:t>
      </w:r>
      <w:r>
        <w:rPr>
          <w:rFonts w:ascii="Times New Roman" w:hAnsi="Times New Roman" w:eastAsia="仿宋_GB2312" w:cs="Times New Roman"/>
          <w:sz w:val="32"/>
          <w:szCs w:val="32"/>
        </w:rPr>
        <w:t>，提高对预算资金使用效益的认识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严格执行预算编制的相关制度和要求，各项经费根据单位的年度工作重点和项目专项工作进行规划，本着“勤俭节约、保障运转”的原则做好预算编制工作，进一步提高预算编制的科学性、合理性、严谨性。</w:t>
      </w:r>
    </w:p>
    <w:p>
      <w:pPr>
        <w:widowControl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2、根据我局部门整体支出绩效评价情况，建议区财政根据民政事业发展的要求和实际情况，加大部门预算资金的安排，提高我局公用经费和工作经费预算额度。</w:t>
      </w: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年度业务工作专项支出绩效自评表</w:t>
      </w:r>
    </w:p>
    <w:p>
      <w:pPr>
        <w:widowControl/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spacing w:line="600" w:lineRule="exact"/>
        <w:ind w:firstLine="1600" w:firstLineChars="5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600" w:lineRule="exact"/>
        <w:ind w:firstLine="1600" w:firstLineChars="5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79" w:lineRule="exact"/>
        <w:ind w:firstLine="640" w:firstLineChars="200"/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益阳市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资阳区民政局</w:t>
      </w:r>
    </w:p>
    <w:p>
      <w:pPr>
        <w:spacing w:line="579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2022年9月9日</w:t>
      </w:r>
    </w:p>
    <w:p>
      <w:pPr>
        <w:widowControl/>
        <w:spacing w:line="600" w:lineRule="exact"/>
        <w:ind w:firstLine="1600" w:firstLineChars="5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600" w:lineRule="exact"/>
        <w:ind w:firstLine="1600" w:firstLineChars="5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/>
    <w:p/>
    <w:p/>
    <w:p/>
    <w:p/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附件：</w:t>
      </w: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1"/>
        <w:gridCol w:w="430"/>
        <w:gridCol w:w="547"/>
        <w:gridCol w:w="1795"/>
        <w:gridCol w:w="848"/>
        <w:gridCol w:w="1949"/>
        <w:gridCol w:w="1257"/>
        <w:gridCol w:w="380"/>
        <w:gridCol w:w="747"/>
        <w:gridCol w:w="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2021年度</w:t>
            </w: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t>部门整体支出绩效自评表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级预算部门名称</w:t>
            </w:r>
          </w:p>
        </w:tc>
        <w:tc>
          <w:tcPr>
            <w:tcW w:w="426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资阳区民政局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年度预</w:t>
            </w:r>
          </w:p>
        </w:tc>
        <w:tc>
          <w:tcPr>
            <w:tcW w:w="55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10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7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分值</w:t>
            </w: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48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14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7187.59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7187.59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9943.93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138.35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13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按收入性质分：</w:t>
            </w:r>
          </w:p>
        </w:tc>
        <w:tc>
          <w:tcPr>
            <w:tcW w:w="16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按支出性质分：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13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 xml:space="preserve">  其中：  一般公共预算：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6686.10</w:t>
            </w:r>
          </w:p>
        </w:tc>
        <w:tc>
          <w:tcPr>
            <w:tcW w:w="16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其中：基本支出：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1053.28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13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政府性基金拨款：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157.1</w:t>
            </w:r>
          </w:p>
        </w:tc>
        <w:tc>
          <w:tcPr>
            <w:tcW w:w="16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项目支出：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8890.65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313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16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13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民生保障能力明显增强，社会治理水平显著提高，提供专项社会服务更加有效，形成各个部门和各项工作之间有机联系、分工明确、相互支撑、协同发展的推进格局，构建起制度更加完备、体系更加健全、覆盖更加广泛、功能更加强大，与经济社会发展水平相适应的现代化民政事业发展体系。</w:t>
            </w:r>
          </w:p>
        </w:tc>
        <w:tc>
          <w:tcPr>
            <w:tcW w:w="16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735"/>
              </w:tabs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聚焦脱贫攻坚、特殊群体和群众关切，落实民政部和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委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政府对决策部署，大力推进“五化”民政建设，各项工作取得新成效，为全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经济社会发展作出了积极贡献。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绩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效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指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标</w:t>
            </w: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二级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指标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57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年度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7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分值</w:t>
            </w: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得分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产出指标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(50分)</w:t>
            </w: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重度残疾人护理补贴月均保障人数</w:t>
            </w:r>
          </w:p>
        </w:tc>
        <w:tc>
          <w:tcPr>
            <w:tcW w:w="157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4135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7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4135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困难残疾人生活补贴月均保障人数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2836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2836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特困人员月均保障人数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2282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2282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孤儿月均保障人数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37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37人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低保对象月均保障人数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11221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1221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人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资金社会化发放率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≥90%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≥90%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资金下达时限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收到中央补助资金30日内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收到中央补助资金30日内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资金按时发放时限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按月或按季发放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按月或按季发放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孤儿供养标准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集中供养孤儿标准不低于1350元/月；散居孤儿供养标准不低于950元/月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集中供养孤儿标准不低于1350元/月；散居孤儿供养标准不低于950元/月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城乡低保标准和救助水平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不低于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级指导标准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不低于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级指导标准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困难残疾人生活补贴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每人每月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70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城乡特困人员基本生活标准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不低于城乡低保标准的1.3倍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分别达到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9048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元/年和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5616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元/年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重度残疾人护理补贴</w:t>
            </w:r>
          </w:p>
        </w:tc>
        <w:tc>
          <w:tcPr>
            <w:tcW w:w="15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每人每月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70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效益指标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经济效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乡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低保标准“十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五”年均增长率。</w:t>
            </w:r>
          </w:p>
        </w:tc>
        <w:tc>
          <w:tcPr>
            <w:tcW w:w="157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乡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低保标准“十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eastAsia="zh-CN"/>
              </w:rPr>
              <w:t>四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五”年均增长率不低于居民上年度人均消费支出增速。</w:t>
            </w:r>
          </w:p>
        </w:tc>
        <w:tc>
          <w:tcPr>
            <w:tcW w:w="7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城乡低保月人均救助水平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580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元和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360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元,比20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年提高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11.54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%和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7.46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社会效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政策知晓率</w:t>
            </w:r>
          </w:p>
        </w:tc>
        <w:tc>
          <w:tcPr>
            <w:tcW w:w="157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(≥85%)</w:t>
            </w:r>
          </w:p>
        </w:tc>
        <w:tc>
          <w:tcPr>
            <w:tcW w:w="7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(≥85%)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困难群众基本生活救助制度和残疾人保障制度</w:t>
            </w:r>
          </w:p>
        </w:tc>
        <w:tc>
          <w:tcPr>
            <w:tcW w:w="157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逐步完善（视情况酌情给分）</w:t>
            </w:r>
          </w:p>
        </w:tc>
        <w:tc>
          <w:tcPr>
            <w:tcW w:w="7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视情况酌情给分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满意度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指标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0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工作满意度</w:t>
            </w:r>
          </w:p>
        </w:tc>
        <w:tc>
          <w:tcPr>
            <w:tcW w:w="157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(≥90%)</w:t>
            </w:r>
          </w:p>
        </w:tc>
        <w:tc>
          <w:tcPr>
            <w:tcW w:w="7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(≥90%)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0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3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总分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3EE537"/>
    <w:multiLevelType w:val="singleLevel"/>
    <w:tmpl w:val="CE3EE5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435567"/>
    <w:multiLevelType w:val="singleLevel"/>
    <w:tmpl w:val="F743556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B4E36A"/>
    <w:multiLevelType w:val="singleLevel"/>
    <w:tmpl w:val="78B4E36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A3F30"/>
    <w:rsid w:val="000E105F"/>
    <w:rsid w:val="0030547C"/>
    <w:rsid w:val="006A7DF2"/>
    <w:rsid w:val="006D2B20"/>
    <w:rsid w:val="008D07E6"/>
    <w:rsid w:val="00D52DC2"/>
    <w:rsid w:val="04D32AC7"/>
    <w:rsid w:val="064E3B8A"/>
    <w:rsid w:val="08517C00"/>
    <w:rsid w:val="0CA56B3A"/>
    <w:rsid w:val="10BD492F"/>
    <w:rsid w:val="11F24F38"/>
    <w:rsid w:val="12986216"/>
    <w:rsid w:val="14EA638F"/>
    <w:rsid w:val="172724BB"/>
    <w:rsid w:val="18DA2562"/>
    <w:rsid w:val="19107853"/>
    <w:rsid w:val="19623E03"/>
    <w:rsid w:val="1980638C"/>
    <w:rsid w:val="1F3C0AE8"/>
    <w:rsid w:val="1F9905BC"/>
    <w:rsid w:val="1FEC681D"/>
    <w:rsid w:val="240E09AF"/>
    <w:rsid w:val="24285BD5"/>
    <w:rsid w:val="25BC27DD"/>
    <w:rsid w:val="265B240F"/>
    <w:rsid w:val="29FA7F5C"/>
    <w:rsid w:val="2A6E224D"/>
    <w:rsid w:val="2A917BAF"/>
    <w:rsid w:val="2BA95672"/>
    <w:rsid w:val="2F3406AE"/>
    <w:rsid w:val="3027683B"/>
    <w:rsid w:val="315969B0"/>
    <w:rsid w:val="3320739A"/>
    <w:rsid w:val="34A054FF"/>
    <w:rsid w:val="34D413D2"/>
    <w:rsid w:val="3514635A"/>
    <w:rsid w:val="35755406"/>
    <w:rsid w:val="35C712AE"/>
    <w:rsid w:val="361303CA"/>
    <w:rsid w:val="36C76050"/>
    <w:rsid w:val="3D4E4F39"/>
    <w:rsid w:val="412A3F30"/>
    <w:rsid w:val="417C1BE8"/>
    <w:rsid w:val="44894A5B"/>
    <w:rsid w:val="47071EE3"/>
    <w:rsid w:val="48153619"/>
    <w:rsid w:val="48222E78"/>
    <w:rsid w:val="4C812ED4"/>
    <w:rsid w:val="4DC00FA9"/>
    <w:rsid w:val="524E0BA8"/>
    <w:rsid w:val="52C60D4D"/>
    <w:rsid w:val="541B7AD1"/>
    <w:rsid w:val="54D73E95"/>
    <w:rsid w:val="56C93BC2"/>
    <w:rsid w:val="58E37F63"/>
    <w:rsid w:val="59AF0189"/>
    <w:rsid w:val="5A9C6553"/>
    <w:rsid w:val="5BD977D5"/>
    <w:rsid w:val="5BFD60C0"/>
    <w:rsid w:val="5EF432E1"/>
    <w:rsid w:val="5F0C2AA2"/>
    <w:rsid w:val="5FFD7B02"/>
    <w:rsid w:val="6157763E"/>
    <w:rsid w:val="62393146"/>
    <w:rsid w:val="63EB0E9D"/>
    <w:rsid w:val="653C0DAC"/>
    <w:rsid w:val="667D3146"/>
    <w:rsid w:val="66CD5C4D"/>
    <w:rsid w:val="66FD616A"/>
    <w:rsid w:val="682A09D6"/>
    <w:rsid w:val="68A07048"/>
    <w:rsid w:val="69320D51"/>
    <w:rsid w:val="695525C9"/>
    <w:rsid w:val="69C913BB"/>
    <w:rsid w:val="6A0A2437"/>
    <w:rsid w:val="6ED8275F"/>
    <w:rsid w:val="6F121C91"/>
    <w:rsid w:val="71FB41EE"/>
    <w:rsid w:val="768115E7"/>
    <w:rsid w:val="7AA358F6"/>
    <w:rsid w:val="7AB4068A"/>
    <w:rsid w:val="7DA361D6"/>
    <w:rsid w:val="7F9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"/>
    <w:basedOn w:val="1"/>
    <w:qFormat/>
    <w:uiPriority w:val="1"/>
    <w:pPr>
      <w:autoSpaceDE w:val="0"/>
      <w:autoSpaceDN w:val="0"/>
      <w:ind w:left="106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sz w:val="24"/>
      <w:szCs w:val="24"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  <w:rPr>
      <w:sz w:val="24"/>
      <w:szCs w:val="24"/>
    </w:rPr>
  </w:style>
  <w:style w:type="character" w:styleId="14">
    <w:name w:val="Hyperlink"/>
    <w:basedOn w:val="10"/>
    <w:qFormat/>
    <w:uiPriority w:val="0"/>
    <w:rPr>
      <w:color w:val="333333"/>
      <w:u w:val="none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font21"/>
    <w:basedOn w:val="10"/>
    <w:qFormat/>
    <w:uiPriority w:val="0"/>
    <w:rPr>
      <w:rFonts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17">
    <w:name w:val="font11"/>
    <w:basedOn w:val="10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8">
    <w:name w:val="font6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3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2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8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before4"/>
    <w:basedOn w:val="10"/>
    <w:qFormat/>
    <w:uiPriority w:val="0"/>
    <w:rPr>
      <w:bdr w:val="single" w:color="0466C7" w:sz="36" w:space="0"/>
    </w:rPr>
  </w:style>
  <w:style w:type="character" w:customStyle="1" w:styleId="25">
    <w:name w:val="wx-space"/>
    <w:basedOn w:val="10"/>
    <w:qFormat/>
    <w:uiPriority w:val="0"/>
  </w:style>
  <w:style w:type="character" w:customStyle="1" w:styleId="26">
    <w:name w:val="wx-space1"/>
    <w:basedOn w:val="10"/>
    <w:qFormat/>
    <w:uiPriority w:val="0"/>
  </w:style>
  <w:style w:type="character" w:customStyle="1" w:styleId="27">
    <w:name w:val="bsharetext"/>
    <w:basedOn w:val="10"/>
    <w:qFormat/>
    <w:uiPriority w:val="0"/>
  </w:style>
  <w:style w:type="character" w:customStyle="1" w:styleId="28">
    <w:name w:val="hover25"/>
    <w:basedOn w:val="10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4360</Words>
  <Characters>4648</Characters>
  <Lines>120</Lines>
  <Paragraphs>33</Paragraphs>
  <TotalTime>8</TotalTime>
  <ScaleCrop>false</ScaleCrop>
  <LinksUpToDate>false</LinksUpToDate>
  <CharactersWithSpaces>4703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2019-05-20T06:18:00Z</dcterms:created>
  <dc:creator>1402836399</dc:creator>
  <cp:lastModifiedBy>C木木C</cp:lastModifiedBy>
  <cp:lastPrinted>2020-06-08T11:06:00Z</cp:lastPrinted>
  <dcterms:modified xsi:type="dcterms:W3CDTF">2022-09-09T08:01:27Z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30D950D8A69647C08A52AD5084317B56</vt:lpwstr>
  </property>
</Properties>
</file>