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74" w:rsidRDefault="008265EC">
      <w:pPr>
        <w:pStyle w:val="a4"/>
        <w:spacing w:before="0" w:beforeAutospacing="0" w:after="0" w:afterAutospacing="0" w:line="480" w:lineRule="auto"/>
        <w:jc w:val="center"/>
        <w:rPr>
          <w:b/>
          <w:bCs/>
          <w:sz w:val="36"/>
          <w:szCs w:val="36"/>
        </w:rPr>
      </w:pPr>
      <w:r>
        <w:rPr>
          <w:rFonts w:hint="eastAsia"/>
          <w:b/>
          <w:bCs/>
          <w:sz w:val="36"/>
          <w:szCs w:val="36"/>
        </w:rPr>
        <w:t>资阳区发展和改革局20</w:t>
      </w:r>
      <w:r w:rsidR="00812DFD">
        <w:rPr>
          <w:rFonts w:hint="eastAsia"/>
          <w:b/>
          <w:bCs/>
          <w:sz w:val="36"/>
          <w:szCs w:val="36"/>
        </w:rPr>
        <w:t>21</w:t>
      </w:r>
      <w:r>
        <w:rPr>
          <w:rFonts w:hint="eastAsia"/>
          <w:b/>
          <w:bCs/>
          <w:sz w:val="36"/>
          <w:szCs w:val="36"/>
        </w:rPr>
        <w:t>年整体绩效自评报告</w:t>
      </w:r>
    </w:p>
    <w:p w:rsidR="00A05C74" w:rsidRDefault="008265EC">
      <w:pPr>
        <w:pStyle w:val="a4"/>
        <w:numPr>
          <w:ilvl w:val="0"/>
          <w:numId w:val="1"/>
        </w:numPr>
        <w:spacing w:before="0" w:beforeAutospacing="0" w:after="0" w:afterAutospacing="0" w:line="480" w:lineRule="auto"/>
        <w:rPr>
          <w:rFonts w:ascii="仿宋_GB2312" w:eastAsia="仿宋_GB2312" w:hAnsi="΢���ź�"/>
          <w:b/>
          <w:bCs/>
          <w:sz w:val="32"/>
          <w:szCs w:val="32"/>
        </w:rPr>
      </w:pPr>
      <w:r>
        <w:rPr>
          <w:rFonts w:ascii="仿宋_GB2312" w:eastAsia="仿宋_GB2312" w:hAnsi="΢���ź�" w:hint="eastAsia"/>
          <w:b/>
          <w:bCs/>
          <w:sz w:val="32"/>
          <w:szCs w:val="32"/>
        </w:rPr>
        <w:t>部门概况</w:t>
      </w:r>
    </w:p>
    <w:p w:rsidR="00A05C74" w:rsidRDefault="008265EC">
      <w:pPr>
        <w:pStyle w:val="a4"/>
        <w:numPr>
          <w:ilvl w:val="0"/>
          <w:numId w:val="2"/>
        </w:numPr>
        <w:spacing w:before="0" w:beforeAutospacing="0" w:after="0" w:afterAutospacing="0" w:line="480" w:lineRule="auto"/>
        <w:rPr>
          <w:rFonts w:ascii="仿宋" w:eastAsia="仿宋" w:hAnsi="仿宋" w:cs="仿宋"/>
          <w:b/>
          <w:bCs/>
          <w:sz w:val="30"/>
          <w:szCs w:val="30"/>
        </w:rPr>
      </w:pPr>
      <w:r>
        <w:rPr>
          <w:rFonts w:ascii="仿宋" w:eastAsia="仿宋" w:hAnsi="仿宋" w:cs="仿宋" w:hint="eastAsia"/>
          <w:b/>
          <w:bCs/>
          <w:sz w:val="30"/>
          <w:szCs w:val="30"/>
        </w:rPr>
        <w:t>部门职能职责概述</w:t>
      </w:r>
    </w:p>
    <w:p w:rsidR="00A05C74" w:rsidRDefault="008265EC">
      <w:pPr>
        <w:ind w:firstLineChars="200" w:firstLine="560"/>
        <w:jc w:val="left"/>
        <w:rPr>
          <w:rFonts w:ascii="仿宋" w:eastAsia="仿宋" w:hAnsi="仿宋" w:cs="仿宋"/>
          <w:sz w:val="28"/>
          <w:szCs w:val="32"/>
        </w:rPr>
      </w:pPr>
      <w:r>
        <w:rPr>
          <w:rFonts w:ascii="仿宋" w:eastAsia="仿宋" w:hAnsi="仿宋" w:cs="仿宋" w:hint="eastAsia"/>
          <w:sz w:val="28"/>
          <w:szCs w:val="32"/>
        </w:rPr>
        <w:t>1、拟订并组织实施全区国民经济和社会发展战略、中长期规划和年度计划，统筹协调相关总体规划、区域规划与专项规划；提出全区国民经济发展、价格总水平调控和优化重大经济结构的目标、政策，受区人民政府委托向区人民代表大会提交国民经济和社会发展计划的报告。</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2、研究全区宏观经济运行、总量平衡、经济安全和总体产业安全等重要问题并提出宏观调控政策建议，协调解决经济运行中的重大问题，调节国民经济运行。</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3、汇总社会资金总体运行情况，参与制定财政、金融、土地政策并综合分析政策执行效果；完善宏观调控协调机制。</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4、指导推进和综合协调全区经济体制改革，研究全区经济体制改革重大问题，协调有关专项改革方案。</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5、拟订全区全社会固定资产投资总规模和投资结构的调控目标、政策及措施；规划全区重大建设项目和生产力布局，按规定权限审批、核准、审核、备案全区相关建设、投资项目；引导民间投资方向；牵头组织编制重特大自然灾害的灾后恢复重建规划；研究提出区重点建设项目计划；负责政府投资项目代建制实施的指导、协调和监督管理；指导工程咨询业发展。</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6、组织拟订综合性产业政策，负责协调第一、二、三产业以及交</w:t>
      </w:r>
      <w:r>
        <w:rPr>
          <w:rFonts w:ascii="仿宋" w:eastAsia="仿宋" w:hAnsi="仿宋" w:cs="仿宋" w:hint="eastAsia"/>
          <w:sz w:val="28"/>
          <w:szCs w:val="32"/>
        </w:rPr>
        <w:lastRenderedPageBreak/>
        <w:t>通运输体系发展的重大问题并衔接平衡相关发展规划和重大政策；协调农业和农村经济社会发展的重大问题；研究提出新型工业化和产业集群发展的政策措施。</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7、贯彻落实国家中部崛起、长江经济带、洞庭湖生态经济区开发建设的政策措施，组织编制区域规划；拟订并组织实施全区以工代赈规划和计划；参与研究拟订全区城镇化发展战略和重大政策措施；拟订开发园区发展规划和政策。</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8、承担重要商品总量平衡和宏观调控，编制重要农产品、工业品和原材料进出口总量平衡计划并监督执行，根据经济运行情况对计划进行调整；牵头负责全区物流发展工作。</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9、宏观调控全区粮食流通工作，指导协调政策性粮食购销和粮食产销合作；负责全区粮食和物资储备工作；负责组织粮食流通、加工行业安全生产；拟订并组织实施粮食流通设施建设规划；负责粮食流通、物资储备监督检查和行政执法。12325全国粮食流通监管热线实行统一受理、分级负责、便民高效、公开公正的处置原则。</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10、组织拟订社会发展战略、总体规划和年度计划；拟订人口发展战略、规划及人口政策；参与拟订科技、教育、文化体育、卫生、民政等发展政策。统筹推进基本公共服务体系建设和收入分配制度改革；参与推进深化医药卫生体制改革。</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11、牵头拟订能源消费总量控制工作方案并组织实施；组织拟订循环经济发展、能源资源节约和综合利用规划、政策并协调实施。参与编制环境保护规划；协调节能环保产业和清洁生产促进工作；组织</w:t>
      </w:r>
      <w:r>
        <w:rPr>
          <w:rFonts w:ascii="仿宋" w:eastAsia="仿宋" w:hAnsi="仿宋" w:cs="仿宋" w:hint="eastAsia"/>
          <w:sz w:val="28"/>
          <w:szCs w:val="32"/>
        </w:rPr>
        <w:lastRenderedPageBreak/>
        <w:t>实施固定资产投资项目节能评估和审查。</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12、研究提出全区能源发展战略、规划、产业政策并组织实施；组织推进能源重大设备研发，组织推广应用能源行业新产品、新技术、新设备；规划能源重大建设项目布局，按权限核准、审核、申报能源重大建设项目。</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13、指导、协调、监督、管理全区招投标活动；依照投资管理权限核准建设项目的招标方式、招标组织形式、招标范围，对书面评标报告进行备案管理；负责重大建设项目建设过程中工程招投标的监督检查和工业项目招投标活动的监督执法，对行政监督部门招投标执法情况进行监督，对招标代理机构进行监督检查，对招投标活动中的违法行为进行行政处罚。</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14、编制和执行全区价格改革规划，拟订并组织实施价格政策，组织实施价格总水平调控；管理国家、省、市列名管理的商品和服务价格（药品和医疗服务价格除外），监管实行市场调节价的商品和服务价格，承担行政事业性收费管理工作；依法对重特大自然灾害和特殊时期实施临时价格干预措施；负责价格成本调查和监审；负责管理监督价格认证工作。</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15、制定推进社会信用体系建设的规划和政策措施，推进信用信息平台建设，协调社会信用体系建设中的重大问题。</w:t>
      </w:r>
    </w:p>
    <w:p w:rsidR="00A05C74" w:rsidRDefault="008265EC">
      <w:pPr>
        <w:jc w:val="left"/>
        <w:rPr>
          <w:rFonts w:ascii="仿宋" w:eastAsia="仿宋" w:hAnsi="仿宋" w:cs="仿宋"/>
          <w:sz w:val="28"/>
          <w:szCs w:val="32"/>
        </w:rPr>
      </w:pPr>
      <w:r>
        <w:rPr>
          <w:rFonts w:ascii="仿宋" w:eastAsia="仿宋" w:hAnsi="仿宋" w:cs="仿宋" w:hint="eastAsia"/>
          <w:sz w:val="28"/>
          <w:szCs w:val="32"/>
        </w:rPr>
        <w:t>  16、拟订推进经济建设与国防建设协调发展的战略和规划，协调有关重大问题；组织编制全区国民经济动员和装备动员规划、计划，并组织实施有关工作。</w:t>
      </w:r>
    </w:p>
    <w:p w:rsidR="00A05C74" w:rsidRDefault="008265EC">
      <w:pPr>
        <w:jc w:val="left"/>
        <w:rPr>
          <w:rFonts w:ascii="仿宋" w:eastAsia="仿宋" w:hAnsi="仿宋" w:cs="仿宋"/>
          <w:sz w:val="28"/>
          <w:szCs w:val="32"/>
        </w:rPr>
      </w:pPr>
      <w:r>
        <w:rPr>
          <w:rFonts w:ascii="仿宋" w:eastAsia="仿宋" w:hAnsi="仿宋" w:cs="仿宋" w:hint="eastAsia"/>
          <w:sz w:val="28"/>
          <w:szCs w:val="32"/>
        </w:rPr>
        <w:lastRenderedPageBreak/>
        <w:t>  17、承办区委、区政府交办的其他事项。</w:t>
      </w:r>
    </w:p>
    <w:p w:rsidR="00A05C74" w:rsidRDefault="00A05C74">
      <w:pPr>
        <w:pStyle w:val="a4"/>
        <w:spacing w:before="0" w:beforeAutospacing="0" w:after="0" w:afterAutospacing="0" w:line="480" w:lineRule="auto"/>
        <w:rPr>
          <w:rFonts w:ascii="仿宋_GB2312" w:eastAsia="仿宋_GB2312" w:hAnsi="΢���ź�"/>
          <w:sz w:val="32"/>
          <w:szCs w:val="32"/>
        </w:rPr>
      </w:pPr>
    </w:p>
    <w:p w:rsidR="00A05C74" w:rsidRDefault="008265EC">
      <w:pPr>
        <w:pStyle w:val="a4"/>
        <w:spacing w:before="0" w:beforeAutospacing="0" w:after="0" w:afterAutospacing="0" w:line="480" w:lineRule="auto"/>
        <w:rPr>
          <w:rFonts w:ascii="仿宋" w:eastAsia="仿宋" w:hAnsi="仿宋" w:cs="仿宋"/>
          <w:b/>
          <w:bCs/>
          <w:sz w:val="30"/>
          <w:szCs w:val="30"/>
        </w:rPr>
      </w:pPr>
      <w:r>
        <w:rPr>
          <w:rFonts w:ascii="仿宋" w:eastAsia="仿宋" w:hAnsi="仿宋" w:cs="仿宋" w:hint="eastAsia"/>
          <w:sz w:val="30"/>
          <w:szCs w:val="30"/>
        </w:rPr>
        <w:t>（二）</w:t>
      </w:r>
      <w:r>
        <w:rPr>
          <w:rFonts w:ascii="仿宋" w:eastAsia="仿宋" w:hAnsi="仿宋" w:cs="仿宋" w:hint="eastAsia"/>
          <w:b/>
          <w:bCs/>
          <w:sz w:val="30"/>
          <w:szCs w:val="30"/>
        </w:rPr>
        <w:t>机构设置、人员情况</w:t>
      </w:r>
    </w:p>
    <w:p w:rsidR="00A05C74" w:rsidRDefault="008265EC">
      <w:pPr>
        <w:ind w:firstLineChars="200" w:firstLine="560"/>
        <w:rPr>
          <w:rFonts w:ascii="仿宋" w:eastAsia="仿宋" w:hAnsi="仿宋" w:cs="仿宋"/>
          <w:bCs/>
          <w:color w:val="000000"/>
          <w:sz w:val="28"/>
          <w:szCs w:val="28"/>
          <w:shd w:val="clear" w:color="auto" w:fill="FFFFFF"/>
        </w:rPr>
      </w:pPr>
      <w:r>
        <w:rPr>
          <w:rFonts w:ascii="仿宋" w:eastAsia="仿宋" w:hAnsi="仿宋" w:cs="仿宋" w:hint="eastAsia"/>
          <w:sz w:val="28"/>
          <w:szCs w:val="28"/>
        </w:rPr>
        <w:t>根据上述职责，区发改局设10个内设机构：办公室（行政审批改革股），规划综合股，固定资产投资股（重点办），产业发展股(社会事业股)，洞庭湖发展股，环境能源股，粮食物资调控股，价格管理股，粮食监督检查股，招标投标管理股(招标投标管理办公室)。</w:t>
      </w:r>
    </w:p>
    <w:p w:rsidR="00A05C74" w:rsidRDefault="008265EC">
      <w:pPr>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其他机构：</w:t>
      </w:r>
    </w:p>
    <w:p w:rsidR="00A05C74" w:rsidRDefault="008265EC">
      <w:pPr>
        <w:ind w:firstLineChars="200" w:firstLine="560"/>
        <w:jc w:val="left"/>
        <w:rPr>
          <w:rFonts w:ascii="仿宋" w:eastAsia="仿宋" w:hAnsi="仿宋" w:cs="仿宋"/>
          <w:sz w:val="28"/>
          <w:szCs w:val="28"/>
        </w:rPr>
      </w:pPr>
      <w:r>
        <w:rPr>
          <w:rFonts w:ascii="仿宋" w:eastAsia="仿宋" w:hAnsi="仿宋" w:cs="仿宋" w:hint="eastAsia"/>
          <w:sz w:val="28"/>
          <w:szCs w:val="28"/>
        </w:rPr>
        <w:t>(1)区优化经济发展环境办公室。归口区发展和改革局管理。主要职责是:牵头拟订全区优化经济发展环境政策;受理涉及经济发展环境投诉举报;协调维护重点项目建设环境;组织开展营商环境评价;指导优化经济发展环境相关工作; 承担区优化经济发展环境领导小组办公室具体工作。</w:t>
      </w:r>
    </w:p>
    <w:p w:rsidR="00A05C74" w:rsidRDefault="008265EC">
      <w:pPr>
        <w:ind w:firstLineChars="200" w:firstLine="560"/>
        <w:jc w:val="left"/>
        <w:rPr>
          <w:rFonts w:ascii="仿宋" w:eastAsia="仿宋" w:hAnsi="仿宋" w:cs="仿宋"/>
          <w:sz w:val="28"/>
          <w:szCs w:val="28"/>
        </w:rPr>
      </w:pPr>
      <w:r>
        <w:rPr>
          <w:rFonts w:ascii="仿宋" w:eastAsia="仿宋" w:hAnsi="仿宋" w:cs="仿宋" w:hint="eastAsia"/>
          <w:sz w:val="28"/>
          <w:szCs w:val="28"/>
        </w:rPr>
        <w:t>(2)区益沅桃城镇群建设办公室。归口区发展和改革局</w:t>
      </w:r>
      <w:r>
        <w:rPr>
          <w:rFonts w:ascii="仿宋" w:eastAsia="仿宋" w:hAnsi="仿宋" w:cs="仿宋" w:hint="eastAsia"/>
          <w:sz w:val="28"/>
          <w:szCs w:val="28"/>
        </w:rPr>
        <w:br/>
        <w:t>管理。主要职责是:组织编制益沅桃城镇群重点项目建设规划、计划，组织开展相关调查研究，统筹区域内城乡规划、产业发展布局、基础设施建设、资源能源和生态环境保护工作；承担益沅桃城镇群建设领导小组办公室具体工作。</w:t>
      </w:r>
    </w:p>
    <w:p w:rsidR="00A05C74" w:rsidRDefault="008265EC">
      <w:pPr>
        <w:ind w:firstLineChars="200" w:firstLine="560"/>
        <w:rPr>
          <w:rFonts w:ascii="仿宋" w:eastAsia="仿宋" w:hAnsi="仿宋" w:cs="仿宋"/>
          <w:bCs/>
          <w:color w:val="000000"/>
          <w:sz w:val="28"/>
          <w:szCs w:val="28"/>
          <w:shd w:val="clear" w:color="auto" w:fill="FFFFFF"/>
        </w:rPr>
      </w:pPr>
      <w:r>
        <w:rPr>
          <w:rFonts w:ascii="仿宋" w:eastAsia="仿宋" w:hAnsi="仿宋" w:cs="仿宋" w:hint="eastAsia"/>
          <w:color w:val="000000"/>
          <w:sz w:val="28"/>
          <w:szCs w:val="28"/>
          <w:shd w:val="clear" w:color="auto" w:fill="FFFFFF"/>
        </w:rPr>
        <w:t>资阳区发展和改革局机关行政编制15个，机关工勤编制数7个，事业编制数13个。</w:t>
      </w:r>
      <w:r>
        <w:rPr>
          <w:rFonts w:ascii="仿宋" w:eastAsia="仿宋" w:hAnsi="仿宋" w:cs="仿宋" w:hint="eastAsia"/>
          <w:bCs/>
          <w:color w:val="000000"/>
          <w:sz w:val="28"/>
          <w:szCs w:val="28"/>
          <w:shd w:val="clear" w:color="auto" w:fill="FFFFFF"/>
        </w:rPr>
        <w:t>实有在职人员</w:t>
      </w:r>
      <w:r w:rsidR="00A04ACB">
        <w:rPr>
          <w:rFonts w:ascii="仿宋" w:eastAsia="仿宋" w:hAnsi="仿宋" w:cs="仿宋" w:hint="eastAsia"/>
          <w:bCs/>
          <w:color w:val="000000"/>
          <w:sz w:val="28"/>
          <w:szCs w:val="28"/>
          <w:shd w:val="clear" w:color="auto" w:fill="FFFFFF"/>
        </w:rPr>
        <w:t>37</w:t>
      </w:r>
      <w:r>
        <w:rPr>
          <w:rFonts w:ascii="仿宋" w:eastAsia="仿宋" w:hAnsi="仿宋" w:cs="仿宋" w:hint="eastAsia"/>
          <w:bCs/>
          <w:color w:val="000000"/>
          <w:sz w:val="28"/>
          <w:szCs w:val="28"/>
          <w:shd w:val="clear" w:color="auto" w:fill="FFFFFF"/>
        </w:rPr>
        <w:t>人，退休75人。</w:t>
      </w:r>
    </w:p>
    <w:p w:rsidR="00A05C74" w:rsidRDefault="008265EC">
      <w:pPr>
        <w:rPr>
          <w:rFonts w:ascii="仿宋" w:eastAsia="仿宋" w:hAnsi="仿宋" w:cs="仿宋"/>
          <w:b/>
          <w:bCs/>
          <w:sz w:val="30"/>
          <w:szCs w:val="30"/>
        </w:rPr>
      </w:pPr>
      <w:r>
        <w:rPr>
          <w:rFonts w:ascii="仿宋" w:eastAsia="仿宋" w:hAnsi="仿宋" w:cs="仿宋" w:hint="eastAsia"/>
          <w:b/>
          <w:bCs/>
          <w:sz w:val="30"/>
          <w:szCs w:val="30"/>
        </w:rPr>
        <w:t>（三）20</w:t>
      </w:r>
      <w:r w:rsidR="00A04ACB">
        <w:rPr>
          <w:rFonts w:ascii="仿宋" w:eastAsia="仿宋" w:hAnsi="仿宋" w:cs="仿宋" w:hint="eastAsia"/>
          <w:b/>
          <w:bCs/>
          <w:sz w:val="30"/>
          <w:szCs w:val="30"/>
        </w:rPr>
        <w:t>21</w:t>
      </w:r>
      <w:r>
        <w:rPr>
          <w:rFonts w:ascii="仿宋" w:eastAsia="仿宋" w:hAnsi="仿宋" w:cs="仿宋" w:hint="eastAsia"/>
          <w:b/>
          <w:bCs/>
          <w:sz w:val="30"/>
          <w:szCs w:val="30"/>
        </w:rPr>
        <w:t>年度重点工作</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1.立项争资有序推进。</w:t>
      </w:r>
    </w:p>
    <w:p w:rsidR="00A04ACB" w:rsidRPr="00A04ACB" w:rsidRDefault="00A04ACB" w:rsidP="00A04ACB">
      <w:pPr>
        <w:spacing w:line="600" w:lineRule="exact"/>
        <w:ind w:firstLineChars="200" w:firstLine="536"/>
        <w:rPr>
          <w:rFonts w:ascii="仿宋_GB2312" w:eastAsia="仿宋_GB2312" w:hAnsi="仿宋_GB2312" w:cs="仿宋_GB2312"/>
          <w:spacing w:val="-6"/>
          <w:sz w:val="28"/>
          <w:szCs w:val="28"/>
        </w:rPr>
      </w:pPr>
      <w:r w:rsidRPr="00A04ACB">
        <w:rPr>
          <w:rFonts w:ascii="仿宋_GB2312" w:eastAsia="仿宋_GB2312" w:hAnsi="仿宋_GB2312" w:cs="仿宋_GB2312" w:hint="eastAsia"/>
          <w:spacing w:val="-6"/>
          <w:sz w:val="28"/>
          <w:szCs w:val="28"/>
        </w:rPr>
        <w:lastRenderedPageBreak/>
        <w:t>今年，市下达全区立项争资总目标任务是30.91亿元。截至11月底，全区共争取资金30.2亿元。预计12月，全区将争取上级资金31亿元以上，占全年总任务的100.3%。</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2.固定资产投资稳步增长。</w:t>
      </w:r>
    </w:p>
    <w:p w:rsidR="00A04ACB" w:rsidRPr="00A04ACB" w:rsidRDefault="00A04ACB" w:rsidP="00A04ACB">
      <w:pPr>
        <w:spacing w:line="600" w:lineRule="exact"/>
        <w:ind w:firstLineChars="200" w:firstLine="536"/>
        <w:rPr>
          <w:rFonts w:ascii="仿宋_GB2312" w:eastAsia="仿宋_GB2312" w:hAnsi="仿宋_GB2312" w:cs="仿宋_GB2312"/>
          <w:spacing w:val="-6"/>
          <w:sz w:val="28"/>
          <w:szCs w:val="28"/>
        </w:rPr>
      </w:pPr>
      <w:r w:rsidRPr="00A04ACB">
        <w:rPr>
          <w:rFonts w:ascii="仿宋_GB2312" w:eastAsia="仿宋_GB2312" w:hAnsi="仿宋_GB2312" w:cs="仿宋_GB2312" w:hint="eastAsia"/>
          <w:spacing w:val="-6"/>
          <w:sz w:val="28"/>
          <w:szCs w:val="28"/>
        </w:rPr>
        <w:t>1-11月完成固定资产投资87.51亿元，增速14.3%，排全市第三。</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3.重点项目建设持续发力。</w:t>
      </w:r>
    </w:p>
    <w:p w:rsidR="00A04ACB" w:rsidRPr="00A04ACB" w:rsidRDefault="00A04ACB" w:rsidP="00A04ACB">
      <w:pPr>
        <w:spacing w:line="600" w:lineRule="exact"/>
        <w:ind w:firstLineChars="200" w:firstLine="536"/>
        <w:rPr>
          <w:rFonts w:ascii="Calibri" w:hAnsi="Calibri" w:cs="黑体"/>
          <w:spacing w:val="-6"/>
          <w:sz w:val="28"/>
          <w:szCs w:val="28"/>
        </w:rPr>
      </w:pPr>
      <w:r w:rsidRPr="00A04ACB">
        <w:rPr>
          <w:rFonts w:ascii="仿宋_GB2312" w:eastAsia="仿宋_GB2312" w:hAnsi="仿宋_GB2312" w:cs="仿宋_GB2312" w:hint="eastAsia"/>
          <w:spacing w:val="-6"/>
          <w:sz w:val="28"/>
          <w:szCs w:val="28"/>
        </w:rPr>
        <w:t>市级重点项目30个，年度计划投资37.67亿元，截至11月底完成投资37.56亿元，占全年目标的99.7%。重大产业建设项目，列入市10个重大产业项目3个，总投资35亿元，2021年计划投资9亿元，预计12月完成年度投资计划。重大科技创新项目，列入市10个重大科技创新项目1个，总投资0.5亿元，2021年计划投资0.3亿元，截止目前共完成投资0.3亿元，完成年计划投资100%；已形成销售订单53台超精密光学真空镀膜机。重大产品创新项目，列入市10个重大产品创新项目4个，计划总投资2.3亿元，2021年计划投资1.38亿元，截止目前完成投资1.422亿元，完成年度投资计划的103%。</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4.经济发展环境更加优化。</w:t>
      </w:r>
    </w:p>
    <w:p w:rsidR="00A04ACB" w:rsidRPr="00A04ACB" w:rsidRDefault="00A04ACB" w:rsidP="00A04ACB">
      <w:pPr>
        <w:spacing w:line="600" w:lineRule="exact"/>
        <w:ind w:firstLineChars="200" w:firstLine="536"/>
        <w:rPr>
          <w:rFonts w:ascii="仿宋_GB2312" w:eastAsia="仿宋_GB2312" w:hAnsi="仿宋_GB2312" w:cs="仿宋_GB2312"/>
          <w:spacing w:val="-6"/>
          <w:sz w:val="28"/>
          <w:szCs w:val="28"/>
        </w:rPr>
      </w:pPr>
      <w:r w:rsidRPr="00A04ACB">
        <w:rPr>
          <w:rFonts w:ascii="仿宋_GB2312" w:eastAsia="仿宋_GB2312" w:hAnsi="仿宋_GB2312" w:cs="仿宋_GB2312" w:hint="eastAsia"/>
          <w:spacing w:val="-6"/>
          <w:sz w:val="28"/>
          <w:szCs w:val="28"/>
        </w:rPr>
        <w:t>深入贯彻省委、省政府和省优化办营商环境工作部署，持续深化营商环境大优化行动，以打造省内一流营商环境为目标，全面营造便民、高效、规范、法治、开放的营商环境。根据《省市优化营商环境2021年攻坚行动方案》出台了落实方案，进一步细化目标任务抓落实。做好省优化营商环境迎检工作，区委书记付振南主持召开我区优化营商环境工作推进会，印发了迎评工作方案，成立了区迎评工作领导小组，多次到省优办、优化处进行工作对接。组织好了11月16日至11月18日，</w:t>
      </w:r>
      <w:r w:rsidRPr="00A04ACB">
        <w:rPr>
          <w:rFonts w:ascii="仿宋_GB2312" w:eastAsia="仿宋_GB2312" w:hAnsi="仿宋_GB2312" w:cs="仿宋_GB2312" w:hint="eastAsia"/>
          <w:spacing w:val="-6"/>
          <w:sz w:val="28"/>
          <w:szCs w:val="28"/>
        </w:rPr>
        <w:lastRenderedPageBreak/>
        <w:t>国家统计局省国调队对我区47家企业进行了营商环境现场评价工作。并于12月22日上报了省优化办交办损害营商环境问题线索核实整改情况的报告。</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5.易地扶贫搬迁与乡村振兴有效衔接。</w:t>
      </w:r>
    </w:p>
    <w:p w:rsidR="00A04ACB" w:rsidRPr="00A04ACB" w:rsidRDefault="00A04ACB" w:rsidP="00A04ACB">
      <w:pPr>
        <w:spacing w:line="600" w:lineRule="exact"/>
        <w:ind w:firstLineChars="200" w:firstLine="536"/>
        <w:rPr>
          <w:rFonts w:ascii="仿宋_GB2312" w:eastAsia="仿宋_GB2312" w:hAnsi="仿宋_GB2312" w:cs="仿宋_GB2312"/>
          <w:spacing w:val="-6"/>
          <w:sz w:val="28"/>
          <w:szCs w:val="28"/>
        </w:rPr>
      </w:pPr>
      <w:r w:rsidRPr="00A04ACB">
        <w:rPr>
          <w:rFonts w:ascii="仿宋_GB2312" w:eastAsia="仿宋_GB2312" w:hAnsi="仿宋_GB2312" w:cs="仿宋_GB2312" w:hint="eastAsia"/>
          <w:spacing w:val="-6"/>
          <w:sz w:val="28"/>
          <w:szCs w:val="28"/>
        </w:rPr>
        <w:t>全面完成“十三五”时期我区易地扶贫搬迁1175户 3511人的任务，建设16个集中安置点工程，搬迁群众住房质量安全验收率、子女就学条件改善率、就医改善率、搬迁群众满意度均达100%。持续跟进产业发展、安置点规范管理和宣传推广等后续工作，促进脱贫攻坚与乡村振兴有效衔接。多举措保障后续帮扶，通过开展招聘会、设置公益性岗位等方式帮助搬迁群众就业，目前有劳动能力且有就业意愿的1397名搬迁群众均已就业。通过“合作社+农户”“基地+农户+电商”等模式，建立利益联结机制，延长搬迁群众脱贫后续发展链条，现已委托产业帮扶2916人，自主产业发展445人。持续做好低保、特困人员救助等社会兜底保障工作，实现应保尽保。统筹相关部门单位，简化不动产证办证程序，全力推进不动产证办理工作，共发放1197本易地搬迁不动产权证书。联合区消防救援大队召开易地扶贫搬迁消防安全培训，并组织全区100人以上及有扶贫车间的集中安置点开展消防安全演练</w:t>
      </w:r>
      <w:r w:rsidRPr="00A04ACB">
        <w:rPr>
          <w:rFonts w:ascii="仿宋_GB2312" w:eastAsia="仿宋_GB2312" w:hAnsi="仿宋_GB2312" w:cs="仿宋_GB2312"/>
          <w:spacing w:val="-6"/>
          <w:sz w:val="28"/>
          <w:szCs w:val="28"/>
        </w:rPr>
        <w:t>。</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6.粮食安全担当作为。</w:t>
      </w:r>
    </w:p>
    <w:p w:rsidR="00A04ACB" w:rsidRPr="00A04ACB" w:rsidRDefault="00A04ACB" w:rsidP="00A04ACB">
      <w:pPr>
        <w:spacing w:line="600" w:lineRule="exact"/>
        <w:ind w:firstLineChars="200" w:firstLine="536"/>
        <w:rPr>
          <w:rFonts w:ascii="Calibri" w:hAnsi="Calibri" w:cs="黑体"/>
          <w:spacing w:val="-6"/>
          <w:sz w:val="28"/>
          <w:szCs w:val="28"/>
        </w:rPr>
      </w:pPr>
      <w:r w:rsidRPr="00A04ACB">
        <w:rPr>
          <w:rFonts w:ascii="仿宋_GB2312" w:eastAsia="仿宋_GB2312" w:hAnsi="仿宋_GB2312" w:cs="仿宋_GB2312" w:hint="eastAsia"/>
          <w:spacing w:val="-6"/>
          <w:sz w:val="28"/>
          <w:szCs w:val="28"/>
        </w:rPr>
        <w:t>一是提高站位谋划。全区高度重视，将粮食安全工作摆到更加突出的位置，高规格成立了粮食收购协调领导小组；区委召开常委会议专题研究，通过了《资阳区2021年粮食供给保障应急预案》《益阳市资阳区2021年度超标稻谷收购与处置办法》。二是有效仓容保持稳定。我区在沙头粮站新建2.5万吨粮库，修正旧仓，粮食有效库容已达到3.8万吨</w:t>
      </w:r>
      <w:r w:rsidRPr="00A04ACB">
        <w:rPr>
          <w:rFonts w:ascii="仿宋_GB2312" w:eastAsia="仿宋_GB2312" w:hAnsi="仿宋_GB2312" w:cs="仿宋_GB2312" w:hint="eastAsia"/>
          <w:spacing w:val="-6"/>
          <w:sz w:val="28"/>
          <w:szCs w:val="28"/>
        </w:rPr>
        <w:lastRenderedPageBreak/>
        <w:t>（麦容），能充分满足我区临储粮和区级储备粮收储需要。三是细化收购举措。积极筹措收购资金，区粮食收储有限责任公司向市农发行申报粮食收购资金贷款；加大对外销粮食市场的日常监测力度。四是保障粮食安全。今年夏粮共收购超标早稻3864吨，其中，镉含量0.2mg/kg-0.4mg/kg的1633吨，镉含量0.4mg/kg以上的2231吨；累计贷款997.2万元。启动中、晚稻超标粮食收购，截止目前，共收购超标中、晚稻7219吨，其中，镉含量0.2mg/kg-0.4mg/kg的5937吨，镉含量0.4mg/kg以上的1282吨；累计贷款2560万元。同时，我区承担的4000吨区级储备粮轮换工作已全面完成，等待验收。</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7.价格监管再上台阶。</w:t>
      </w:r>
    </w:p>
    <w:p w:rsidR="00A04ACB" w:rsidRPr="00A04ACB" w:rsidRDefault="00A04ACB" w:rsidP="00A04ACB">
      <w:pPr>
        <w:spacing w:line="600" w:lineRule="exact"/>
        <w:ind w:firstLineChars="200" w:firstLine="536"/>
        <w:rPr>
          <w:rFonts w:ascii="仿宋_GB2312" w:eastAsia="仿宋_GB2312" w:hAnsi="仿宋_GB2312" w:cs="仿宋_GB2312"/>
          <w:spacing w:val="-6"/>
          <w:sz w:val="28"/>
          <w:szCs w:val="28"/>
        </w:rPr>
      </w:pPr>
      <w:r w:rsidRPr="00A04ACB">
        <w:rPr>
          <w:rFonts w:ascii="仿宋_GB2312" w:eastAsia="仿宋_GB2312" w:hAnsi="仿宋_GB2312" w:cs="仿宋_GB2312" w:hint="eastAsia"/>
          <w:spacing w:val="-6"/>
          <w:sz w:val="28"/>
          <w:szCs w:val="28"/>
        </w:rPr>
        <w:t>价格管理工作方面，下达了春秋两季教育收费文件，核定了教育收费标准；开展春节期间防疫物资、生活必需品、旅游交通和公用事业价格督导；加强了教育、医疗、城市基础设施、景区及城镇非居民生活燃气价格的监管。2021年价格认证工作共完成涉案物价格认定案件89宗，认定标的总额100.26万元。</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8.生态文明建设成效显著。</w:t>
      </w:r>
    </w:p>
    <w:p w:rsidR="00A04ACB" w:rsidRPr="00A04ACB" w:rsidRDefault="00A04ACB" w:rsidP="00A04ACB">
      <w:pPr>
        <w:spacing w:line="600" w:lineRule="exact"/>
        <w:ind w:firstLineChars="200" w:firstLine="536"/>
        <w:rPr>
          <w:rFonts w:ascii="Calibri" w:hAnsi="Calibri" w:cs="黑体"/>
          <w:spacing w:val="-6"/>
          <w:sz w:val="28"/>
          <w:szCs w:val="28"/>
        </w:rPr>
      </w:pPr>
      <w:r w:rsidRPr="00A04ACB">
        <w:rPr>
          <w:rFonts w:ascii="仿宋_GB2312" w:eastAsia="仿宋_GB2312" w:hAnsi="仿宋_GB2312" w:cs="仿宋_GB2312" w:hint="eastAsia"/>
          <w:spacing w:val="-6"/>
          <w:sz w:val="28"/>
          <w:szCs w:val="28"/>
        </w:rPr>
        <w:t>切实抓好节能降碳工作，能耗“双控”工作取得较大进展，完成“十三五”能耗双控考核目标。积极开展生态环境治理工作，狠抓长江经济带突出问题整改。积极向上争取政策资金，成功申报为省发改委长江振兴项目世界银行贷款示范县，包装策划申报了2022年重点流域项目。</w:t>
      </w:r>
    </w:p>
    <w:p w:rsidR="00A04ACB" w:rsidRPr="00A04ACB" w:rsidRDefault="00A04ACB" w:rsidP="00A04ACB">
      <w:pPr>
        <w:spacing w:line="600" w:lineRule="exact"/>
        <w:ind w:firstLineChars="200" w:firstLine="562"/>
        <w:rPr>
          <w:rFonts w:ascii="仿宋_GB2312" w:eastAsia="仿宋_GB2312" w:hAnsi="仿宋_GB2312" w:cs="仿宋_GB2312"/>
          <w:b/>
          <w:bCs/>
          <w:sz w:val="28"/>
          <w:szCs w:val="28"/>
        </w:rPr>
      </w:pPr>
      <w:r w:rsidRPr="00A04ACB">
        <w:rPr>
          <w:rFonts w:ascii="仿宋_GB2312" w:eastAsia="仿宋_GB2312" w:hAnsi="仿宋_GB2312" w:cs="仿宋_GB2312" w:hint="eastAsia"/>
          <w:b/>
          <w:bCs/>
          <w:sz w:val="28"/>
          <w:szCs w:val="28"/>
        </w:rPr>
        <w:t>9.社会信用体系建设全面推进。</w:t>
      </w:r>
    </w:p>
    <w:p w:rsidR="00A04ACB" w:rsidRPr="00A04ACB" w:rsidRDefault="00A04ACB" w:rsidP="00A04ACB">
      <w:pPr>
        <w:spacing w:line="600" w:lineRule="exact"/>
        <w:ind w:firstLineChars="200" w:firstLine="536"/>
        <w:rPr>
          <w:rFonts w:ascii="仿宋_GB2312" w:eastAsia="仿宋_GB2312" w:hAnsi="仿宋_GB2312" w:cs="仿宋_GB2312" w:hint="eastAsia"/>
          <w:spacing w:val="-6"/>
          <w:sz w:val="28"/>
          <w:szCs w:val="28"/>
        </w:rPr>
      </w:pPr>
      <w:r w:rsidRPr="00A04ACB">
        <w:rPr>
          <w:rFonts w:ascii="仿宋_GB2312" w:eastAsia="仿宋_GB2312" w:hAnsi="仿宋_GB2312" w:cs="仿宋_GB2312" w:hint="eastAsia"/>
          <w:spacing w:val="-6"/>
          <w:sz w:val="28"/>
          <w:szCs w:val="28"/>
          <w:lang w:val="zh-CN"/>
        </w:rPr>
        <w:t>积极贯彻落实国家、省、市关于社会信用体系建设有关精神，切实加强信用体系建设。完成“信用中国（湖南 益阳 资阳）”门户网站筹建</w:t>
      </w:r>
      <w:r w:rsidRPr="00A04ACB">
        <w:rPr>
          <w:rFonts w:ascii="仿宋_GB2312" w:eastAsia="仿宋_GB2312" w:hAnsi="仿宋_GB2312" w:cs="仿宋_GB2312" w:hint="eastAsia"/>
          <w:spacing w:val="-6"/>
          <w:sz w:val="28"/>
          <w:szCs w:val="28"/>
          <w:lang w:val="zh-CN"/>
        </w:rPr>
        <w:lastRenderedPageBreak/>
        <w:t>工作，截止目前，公布行政许可2927条，行政处罚163条，信用信息数量888条，信用承诺数量5条。在2021年全市基层平安创建社会信用体系建设县市区考核中位列全市第一</w:t>
      </w:r>
      <w:r w:rsidRPr="00A04ACB">
        <w:rPr>
          <w:rFonts w:ascii="仿宋_GB2312" w:eastAsia="仿宋_GB2312" w:hAnsi="仿宋_GB2312" w:cs="仿宋_GB2312" w:hint="eastAsia"/>
          <w:spacing w:val="-6"/>
          <w:sz w:val="28"/>
          <w:szCs w:val="28"/>
        </w:rPr>
        <w:t>。</w:t>
      </w:r>
    </w:p>
    <w:p w:rsidR="00A05C74" w:rsidRDefault="008265EC">
      <w:pPr>
        <w:pStyle w:val="a4"/>
        <w:spacing w:before="0" w:beforeAutospacing="0" w:after="0" w:afterAutospacing="0"/>
        <w:rPr>
          <w:rFonts w:ascii="仿宋" w:eastAsia="仿宋" w:hAnsi="仿宋" w:cs="仿宋"/>
          <w:b/>
          <w:bCs/>
          <w:sz w:val="28"/>
          <w:szCs w:val="28"/>
        </w:rPr>
      </w:pPr>
      <w:r>
        <w:rPr>
          <w:rFonts w:ascii="仿宋" w:eastAsia="仿宋" w:hAnsi="仿宋" w:cs="仿宋" w:hint="eastAsia"/>
          <w:b/>
          <w:bCs/>
          <w:sz w:val="28"/>
          <w:szCs w:val="28"/>
        </w:rPr>
        <w:t>（四）整体收入支出规模、使用方向</w:t>
      </w:r>
    </w:p>
    <w:p w:rsidR="00A05C74" w:rsidRDefault="008265EC" w:rsidP="00A04ACB">
      <w:pPr>
        <w:pStyle w:val="a4"/>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20</w:t>
      </w:r>
      <w:r w:rsidR="00A04ACB">
        <w:rPr>
          <w:rFonts w:ascii="仿宋" w:eastAsia="仿宋" w:hAnsi="仿宋" w:cs="仿宋" w:hint="eastAsia"/>
          <w:sz w:val="28"/>
          <w:szCs w:val="28"/>
        </w:rPr>
        <w:t>21</w:t>
      </w:r>
      <w:r>
        <w:rPr>
          <w:rFonts w:ascii="仿宋" w:eastAsia="仿宋" w:hAnsi="仿宋" w:cs="仿宋" w:hint="eastAsia"/>
          <w:sz w:val="28"/>
          <w:szCs w:val="28"/>
        </w:rPr>
        <w:t>年区发改局总收入</w:t>
      </w:r>
      <w:r w:rsidR="00A04ACB">
        <w:rPr>
          <w:rFonts w:ascii="仿宋" w:eastAsia="仿宋" w:hAnsi="仿宋" w:cs="仿宋" w:hint="eastAsia"/>
          <w:sz w:val="28"/>
          <w:szCs w:val="28"/>
        </w:rPr>
        <w:t>1545.89</w:t>
      </w:r>
      <w:r>
        <w:rPr>
          <w:rFonts w:ascii="仿宋" w:eastAsia="仿宋" w:hAnsi="仿宋" w:cs="仿宋" w:hint="eastAsia"/>
          <w:sz w:val="28"/>
          <w:szCs w:val="28"/>
        </w:rPr>
        <w:t>万元</w:t>
      </w:r>
      <w:r w:rsidR="00A04ACB">
        <w:rPr>
          <w:rFonts w:ascii="仿宋" w:eastAsia="仿宋" w:hAnsi="仿宋" w:cs="仿宋" w:hint="eastAsia"/>
          <w:sz w:val="28"/>
          <w:szCs w:val="28"/>
        </w:rPr>
        <w:t>,</w:t>
      </w:r>
      <w:r>
        <w:rPr>
          <w:rFonts w:ascii="仿宋" w:eastAsia="仿宋" w:hAnsi="仿宋" w:cs="仿宋" w:hint="eastAsia"/>
          <w:sz w:val="28"/>
          <w:szCs w:val="28"/>
        </w:rPr>
        <w:t>区发改局总支出</w:t>
      </w:r>
      <w:r w:rsidR="00A04ACB">
        <w:rPr>
          <w:rFonts w:ascii="仿宋" w:eastAsia="仿宋" w:hAnsi="仿宋" w:cs="仿宋" w:hint="eastAsia"/>
          <w:sz w:val="28"/>
          <w:szCs w:val="28"/>
        </w:rPr>
        <w:t>1742.83</w:t>
      </w:r>
      <w:r>
        <w:rPr>
          <w:rFonts w:ascii="仿宋" w:eastAsia="仿宋" w:hAnsi="仿宋" w:cs="仿宋" w:hint="eastAsia"/>
          <w:sz w:val="28"/>
          <w:szCs w:val="28"/>
        </w:rPr>
        <w:t>万元</w:t>
      </w:r>
      <w:r w:rsidR="00A04ACB">
        <w:rPr>
          <w:rFonts w:ascii="仿宋" w:eastAsia="仿宋" w:hAnsi="仿宋" w:cs="仿宋" w:hint="eastAsia"/>
          <w:sz w:val="28"/>
          <w:szCs w:val="28"/>
        </w:rPr>
        <w:t>。</w:t>
      </w:r>
    </w:p>
    <w:p w:rsidR="00A05C74" w:rsidRDefault="008265EC">
      <w:pPr>
        <w:pStyle w:val="a4"/>
        <w:numPr>
          <w:ilvl w:val="0"/>
          <w:numId w:val="3"/>
        </w:numPr>
        <w:spacing w:before="0" w:beforeAutospacing="0" w:after="0" w:afterAutospacing="0"/>
        <w:rPr>
          <w:rFonts w:ascii="仿宋" w:eastAsia="仿宋" w:hAnsi="仿宋" w:cs="仿宋"/>
          <w:sz w:val="28"/>
          <w:szCs w:val="28"/>
        </w:rPr>
      </w:pPr>
      <w:r>
        <w:rPr>
          <w:rFonts w:ascii="仿宋" w:eastAsia="仿宋" w:hAnsi="仿宋" w:cs="仿宋" w:hint="eastAsia"/>
          <w:sz w:val="28"/>
          <w:szCs w:val="28"/>
        </w:rPr>
        <w:t>20</w:t>
      </w:r>
      <w:r w:rsidR="00A04ACB">
        <w:rPr>
          <w:rFonts w:ascii="仿宋" w:eastAsia="仿宋" w:hAnsi="仿宋" w:cs="仿宋" w:hint="eastAsia"/>
          <w:sz w:val="28"/>
          <w:szCs w:val="28"/>
        </w:rPr>
        <w:t>21</w:t>
      </w:r>
      <w:r>
        <w:rPr>
          <w:rFonts w:ascii="仿宋" w:eastAsia="仿宋" w:hAnsi="仿宋" w:cs="仿宋" w:hint="eastAsia"/>
          <w:sz w:val="28"/>
          <w:szCs w:val="28"/>
        </w:rPr>
        <w:t>年资阳区发改局基本支出</w:t>
      </w:r>
      <w:r w:rsidR="00A04ACB">
        <w:rPr>
          <w:rFonts w:ascii="仿宋" w:eastAsia="仿宋" w:hAnsi="仿宋" w:cs="仿宋" w:hint="eastAsia"/>
          <w:sz w:val="28"/>
          <w:szCs w:val="28"/>
        </w:rPr>
        <w:t>801.86</w:t>
      </w:r>
      <w:r>
        <w:rPr>
          <w:rFonts w:ascii="仿宋" w:eastAsia="仿宋" w:hAnsi="仿宋" w:cs="仿宋" w:hint="eastAsia"/>
          <w:sz w:val="28"/>
          <w:szCs w:val="28"/>
        </w:rPr>
        <w:t>万元：其中人员工资支出</w:t>
      </w:r>
      <w:r w:rsidR="00A04ACB">
        <w:rPr>
          <w:rFonts w:ascii="仿宋" w:eastAsia="仿宋" w:hAnsi="仿宋" w:cs="仿宋" w:hint="eastAsia"/>
          <w:sz w:val="28"/>
          <w:szCs w:val="28"/>
        </w:rPr>
        <w:t>596.49</w:t>
      </w:r>
      <w:r>
        <w:rPr>
          <w:rFonts w:ascii="仿宋" w:eastAsia="仿宋" w:hAnsi="仿宋" w:cs="仿宋" w:hint="eastAsia"/>
          <w:sz w:val="28"/>
          <w:szCs w:val="28"/>
        </w:rPr>
        <w:t>万元，曰常公用经费支出</w:t>
      </w:r>
      <w:r w:rsidR="00A04ACB">
        <w:rPr>
          <w:rFonts w:ascii="仿宋" w:eastAsia="仿宋" w:hAnsi="仿宋" w:cs="仿宋" w:hint="eastAsia"/>
          <w:sz w:val="28"/>
          <w:szCs w:val="28"/>
        </w:rPr>
        <w:t>205.37</w:t>
      </w:r>
      <w:r>
        <w:rPr>
          <w:rFonts w:ascii="仿宋" w:eastAsia="仿宋" w:hAnsi="仿宋" w:cs="仿宋" w:hint="eastAsia"/>
          <w:sz w:val="28"/>
          <w:szCs w:val="28"/>
        </w:rPr>
        <w:t>万元。</w:t>
      </w:r>
    </w:p>
    <w:p w:rsidR="00A05C74" w:rsidRDefault="008265EC">
      <w:pPr>
        <w:pStyle w:val="a4"/>
        <w:numPr>
          <w:ilvl w:val="0"/>
          <w:numId w:val="4"/>
        </w:numPr>
        <w:spacing w:before="0" w:beforeAutospacing="0" w:after="0" w:afterAutospacing="0"/>
        <w:rPr>
          <w:rFonts w:ascii="仿宋" w:eastAsia="仿宋" w:hAnsi="仿宋" w:cs="仿宋"/>
          <w:sz w:val="28"/>
          <w:szCs w:val="28"/>
        </w:rPr>
      </w:pPr>
      <w:r>
        <w:rPr>
          <w:rFonts w:ascii="仿宋" w:eastAsia="仿宋" w:hAnsi="仿宋" w:cs="仿宋" w:hint="eastAsia"/>
          <w:sz w:val="28"/>
          <w:szCs w:val="28"/>
        </w:rPr>
        <w:t>20</w:t>
      </w:r>
      <w:r w:rsidR="00A04ACB">
        <w:rPr>
          <w:rFonts w:ascii="仿宋" w:eastAsia="仿宋" w:hAnsi="仿宋" w:cs="仿宋" w:hint="eastAsia"/>
          <w:sz w:val="28"/>
          <w:szCs w:val="28"/>
        </w:rPr>
        <w:t>21</w:t>
      </w:r>
      <w:r>
        <w:rPr>
          <w:rFonts w:ascii="仿宋" w:eastAsia="仿宋" w:hAnsi="仿宋" w:cs="仿宋" w:hint="eastAsia"/>
          <w:sz w:val="28"/>
          <w:szCs w:val="28"/>
        </w:rPr>
        <w:t>年资阳区发改局项目经费支出</w:t>
      </w:r>
      <w:r w:rsidR="00A04ACB">
        <w:rPr>
          <w:rFonts w:ascii="仿宋" w:eastAsia="仿宋" w:hAnsi="仿宋" w:cs="仿宋" w:hint="eastAsia"/>
          <w:sz w:val="28"/>
          <w:szCs w:val="28"/>
        </w:rPr>
        <w:t>941</w:t>
      </w:r>
      <w:r>
        <w:rPr>
          <w:rFonts w:ascii="仿宋" w:eastAsia="仿宋" w:hAnsi="仿宋" w:cs="仿宋" w:hint="eastAsia"/>
          <w:sz w:val="28"/>
          <w:szCs w:val="28"/>
        </w:rPr>
        <w:t>万元。</w:t>
      </w:r>
    </w:p>
    <w:p w:rsidR="00A05C74" w:rsidRDefault="008265EC">
      <w:pPr>
        <w:pStyle w:val="a4"/>
        <w:numPr>
          <w:ilvl w:val="0"/>
          <w:numId w:val="4"/>
        </w:numPr>
        <w:spacing w:before="0" w:beforeAutospacing="0" w:after="0" w:afterAutospacing="0"/>
        <w:rPr>
          <w:rFonts w:ascii="仿宋" w:eastAsia="仿宋" w:hAnsi="仿宋" w:cs="仿宋"/>
          <w:sz w:val="28"/>
          <w:szCs w:val="28"/>
        </w:rPr>
      </w:pPr>
      <w:r>
        <w:rPr>
          <w:rFonts w:ascii="仿宋" w:eastAsia="仿宋" w:hAnsi="仿宋" w:cs="仿宋" w:hint="eastAsia"/>
          <w:sz w:val="28"/>
          <w:szCs w:val="28"/>
        </w:rPr>
        <w:t>20</w:t>
      </w:r>
      <w:r w:rsidR="00812DFD">
        <w:rPr>
          <w:rFonts w:ascii="仿宋" w:eastAsia="仿宋" w:hAnsi="仿宋" w:cs="仿宋" w:hint="eastAsia"/>
          <w:sz w:val="28"/>
          <w:szCs w:val="28"/>
        </w:rPr>
        <w:t>21</w:t>
      </w:r>
      <w:r>
        <w:rPr>
          <w:rFonts w:ascii="仿宋" w:eastAsia="仿宋" w:hAnsi="仿宋" w:cs="仿宋" w:hint="eastAsia"/>
          <w:sz w:val="28"/>
          <w:szCs w:val="28"/>
        </w:rPr>
        <w:t>年度“三公”经费支出决算为</w:t>
      </w:r>
      <w:r w:rsidR="00812DFD">
        <w:rPr>
          <w:rFonts w:ascii="仿宋" w:eastAsia="仿宋" w:hAnsi="仿宋" w:cs="仿宋" w:hint="eastAsia"/>
          <w:sz w:val="28"/>
          <w:szCs w:val="28"/>
        </w:rPr>
        <w:t>2.06</w:t>
      </w:r>
      <w:r>
        <w:rPr>
          <w:rFonts w:ascii="仿宋" w:eastAsia="仿宋" w:hAnsi="仿宋" w:cs="仿宋" w:hint="eastAsia"/>
          <w:sz w:val="28"/>
          <w:szCs w:val="28"/>
        </w:rPr>
        <w:t>万元。其中：公务用车购置及运行费</w:t>
      </w:r>
      <w:r w:rsidR="00812DFD">
        <w:rPr>
          <w:rFonts w:ascii="仿宋" w:eastAsia="仿宋" w:hAnsi="仿宋" w:cs="仿宋" w:hint="eastAsia"/>
          <w:sz w:val="28"/>
          <w:szCs w:val="28"/>
        </w:rPr>
        <w:t>0</w:t>
      </w:r>
      <w:r>
        <w:rPr>
          <w:rFonts w:ascii="仿宋" w:eastAsia="仿宋" w:hAnsi="仿宋" w:cs="仿宋" w:hint="eastAsia"/>
          <w:sz w:val="28"/>
          <w:szCs w:val="28"/>
        </w:rPr>
        <w:t>万元，公务接待费</w:t>
      </w:r>
      <w:r w:rsidR="00812DFD">
        <w:rPr>
          <w:rFonts w:ascii="仿宋" w:eastAsia="仿宋" w:hAnsi="仿宋" w:cs="仿宋" w:hint="eastAsia"/>
          <w:sz w:val="28"/>
          <w:szCs w:val="28"/>
        </w:rPr>
        <w:t>2.06</w:t>
      </w:r>
      <w:r>
        <w:rPr>
          <w:rFonts w:ascii="仿宋" w:eastAsia="仿宋" w:hAnsi="仿宋" w:cs="仿宋" w:hint="eastAsia"/>
          <w:sz w:val="28"/>
          <w:szCs w:val="28"/>
        </w:rPr>
        <w:t>万元。实现了三公经费逐年减少。</w:t>
      </w:r>
    </w:p>
    <w:p w:rsidR="00A05C74" w:rsidRDefault="008265EC">
      <w:pPr>
        <w:pStyle w:val="a4"/>
        <w:spacing w:before="0" w:beforeAutospacing="0" w:after="0" w:afterAutospacing="0"/>
        <w:rPr>
          <w:rFonts w:ascii="仿宋" w:eastAsia="仿宋" w:hAnsi="仿宋" w:cs="仿宋"/>
          <w:b/>
          <w:bCs/>
          <w:sz w:val="30"/>
          <w:szCs w:val="30"/>
        </w:rPr>
      </w:pPr>
      <w:r>
        <w:rPr>
          <w:rFonts w:ascii="仿宋" w:eastAsia="仿宋" w:hAnsi="仿宋" w:cs="仿宋" w:hint="eastAsia"/>
          <w:b/>
          <w:bCs/>
          <w:sz w:val="30"/>
          <w:szCs w:val="30"/>
        </w:rPr>
        <w:t>（五）财务管理状况</w:t>
      </w:r>
    </w:p>
    <w:p w:rsidR="00A05C74" w:rsidRDefault="008265EC">
      <w:pPr>
        <w:pStyle w:val="a4"/>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一是制定了健全的财务管理制度。20</w:t>
      </w:r>
      <w:r w:rsidR="00812DFD">
        <w:rPr>
          <w:rFonts w:ascii="仿宋" w:eastAsia="仿宋" w:hAnsi="仿宋" w:cs="仿宋" w:hint="eastAsia"/>
          <w:sz w:val="28"/>
          <w:szCs w:val="28"/>
        </w:rPr>
        <w:t>21</w:t>
      </w:r>
      <w:r>
        <w:rPr>
          <w:rFonts w:ascii="仿宋" w:eastAsia="仿宋" w:hAnsi="仿宋" w:cs="仿宋" w:hint="eastAsia"/>
          <w:sz w:val="28"/>
          <w:szCs w:val="28"/>
        </w:rPr>
        <w:t>年，资阳区发改局在区财政部门的指导下制定了《资阳区发改局预算管理制度》、《资阳区发改局收支管理制度》、《资阳区发改局政府采购制度》、《资阳区发改局物品管理制度》、《资阳区发改局现金管理制度》、《资阳区发改局费用报批制度》等一系列规范的财务管理制度；二是严格按照各项财务制度抓落实，全年财务工作取得预期目标。</w:t>
      </w:r>
    </w:p>
    <w:p w:rsidR="00A05C74" w:rsidRDefault="008265EC">
      <w:pPr>
        <w:pStyle w:val="a4"/>
        <w:spacing w:before="0" w:beforeAutospacing="0" w:after="0" w:afterAutospacing="0"/>
        <w:rPr>
          <w:rFonts w:ascii="仿宋" w:eastAsia="仿宋" w:hAnsi="仿宋" w:cs="仿宋"/>
          <w:sz w:val="28"/>
          <w:szCs w:val="28"/>
        </w:rPr>
      </w:pPr>
      <w:r>
        <w:rPr>
          <w:rFonts w:ascii="仿宋" w:eastAsia="仿宋" w:hAnsi="仿宋" w:cs="仿宋" w:hint="eastAsia"/>
          <w:b/>
          <w:bCs/>
          <w:sz w:val="30"/>
          <w:szCs w:val="30"/>
        </w:rPr>
        <w:t>（六）预算管理情况 </w:t>
      </w:r>
      <w:r>
        <w:rPr>
          <w:rFonts w:ascii="仿宋" w:eastAsia="仿宋" w:hAnsi="仿宋" w:cs="仿宋" w:hint="eastAsia"/>
          <w:sz w:val="28"/>
          <w:szCs w:val="28"/>
        </w:rPr>
        <w:br/>
        <w:t xml:space="preserve">　　20</w:t>
      </w:r>
      <w:r w:rsidR="00812DFD">
        <w:rPr>
          <w:rFonts w:ascii="仿宋" w:eastAsia="仿宋" w:hAnsi="仿宋" w:cs="仿宋" w:hint="eastAsia"/>
          <w:sz w:val="28"/>
          <w:szCs w:val="28"/>
        </w:rPr>
        <w:t>21</w:t>
      </w:r>
      <w:r>
        <w:rPr>
          <w:rFonts w:ascii="仿宋" w:eastAsia="仿宋" w:hAnsi="仿宋" w:cs="仿宋" w:hint="eastAsia"/>
          <w:sz w:val="28"/>
          <w:szCs w:val="28"/>
        </w:rPr>
        <w:t>年，为进一步加强预算资金的管理，严格预算执行，提高财政资金的使用效益，我局重点开展了以下几方面的工作： </w:t>
      </w:r>
      <w:r>
        <w:rPr>
          <w:rFonts w:ascii="仿宋" w:eastAsia="仿宋" w:hAnsi="仿宋" w:cs="仿宋" w:hint="eastAsia"/>
          <w:sz w:val="28"/>
          <w:szCs w:val="28"/>
        </w:rPr>
        <w:br/>
      </w:r>
      <w:r>
        <w:rPr>
          <w:rFonts w:ascii="仿宋" w:eastAsia="仿宋" w:hAnsi="仿宋" w:cs="仿宋" w:hint="eastAsia"/>
          <w:sz w:val="28"/>
          <w:szCs w:val="28"/>
        </w:rPr>
        <w:lastRenderedPageBreak/>
        <w:t xml:space="preserve">　　1、完善制度。一是我局在20</w:t>
      </w:r>
      <w:r w:rsidR="00812DFD">
        <w:rPr>
          <w:rFonts w:ascii="仿宋" w:eastAsia="仿宋" w:hAnsi="仿宋" w:cs="仿宋" w:hint="eastAsia"/>
          <w:sz w:val="28"/>
          <w:szCs w:val="28"/>
        </w:rPr>
        <w:t>21</w:t>
      </w:r>
      <w:r>
        <w:rPr>
          <w:rFonts w:ascii="仿宋" w:eastAsia="仿宋" w:hAnsi="仿宋" w:cs="仿宋" w:hint="eastAsia"/>
          <w:sz w:val="28"/>
          <w:szCs w:val="28"/>
        </w:rPr>
        <w:t>年积极推动单位内部控制建设，制定了《单位内部控制制度》。二是对机关公务接待、因公出差、会议、培训等费用报账进行了规范。 </w:t>
      </w:r>
      <w:r>
        <w:rPr>
          <w:rFonts w:ascii="仿宋" w:eastAsia="仿宋" w:hAnsi="仿宋" w:cs="仿宋" w:hint="eastAsia"/>
          <w:sz w:val="28"/>
          <w:szCs w:val="28"/>
        </w:rPr>
        <w:br/>
        <w:t xml:space="preserve">　　2、严控支出。我局严格执行财务预算和财务管理制度，“三公”经费控制有序。年初按预算，制定年度支出计划，执行中严格支出程序，做到先有预算、后有开支，不得随意调整。 </w:t>
      </w:r>
      <w:r>
        <w:rPr>
          <w:rFonts w:ascii="仿宋" w:eastAsia="仿宋" w:hAnsi="仿宋" w:cs="仿宋" w:hint="eastAsia"/>
          <w:sz w:val="28"/>
          <w:szCs w:val="28"/>
        </w:rPr>
        <w:br/>
        <w:t xml:space="preserve">　　3、规范管理。对于局经费支出，明确审批权限，对每项支出都制定了专门的审批程序，严格按照审批制度执行，重大开支经局党组集体研究；积极推行公务卡结算，外出调研培训等均使用公务卡开支费用；设备购置及向社会购买服务一律履行政府采购程序，办公用品采取集中定点采购；会议费、差旅费、培训费和“三公经费”坚决按相关文件规定执行，完善审批、预算手续，做到附件依据齐全，杜绝一切超标准、超预算的开支；加强非税收入管理，严格执行收支两条线；加强监督检查，由办公室牵头，各股室、二级机构配合，做好机关财务自查自审，发现问题及时制定措施组织整改。 </w:t>
      </w:r>
      <w:r>
        <w:rPr>
          <w:rFonts w:ascii="仿宋" w:eastAsia="仿宋" w:hAnsi="仿宋" w:cs="仿宋" w:hint="eastAsia"/>
          <w:sz w:val="28"/>
          <w:szCs w:val="28"/>
        </w:rPr>
        <w:br/>
        <w:t xml:space="preserve">　　积极推进局机关经费公开，自觉接受监督。我局按照要求在局网站及时公开了部门预、决算和“三公经费”支出情况，做到了公开透明。通过这一系列措施，确保了我局预算管理的规范性。 </w:t>
      </w:r>
    </w:p>
    <w:p w:rsidR="00A05C74" w:rsidRDefault="008265EC">
      <w:pPr>
        <w:pStyle w:val="a4"/>
        <w:spacing w:before="0" w:beforeAutospacing="0" w:after="0" w:afterAutospacing="0"/>
        <w:rPr>
          <w:rFonts w:ascii="仿宋" w:eastAsia="仿宋" w:hAnsi="仿宋" w:cs="仿宋"/>
          <w:b/>
          <w:bCs/>
          <w:sz w:val="32"/>
          <w:szCs w:val="32"/>
        </w:rPr>
      </w:pPr>
      <w:r>
        <w:rPr>
          <w:rFonts w:ascii="仿宋" w:eastAsia="仿宋" w:hAnsi="仿宋" w:cs="仿宋" w:hint="eastAsia"/>
          <w:b/>
          <w:bCs/>
          <w:sz w:val="32"/>
          <w:szCs w:val="32"/>
        </w:rPr>
        <w:t>二、部门专项资金组织实施情况</w:t>
      </w:r>
    </w:p>
    <w:p w:rsidR="00A05C74" w:rsidRDefault="008265EC">
      <w:pPr>
        <w:pStyle w:val="a4"/>
        <w:spacing w:before="0" w:beforeAutospacing="0" w:after="0" w:afterAutospacing="0"/>
        <w:ind w:firstLineChars="200" w:firstLine="602"/>
        <w:rPr>
          <w:rFonts w:ascii="仿宋" w:eastAsia="仿宋" w:hAnsi="仿宋" w:cs="仿宋"/>
          <w:b/>
          <w:bCs/>
          <w:sz w:val="30"/>
          <w:szCs w:val="30"/>
        </w:rPr>
      </w:pPr>
      <w:r>
        <w:rPr>
          <w:rFonts w:ascii="仿宋" w:eastAsia="仿宋" w:hAnsi="仿宋" w:cs="仿宋" w:hint="eastAsia"/>
          <w:b/>
          <w:bCs/>
          <w:sz w:val="30"/>
          <w:szCs w:val="30"/>
        </w:rPr>
        <w:t>（一）专项资金支出情况</w:t>
      </w:r>
    </w:p>
    <w:p w:rsidR="00A05C74" w:rsidRDefault="008265EC">
      <w:pPr>
        <w:pStyle w:val="a4"/>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20</w:t>
      </w:r>
      <w:r w:rsidR="00812DFD">
        <w:rPr>
          <w:rFonts w:ascii="仿宋" w:eastAsia="仿宋" w:hAnsi="仿宋" w:cs="仿宋" w:hint="eastAsia"/>
          <w:sz w:val="28"/>
          <w:szCs w:val="28"/>
        </w:rPr>
        <w:t>21</w:t>
      </w:r>
      <w:r>
        <w:rPr>
          <w:rFonts w:ascii="仿宋" w:eastAsia="仿宋" w:hAnsi="仿宋" w:cs="仿宋" w:hint="eastAsia"/>
          <w:sz w:val="28"/>
          <w:szCs w:val="28"/>
        </w:rPr>
        <w:t>年，资阳区发改局专项资金总共支出</w:t>
      </w:r>
      <w:r w:rsidR="00812DFD">
        <w:rPr>
          <w:rFonts w:ascii="仿宋" w:eastAsia="仿宋" w:hAnsi="仿宋" w:cs="仿宋" w:hint="eastAsia"/>
          <w:sz w:val="28"/>
          <w:szCs w:val="28"/>
        </w:rPr>
        <w:t>940.98</w:t>
      </w:r>
      <w:r>
        <w:rPr>
          <w:rFonts w:ascii="仿宋" w:eastAsia="仿宋" w:hAnsi="仿宋" w:cs="仿宋" w:hint="eastAsia"/>
          <w:sz w:val="28"/>
          <w:szCs w:val="28"/>
        </w:rPr>
        <w:t xml:space="preserve"> 万元，占全部支出的 </w:t>
      </w:r>
      <w:r w:rsidR="00812DFD">
        <w:rPr>
          <w:rFonts w:ascii="仿宋" w:eastAsia="仿宋" w:hAnsi="仿宋" w:cs="仿宋" w:hint="eastAsia"/>
          <w:sz w:val="28"/>
          <w:szCs w:val="28"/>
        </w:rPr>
        <w:t>54</w:t>
      </w:r>
      <w:r>
        <w:rPr>
          <w:rFonts w:ascii="仿宋" w:eastAsia="仿宋" w:hAnsi="仿宋" w:cs="仿宋" w:hint="eastAsia"/>
          <w:sz w:val="28"/>
          <w:szCs w:val="28"/>
        </w:rPr>
        <w:t xml:space="preserve"> %。具体为农村平台建设资金、农村基础设施建设资金、</w:t>
      </w:r>
      <w:r>
        <w:rPr>
          <w:rFonts w:ascii="仿宋" w:eastAsia="仿宋" w:hAnsi="仿宋" w:cs="仿宋" w:hint="eastAsia"/>
          <w:sz w:val="28"/>
          <w:szCs w:val="28"/>
        </w:rPr>
        <w:lastRenderedPageBreak/>
        <w:t>区立项争资工作经费支出、区节能降耗工作经费支出、区涉农资金整合办工作经费支出、区两型办工作经费支出、区益沅桃城镇群建设工作经费支出和区易地扶贫搬迁工作经费支出。</w:t>
      </w:r>
    </w:p>
    <w:p w:rsidR="00A05C74" w:rsidRDefault="008265EC">
      <w:pPr>
        <w:pStyle w:val="a4"/>
        <w:spacing w:before="0" w:beforeAutospacing="0" w:after="0" w:afterAutospacing="0"/>
        <w:ind w:firstLineChars="200" w:firstLine="562"/>
        <w:rPr>
          <w:rFonts w:ascii="仿宋" w:eastAsia="仿宋" w:hAnsi="仿宋" w:cs="仿宋"/>
          <w:b/>
          <w:bCs/>
          <w:sz w:val="28"/>
          <w:szCs w:val="28"/>
        </w:rPr>
      </w:pPr>
      <w:r>
        <w:rPr>
          <w:rFonts w:ascii="仿宋" w:eastAsia="仿宋" w:hAnsi="仿宋" w:cs="仿宋" w:hint="eastAsia"/>
          <w:b/>
          <w:bCs/>
          <w:sz w:val="28"/>
          <w:szCs w:val="28"/>
        </w:rPr>
        <w:t>（二）专项资金管理情况</w:t>
      </w:r>
    </w:p>
    <w:p w:rsidR="00A05C74" w:rsidRDefault="008265EC">
      <w:pPr>
        <w:pStyle w:val="a4"/>
        <w:spacing w:before="0" w:beforeAutospacing="0" w:after="0" w:afterAutospacing="0"/>
        <w:ind w:firstLineChars="200" w:firstLine="560"/>
        <w:rPr>
          <w:rFonts w:ascii="仿宋" w:eastAsia="仿宋" w:hAnsi="仿宋" w:cs="仿宋"/>
          <w:sz w:val="28"/>
          <w:szCs w:val="28"/>
        </w:rPr>
      </w:pPr>
      <w:r>
        <w:rPr>
          <w:rFonts w:ascii="仿宋" w:eastAsia="仿宋" w:hAnsi="仿宋" w:cs="仿宋" w:hint="eastAsia"/>
          <w:sz w:val="28"/>
          <w:szCs w:val="28"/>
        </w:rPr>
        <w:t>20</w:t>
      </w:r>
      <w:r w:rsidR="00812DFD">
        <w:rPr>
          <w:rFonts w:ascii="仿宋" w:eastAsia="仿宋" w:hAnsi="仿宋" w:cs="仿宋" w:hint="eastAsia"/>
          <w:sz w:val="28"/>
          <w:szCs w:val="28"/>
        </w:rPr>
        <w:t>21</w:t>
      </w:r>
      <w:r>
        <w:rPr>
          <w:rFonts w:ascii="仿宋" w:eastAsia="仿宋" w:hAnsi="仿宋" w:cs="仿宋" w:hint="eastAsia"/>
          <w:sz w:val="28"/>
          <w:szCs w:val="28"/>
        </w:rPr>
        <w:t>年，我局严格按照年初预算使用专项经费，做到了专款专用。</w:t>
      </w:r>
    </w:p>
    <w:p w:rsidR="00A05C74" w:rsidRDefault="008265EC">
      <w:pPr>
        <w:pStyle w:val="a4"/>
        <w:spacing w:before="0" w:beforeAutospacing="0" w:after="0" w:afterAutospacing="0"/>
        <w:ind w:firstLineChars="200" w:firstLine="562"/>
        <w:rPr>
          <w:rFonts w:ascii="仿宋" w:eastAsia="仿宋" w:hAnsi="仿宋" w:cs="仿宋"/>
          <w:b/>
          <w:bCs/>
          <w:sz w:val="28"/>
          <w:szCs w:val="28"/>
        </w:rPr>
      </w:pPr>
      <w:r>
        <w:rPr>
          <w:rFonts w:ascii="仿宋" w:eastAsia="仿宋" w:hAnsi="仿宋" w:cs="仿宋" w:hint="eastAsia"/>
          <w:b/>
          <w:bCs/>
          <w:sz w:val="28"/>
          <w:szCs w:val="28"/>
        </w:rPr>
        <w:t>（三）专项资金支出绩效情况</w:t>
      </w:r>
    </w:p>
    <w:p w:rsidR="00A05C74" w:rsidRPr="00812DFD" w:rsidRDefault="008265EC" w:rsidP="00812DFD">
      <w:pPr>
        <w:spacing w:line="580" w:lineRule="exact"/>
        <w:ind w:firstLineChars="200" w:firstLine="560"/>
        <w:rPr>
          <w:rFonts w:ascii="仿宋_GB2312" w:eastAsia="仿宋_GB2312" w:hAnsi="仿宋_GB2312" w:cs="仿宋_GB2312"/>
          <w:color w:val="FF0000"/>
          <w:spacing w:val="-6"/>
          <w:sz w:val="32"/>
          <w:szCs w:val="32"/>
        </w:rPr>
      </w:pPr>
      <w:r>
        <w:rPr>
          <w:rFonts w:ascii="仿宋" w:eastAsia="仿宋" w:hAnsi="仿宋" w:cs="仿宋" w:hint="eastAsia"/>
          <w:bCs/>
          <w:sz w:val="28"/>
          <w:szCs w:val="28"/>
        </w:rPr>
        <w:t>1.</w:t>
      </w:r>
      <w:r w:rsidR="00812DFD" w:rsidRPr="00812DFD">
        <w:rPr>
          <w:rFonts w:ascii="仿宋_GB2312" w:eastAsia="仿宋_GB2312" w:hAnsi="仿宋_GB2312" w:cs="仿宋_GB2312" w:hint="eastAsia"/>
          <w:spacing w:val="-6"/>
          <w:sz w:val="32"/>
          <w:szCs w:val="32"/>
        </w:rPr>
        <w:t xml:space="preserve"> </w:t>
      </w:r>
      <w:r w:rsidR="00812DFD" w:rsidRPr="00812DFD">
        <w:rPr>
          <w:rFonts w:ascii="仿宋_GB2312" w:eastAsia="仿宋_GB2312" w:hAnsi="仿宋_GB2312" w:cs="仿宋_GB2312" w:hint="eastAsia"/>
          <w:spacing w:val="-6"/>
          <w:sz w:val="28"/>
          <w:szCs w:val="28"/>
        </w:rPr>
        <w:t>今年，我区高度重视立项争资工作，区级领导加强调度，在全区进一步形成真抓实干的浓厚氛围，确保立项争资工作取得实实在在的成效；巧用“请进来+走出去”双结合，强化业务保障，提升业务能力，立项争资工作稳步推进。全区立项争资总目标任务是30.91亿元。预计12月，全区将争取上级资金31亿元，占全年总任务的100.3%。</w:t>
      </w:r>
    </w:p>
    <w:p w:rsidR="00812DFD" w:rsidRPr="00812DFD" w:rsidRDefault="008265EC" w:rsidP="00812DFD">
      <w:pPr>
        <w:spacing w:line="580" w:lineRule="exact"/>
        <w:ind w:firstLineChars="200" w:firstLine="560"/>
        <w:rPr>
          <w:rFonts w:ascii="仿宋_GB2312" w:eastAsia="仿宋_GB2312" w:hAnsi="仿宋_GB2312" w:cs="仿宋_GB2312" w:hint="eastAsia"/>
          <w:spacing w:val="-6"/>
          <w:sz w:val="28"/>
          <w:szCs w:val="28"/>
        </w:rPr>
      </w:pPr>
      <w:r>
        <w:rPr>
          <w:rFonts w:ascii="仿宋" w:eastAsia="仿宋" w:hAnsi="仿宋" w:cs="仿宋" w:hint="eastAsia"/>
          <w:bCs/>
          <w:sz w:val="28"/>
          <w:szCs w:val="28"/>
        </w:rPr>
        <w:t xml:space="preserve">2. </w:t>
      </w:r>
      <w:r w:rsidR="00812DFD" w:rsidRPr="00812DFD">
        <w:rPr>
          <w:rFonts w:ascii="仿宋_GB2312" w:eastAsia="仿宋_GB2312" w:hAnsi="仿宋_GB2312" w:cs="仿宋_GB2312" w:hint="eastAsia"/>
          <w:spacing w:val="-6"/>
          <w:sz w:val="28"/>
          <w:szCs w:val="28"/>
        </w:rPr>
        <w:t>今年以来，我区深入贯彻省委、省政府和省优化办营商环境工作部署，持续深化营商环境大优化行动，以打造省内一流营商环境为目标，全面营造便民、高效、规范、法治、开放的营商环境。根据《省市优化营商环境2021年攻坚行动方案》出台了落实方案，进一步细化目标任务抓落实。做好省优化营商环境迎检工作，区委书记付振南主持召开我区优化营商环境工作推进会，印发了迎评工作方案，成立了区迎评工作领导小组，多次到省优办、优化处进行工作对接。组织好了11月16日至11月18日，国家统计局省国调队对我区47家企业进行了营商环境现场评价工作。</w:t>
      </w:r>
    </w:p>
    <w:p w:rsidR="00A05C74" w:rsidRPr="00812DFD" w:rsidRDefault="008265EC" w:rsidP="00812DFD">
      <w:pPr>
        <w:ind w:firstLineChars="200" w:firstLine="560"/>
        <w:rPr>
          <w:rFonts w:ascii="仿宋" w:eastAsia="仿宋" w:hAnsi="仿宋" w:cs="仿宋"/>
          <w:bCs/>
          <w:sz w:val="28"/>
          <w:szCs w:val="28"/>
        </w:rPr>
      </w:pPr>
      <w:r>
        <w:rPr>
          <w:rFonts w:ascii="仿宋" w:eastAsia="仿宋" w:hAnsi="仿宋" w:cs="仿宋" w:hint="eastAsia"/>
          <w:bCs/>
          <w:sz w:val="28"/>
          <w:szCs w:val="28"/>
        </w:rPr>
        <w:t>3.</w:t>
      </w:r>
      <w:r w:rsidR="00812DFD" w:rsidRPr="00812DFD">
        <w:rPr>
          <w:rFonts w:ascii="仿宋_GB2312" w:eastAsia="仿宋_GB2312" w:hAnsi="仿宋_GB2312" w:cs="仿宋_GB2312" w:hint="eastAsia"/>
          <w:b/>
          <w:bCs/>
          <w:spacing w:val="-6"/>
          <w:sz w:val="32"/>
          <w:szCs w:val="32"/>
        </w:rPr>
        <w:t xml:space="preserve"> </w:t>
      </w:r>
      <w:r w:rsidR="00812DFD" w:rsidRPr="00812DFD">
        <w:rPr>
          <w:rFonts w:ascii="仿宋_GB2312" w:eastAsia="仿宋_GB2312" w:hAnsi="仿宋_GB2312" w:cs="仿宋_GB2312" w:hint="eastAsia"/>
          <w:b/>
          <w:bCs/>
          <w:spacing w:val="-6"/>
          <w:sz w:val="28"/>
          <w:szCs w:val="28"/>
        </w:rPr>
        <w:t>一是</w:t>
      </w:r>
      <w:r w:rsidR="00812DFD" w:rsidRPr="00812DFD">
        <w:rPr>
          <w:rFonts w:ascii="仿宋_GB2312" w:eastAsia="仿宋_GB2312" w:hAnsi="仿宋_GB2312" w:cs="仿宋_GB2312" w:hint="eastAsia"/>
          <w:spacing w:val="-6"/>
          <w:sz w:val="28"/>
          <w:szCs w:val="28"/>
        </w:rPr>
        <w:t>提高站位谋划。全区高度重视，将粮食安全工作摆到更加突出的位置，高规格成立了粮食收购协调领导小组；区委召开常委会议</w:t>
      </w:r>
      <w:r w:rsidR="00812DFD" w:rsidRPr="00812DFD">
        <w:rPr>
          <w:rFonts w:ascii="仿宋_GB2312" w:eastAsia="仿宋_GB2312" w:hAnsi="仿宋_GB2312" w:cs="仿宋_GB2312" w:hint="eastAsia"/>
          <w:spacing w:val="-6"/>
          <w:sz w:val="28"/>
          <w:szCs w:val="28"/>
        </w:rPr>
        <w:lastRenderedPageBreak/>
        <w:t>专题研究，通过了《资阳区2021年粮食供给保障应急预案》《益阳市资阳区2021年度超标稻谷收购与处置办法》。</w:t>
      </w:r>
      <w:r w:rsidR="00812DFD" w:rsidRPr="00812DFD">
        <w:rPr>
          <w:rFonts w:ascii="仿宋_GB2312" w:eastAsia="仿宋_GB2312" w:hAnsi="仿宋_GB2312" w:cs="仿宋_GB2312" w:hint="eastAsia"/>
          <w:b/>
          <w:bCs/>
          <w:spacing w:val="-6"/>
          <w:sz w:val="28"/>
          <w:szCs w:val="28"/>
        </w:rPr>
        <w:t>二是</w:t>
      </w:r>
      <w:r w:rsidR="00812DFD" w:rsidRPr="00812DFD">
        <w:rPr>
          <w:rFonts w:ascii="仿宋_GB2312" w:eastAsia="仿宋_GB2312" w:hAnsi="仿宋_GB2312" w:cs="仿宋_GB2312" w:hint="eastAsia"/>
          <w:spacing w:val="-6"/>
          <w:sz w:val="28"/>
          <w:szCs w:val="28"/>
        </w:rPr>
        <w:t>有效仓容保持稳定。我区在沙头粮站新建2.5万吨粮库，修正旧仓，粮食有效库容已达到3.8万吨（麦容），能充分满足我区临储粮和区级储备粮收储需要。三</w:t>
      </w:r>
      <w:r w:rsidR="00812DFD" w:rsidRPr="00812DFD">
        <w:rPr>
          <w:rFonts w:ascii="仿宋_GB2312" w:eastAsia="仿宋_GB2312" w:hAnsi="仿宋_GB2312" w:cs="仿宋_GB2312" w:hint="eastAsia"/>
          <w:b/>
          <w:bCs/>
          <w:spacing w:val="-6"/>
          <w:sz w:val="28"/>
          <w:szCs w:val="28"/>
        </w:rPr>
        <w:t>是</w:t>
      </w:r>
      <w:r w:rsidR="00812DFD" w:rsidRPr="00812DFD">
        <w:rPr>
          <w:rFonts w:ascii="仿宋_GB2312" w:eastAsia="仿宋_GB2312" w:hAnsi="仿宋_GB2312" w:cs="仿宋_GB2312" w:hint="eastAsia"/>
          <w:spacing w:val="-6"/>
          <w:sz w:val="28"/>
          <w:szCs w:val="28"/>
        </w:rPr>
        <w:t>细化收购举措。积极筹措收购资金，区粮食收储有限责任公司向市农发行申报粮食收购资金贷款；加大对外销粮食市场的日常监测力度。</w:t>
      </w:r>
      <w:r w:rsidR="00812DFD" w:rsidRPr="00812DFD">
        <w:rPr>
          <w:rFonts w:ascii="仿宋_GB2312" w:eastAsia="仿宋_GB2312" w:hAnsi="仿宋_GB2312" w:cs="仿宋_GB2312" w:hint="eastAsia"/>
          <w:b/>
          <w:bCs/>
          <w:spacing w:val="-6"/>
          <w:sz w:val="28"/>
          <w:szCs w:val="28"/>
        </w:rPr>
        <w:t>四是</w:t>
      </w:r>
      <w:r w:rsidR="00812DFD" w:rsidRPr="00812DFD">
        <w:rPr>
          <w:rFonts w:ascii="仿宋_GB2312" w:eastAsia="仿宋_GB2312" w:hAnsi="仿宋_GB2312" w:cs="仿宋_GB2312" w:hint="eastAsia"/>
          <w:spacing w:val="-6"/>
          <w:sz w:val="28"/>
          <w:szCs w:val="28"/>
        </w:rPr>
        <w:t>保障粮食安全。</w:t>
      </w:r>
    </w:p>
    <w:p w:rsidR="00A05C74" w:rsidRDefault="008265EC">
      <w:pPr>
        <w:pStyle w:val="a4"/>
        <w:spacing w:before="0" w:beforeAutospacing="0" w:after="0" w:afterAutospacing="0"/>
        <w:rPr>
          <w:rFonts w:ascii="仿宋" w:eastAsia="仿宋" w:hAnsi="仿宋" w:cs="仿宋"/>
          <w:b/>
          <w:bCs/>
          <w:sz w:val="32"/>
          <w:szCs w:val="32"/>
        </w:rPr>
      </w:pPr>
      <w:r>
        <w:rPr>
          <w:rFonts w:ascii="仿宋" w:eastAsia="仿宋" w:hAnsi="仿宋" w:cs="仿宋" w:hint="eastAsia"/>
          <w:b/>
          <w:bCs/>
          <w:sz w:val="32"/>
          <w:szCs w:val="32"/>
        </w:rPr>
        <w:t>三、总体评价情况</w:t>
      </w:r>
    </w:p>
    <w:p w:rsidR="00A05C74" w:rsidRDefault="008265EC">
      <w:pPr>
        <w:ind w:firstLineChars="200" w:firstLine="560"/>
        <w:rPr>
          <w:rFonts w:ascii="仿宋" w:eastAsia="仿宋" w:hAnsi="仿宋" w:cs="仿宋"/>
          <w:bCs/>
          <w:sz w:val="28"/>
          <w:szCs w:val="28"/>
        </w:rPr>
      </w:pPr>
      <w:r>
        <w:rPr>
          <w:rFonts w:ascii="仿宋" w:eastAsia="仿宋" w:hAnsi="仿宋" w:cs="仿宋" w:hint="eastAsia"/>
          <w:bCs/>
          <w:sz w:val="28"/>
          <w:szCs w:val="28"/>
        </w:rPr>
        <w:t>资阳区发改局20</w:t>
      </w:r>
      <w:r w:rsidR="00812DFD">
        <w:rPr>
          <w:rFonts w:ascii="仿宋" w:eastAsia="仿宋" w:hAnsi="仿宋" w:cs="仿宋" w:hint="eastAsia"/>
          <w:bCs/>
          <w:sz w:val="28"/>
          <w:szCs w:val="28"/>
        </w:rPr>
        <w:t>21</w:t>
      </w:r>
      <w:r>
        <w:rPr>
          <w:rFonts w:ascii="仿宋" w:eastAsia="仿宋" w:hAnsi="仿宋" w:cs="仿宋" w:hint="eastAsia"/>
          <w:bCs/>
          <w:sz w:val="28"/>
          <w:szCs w:val="28"/>
        </w:rPr>
        <w:t>年部门整体支出情况自评结论为优秀。</w:t>
      </w:r>
    </w:p>
    <w:sectPr w:rsidR="00A05C74" w:rsidSect="00A05C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829" w:rsidRDefault="00CF0829" w:rsidP="0038293E">
      <w:r>
        <w:separator/>
      </w:r>
    </w:p>
  </w:endnote>
  <w:endnote w:type="continuationSeparator" w:id="1">
    <w:p w:rsidR="00CF0829" w:rsidRDefault="00CF0829" w:rsidP="00382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ź�">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829" w:rsidRDefault="00CF0829" w:rsidP="0038293E">
      <w:r>
        <w:separator/>
      </w:r>
    </w:p>
  </w:footnote>
  <w:footnote w:type="continuationSeparator" w:id="1">
    <w:p w:rsidR="00CF0829" w:rsidRDefault="00CF0829" w:rsidP="00382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0FBB6"/>
    <w:multiLevelType w:val="singleLevel"/>
    <w:tmpl w:val="9430FBB6"/>
    <w:lvl w:ilvl="0">
      <w:start w:val="1"/>
      <w:numFmt w:val="chineseCounting"/>
      <w:suff w:val="nothing"/>
      <w:lvlText w:val="%1、"/>
      <w:lvlJc w:val="left"/>
      <w:rPr>
        <w:rFonts w:hint="eastAsia"/>
      </w:rPr>
    </w:lvl>
  </w:abstractNum>
  <w:abstractNum w:abstractNumId="1">
    <w:nsid w:val="CF5B014F"/>
    <w:multiLevelType w:val="singleLevel"/>
    <w:tmpl w:val="CF5B014F"/>
    <w:lvl w:ilvl="0">
      <w:start w:val="1"/>
      <w:numFmt w:val="chineseCounting"/>
      <w:suff w:val="nothing"/>
      <w:lvlText w:val="（%1）"/>
      <w:lvlJc w:val="left"/>
      <w:rPr>
        <w:rFonts w:hint="eastAsia"/>
      </w:rPr>
    </w:lvl>
  </w:abstractNum>
  <w:abstractNum w:abstractNumId="2">
    <w:nsid w:val="F246A1A5"/>
    <w:multiLevelType w:val="singleLevel"/>
    <w:tmpl w:val="F246A1A5"/>
    <w:lvl w:ilvl="0">
      <w:start w:val="2"/>
      <w:numFmt w:val="decimal"/>
      <w:suff w:val="space"/>
      <w:lvlText w:val="%1."/>
      <w:lvlJc w:val="left"/>
    </w:lvl>
  </w:abstractNum>
  <w:abstractNum w:abstractNumId="3">
    <w:nsid w:val="FB956BBD"/>
    <w:multiLevelType w:val="singleLevel"/>
    <w:tmpl w:val="FB956BBD"/>
    <w:lvl w:ilvl="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1863D5"/>
    <w:rsid w:val="0038293E"/>
    <w:rsid w:val="004911C0"/>
    <w:rsid w:val="00812DFD"/>
    <w:rsid w:val="008265EC"/>
    <w:rsid w:val="00A04ACB"/>
    <w:rsid w:val="00A05C74"/>
    <w:rsid w:val="00CF0829"/>
    <w:rsid w:val="22AC779D"/>
    <w:rsid w:val="531863D5"/>
    <w:rsid w:val="54970F25"/>
    <w:rsid w:val="60612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05C7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05C74"/>
    <w:pPr>
      <w:spacing w:before="100" w:beforeAutospacing="1"/>
    </w:pPr>
    <w:rPr>
      <w:szCs w:val="21"/>
    </w:rPr>
  </w:style>
  <w:style w:type="paragraph" w:styleId="a4">
    <w:name w:val="Normal (Web)"/>
    <w:basedOn w:val="a"/>
    <w:qFormat/>
    <w:rsid w:val="00A05C74"/>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382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8293E"/>
    <w:rPr>
      <w:kern w:val="2"/>
      <w:sz w:val="18"/>
      <w:szCs w:val="18"/>
    </w:rPr>
  </w:style>
  <w:style w:type="paragraph" w:styleId="a6">
    <w:name w:val="footer"/>
    <w:basedOn w:val="a"/>
    <w:link w:val="Char0"/>
    <w:rsid w:val="0038293E"/>
    <w:pPr>
      <w:tabs>
        <w:tab w:val="center" w:pos="4153"/>
        <w:tab w:val="right" w:pos="8306"/>
      </w:tabs>
      <w:snapToGrid w:val="0"/>
      <w:jc w:val="left"/>
    </w:pPr>
    <w:rPr>
      <w:sz w:val="18"/>
      <w:szCs w:val="18"/>
    </w:rPr>
  </w:style>
  <w:style w:type="character" w:customStyle="1" w:styleId="Char0">
    <w:name w:val="页脚 Char"/>
    <w:basedOn w:val="a1"/>
    <w:link w:val="a6"/>
    <w:rsid w:val="003829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930</Words>
  <Characters>5304</Characters>
  <Application>Microsoft Office Word</Application>
  <DocSecurity>0</DocSecurity>
  <Lines>44</Lines>
  <Paragraphs>12</Paragraphs>
  <ScaleCrop>false</ScaleCrop>
  <Company>Microsoft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喻冠</dc:creator>
  <cp:lastModifiedBy>Users</cp:lastModifiedBy>
  <cp:revision>3</cp:revision>
  <dcterms:created xsi:type="dcterms:W3CDTF">2022-09-09T07:11:00Z</dcterms:created>
  <dcterms:modified xsi:type="dcterms:W3CDTF">2022-09-09T08:16:00Z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