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b/>
          <w:bCs/>
          <w:kern w:val="0"/>
          <w:sz w:val="36"/>
          <w:szCs w:val="36"/>
        </w:rPr>
      </w:pPr>
      <w:r>
        <w:rPr>
          <w:rFonts w:hint="eastAsia"/>
          <w:b/>
          <w:bCs/>
          <w:kern w:val="0"/>
          <w:sz w:val="36"/>
          <w:szCs w:val="36"/>
        </w:rPr>
        <w:t>益阳市资阳区自然资源局</w:t>
      </w:r>
    </w:p>
    <w:p>
      <w:pPr>
        <w:widowControl/>
        <w:spacing w:line="600" w:lineRule="exact"/>
        <w:jc w:val="center"/>
        <w:rPr>
          <w:b/>
          <w:bCs/>
          <w:kern w:val="0"/>
          <w:sz w:val="36"/>
          <w:szCs w:val="36"/>
        </w:rPr>
      </w:pPr>
      <w:r>
        <w:rPr>
          <w:rFonts w:hint="eastAsia"/>
          <w:b/>
          <w:bCs/>
          <w:kern w:val="0"/>
          <w:sz w:val="36"/>
          <w:szCs w:val="36"/>
        </w:rPr>
        <w:t>2021年整体支出绩效自评报告</w:t>
      </w:r>
    </w:p>
    <w:p>
      <w:pPr>
        <w:widowControl/>
        <w:spacing w:line="600" w:lineRule="exact"/>
        <w:jc w:val="center"/>
        <w:rPr>
          <w:b/>
          <w:bCs/>
          <w:kern w:val="0"/>
          <w:sz w:val="36"/>
          <w:szCs w:val="36"/>
        </w:rPr>
      </w:pPr>
    </w:p>
    <w:p>
      <w:pPr>
        <w:spacing w:line="500" w:lineRule="exact"/>
        <w:ind w:firstLine="600" w:firstLineChars="200"/>
        <w:rPr>
          <w:b/>
          <w:bCs/>
          <w:kern w:val="0"/>
          <w:sz w:val="36"/>
          <w:szCs w:val="36"/>
        </w:rPr>
      </w:pPr>
      <w:r>
        <w:rPr>
          <w:rFonts w:hint="eastAsia" w:ascii="仿宋_GB2312" w:hAnsi="仿宋_GB2312" w:eastAsia="仿宋_GB2312" w:cs="仿宋_GB2312"/>
          <w:sz w:val="30"/>
          <w:szCs w:val="30"/>
        </w:rPr>
        <w:t>为深入贯彻落实《中共中央国务院关于全面实施预算绩效管理的意见》（中发〔2018〕34号）精神，不断增强预算绩效理念，强化部门支出责任，提高财政资金使用效益，</w:t>
      </w:r>
      <w:r>
        <w:rPr>
          <w:rFonts w:hint="eastAsia" w:ascii="仿宋" w:hAnsi="仿宋" w:eastAsia="仿宋"/>
          <w:sz w:val="32"/>
        </w:rPr>
        <w:t>我局积极组织，对2021年度本单位整体支出进行了绩效自评，</w:t>
      </w:r>
      <w:r>
        <w:rPr>
          <w:rFonts w:hint="eastAsia" w:ascii="仿宋_GB2312" w:hAnsi="仿宋_GB2312" w:eastAsia="仿宋_GB2312" w:cs="仿宋_GB2312"/>
          <w:sz w:val="30"/>
          <w:szCs w:val="30"/>
        </w:rPr>
        <w:t>现将有关情况报告如下：</w:t>
      </w:r>
    </w:p>
    <w:p>
      <w:pPr>
        <w:widowControl/>
        <w:spacing w:line="600" w:lineRule="exact"/>
        <w:ind w:firstLine="482" w:firstLineChars="150"/>
        <w:jc w:val="left"/>
        <w:rPr>
          <w:rFonts w:ascii="宋体" w:hAnsi="宋体" w:cs="宋体"/>
          <w:b/>
          <w:kern w:val="0"/>
          <w:sz w:val="32"/>
          <w:szCs w:val="32"/>
        </w:rPr>
      </w:pPr>
      <w:r>
        <w:rPr>
          <w:rFonts w:hint="eastAsia" w:ascii="宋体" w:hAnsi="宋体" w:cs="宋体"/>
          <w:b/>
          <w:kern w:val="0"/>
          <w:sz w:val="32"/>
          <w:szCs w:val="32"/>
        </w:rPr>
        <w:t>一、部门、单位基本情况</w:t>
      </w:r>
    </w:p>
    <w:p>
      <w:pPr>
        <w:pStyle w:val="6"/>
        <w:widowControl/>
        <w:shd w:val="clear" w:color="auto" w:fill="FFFFFF"/>
        <w:spacing w:beforeAutospacing="0" w:afterAutospacing="0" w:line="33" w:lineRule="atLeast"/>
        <w:ind w:firstLine="739" w:firstLineChars="231"/>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职能职责</w:t>
      </w:r>
    </w:p>
    <w:p>
      <w:pPr>
        <w:spacing w:line="520" w:lineRule="exact"/>
        <w:ind w:firstLine="640"/>
        <w:rPr>
          <w:rFonts w:ascii="仿宋" w:hAnsi="仿宋" w:eastAsia="仿宋"/>
          <w:sz w:val="32"/>
        </w:rPr>
      </w:pPr>
      <w:r>
        <w:rPr>
          <w:rFonts w:hint="eastAsia" w:ascii="仿宋" w:hAnsi="仿宋" w:eastAsia="仿宋"/>
          <w:sz w:val="32"/>
        </w:rPr>
        <w:t>(1)依法履行资阳区辖区内(除市直管中心城区范围以外)全民所有土地、矿产、森林、草原、湿地、水等自然资源资产所有者职责和国土空间用途管制职责。</w:t>
      </w:r>
    </w:p>
    <w:p>
      <w:pPr>
        <w:spacing w:line="520" w:lineRule="exact"/>
        <w:ind w:firstLine="640"/>
        <w:rPr>
          <w:rFonts w:ascii="仿宋" w:hAnsi="仿宋" w:eastAsia="仿宋"/>
          <w:sz w:val="32"/>
        </w:rPr>
      </w:pPr>
      <w:r>
        <w:rPr>
          <w:rFonts w:hint="eastAsia" w:ascii="仿宋" w:hAnsi="仿宋" w:eastAsia="仿宋"/>
          <w:sz w:val="32"/>
        </w:rPr>
        <w:t>(2)负责实施自然资源基础调查、专项调查和动态监测。负责自然资源调查监测评价成果的监督管理和信息发布。负责全区自然资源调查监测评价工作。</w:t>
      </w:r>
    </w:p>
    <w:p>
      <w:pPr>
        <w:spacing w:line="520" w:lineRule="exact"/>
        <w:ind w:firstLine="640"/>
        <w:rPr>
          <w:rFonts w:ascii="仿宋" w:hAnsi="仿宋" w:eastAsia="仿宋"/>
          <w:sz w:val="32"/>
        </w:rPr>
      </w:pPr>
      <w:r>
        <w:rPr>
          <w:rFonts w:hint="eastAsia" w:ascii="仿宋" w:hAnsi="仿宋" w:eastAsia="仿宋"/>
          <w:sz w:val="32"/>
        </w:rPr>
        <w:t>(3)负责自然资源统一确权登记工作。履行各类自然资源和不动产统一确权登记、权籍调查、不动产测绘、争议调处、成果应用的制度、标准、规范。建立健全自然资源和不动产登记信息管理基础平台。负责自然资源和不动产登记资料收集、整理、共享、汇交管理等。指导监督全区自然资源和不动产确权登记。</w:t>
      </w:r>
    </w:p>
    <w:p>
      <w:pPr>
        <w:spacing w:line="520" w:lineRule="exact"/>
        <w:ind w:firstLine="640"/>
        <w:rPr>
          <w:rFonts w:ascii="仿宋" w:hAnsi="仿宋" w:eastAsia="仿宋"/>
          <w:sz w:val="32"/>
        </w:rPr>
      </w:pPr>
      <w:r>
        <w:rPr>
          <w:rFonts w:hint="eastAsia" w:ascii="仿宋" w:hAnsi="仿宋" w:eastAsia="仿宋"/>
          <w:sz w:val="32"/>
        </w:rPr>
        <w:t>(4)负责自然资源资产有偿使用工作。负责全民所有自然资源资产统计和资产核算。编制全民所有自然资源资产负债表,拟订考核标准。负责全民所有自然资源资产划拨、出让、租赁、作价出资和土地储备工作,合理配置全民所有自然资源资产。负责自然资源资产价值评估管理。</w:t>
      </w:r>
    </w:p>
    <w:p>
      <w:pPr>
        <w:spacing w:line="520" w:lineRule="exact"/>
        <w:ind w:firstLine="640"/>
        <w:rPr>
          <w:rFonts w:ascii="仿宋" w:hAnsi="仿宋" w:eastAsia="仿宋"/>
          <w:sz w:val="32"/>
        </w:rPr>
      </w:pPr>
      <w:r>
        <w:rPr>
          <w:rFonts w:hint="eastAsia" w:ascii="仿宋" w:hAnsi="仿宋" w:eastAsia="仿宋"/>
          <w:sz w:val="32"/>
        </w:rPr>
        <w:t>(5)负责自然资源的合理开发利用。组织拟订自然资源发展规划和战略,实施上级制定的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spacing w:line="520" w:lineRule="exact"/>
        <w:ind w:firstLine="640"/>
        <w:rPr>
          <w:rFonts w:ascii="仿宋" w:hAnsi="仿宋" w:eastAsia="仿宋"/>
          <w:sz w:val="32"/>
        </w:rPr>
      </w:pPr>
      <w:r>
        <w:rPr>
          <w:rFonts w:hint="eastAsia" w:ascii="仿宋" w:hAnsi="仿宋" w:eastAsia="仿宋"/>
          <w:sz w:val="32"/>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建立健全和组织实施国土空间用途管制制度。承担全区城乡规划管理工作,研究拟订城乡规划政策并监督实施。组织实施土地等自然资源年度利用计划。负责土地等国土空间用途转用工作。负责土地征收征用管理。负责山体水体保护工作。</w:t>
      </w:r>
    </w:p>
    <w:p>
      <w:pPr>
        <w:spacing w:line="520" w:lineRule="exact"/>
        <w:ind w:firstLine="640"/>
        <w:rPr>
          <w:rFonts w:ascii="仿宋" w:hAnsi="仿宋" w:eastAsia="仿宋"/>
          <w:sz w:val="32"/>
        </w:rPr>
      </w:pPr>
      <w:r>
        <w:rPr>
          <w:rFonts w:hint="eastAsia" w:ascii="仿宋" w:hAnsi="仿宋" w:eastAsia="仿宋"/>
          <w:sz w:val="32"/>
        </w:rPr>
        <w:t>(7)负责统筹国土空间生态修复。牵头组织编制全区国土空间生态修复规划并实施有关生态修复工程。负责国土空间综合整治、土地整理复垦、矿山地质环境恢复治理等工作。执行生态保护补偿制度,制定合理利用社会资金进行生态修复的制度措施,并提出区级所有备选项目。</w:t>
      </w:r>
    </w:p>
    <w:p>
      <w:pPr>
        <w:spacing w:line="520" w:lineRule="exact"/>
        <w:ind w:firstLine="640"/>
        <w:rPr>
          <w:rFonts w:ascii="仿宋" w:hAnsi="仿宋" w:eastAsia="仿宋"/>
          <w:sz w:val="32"/>
        </w:rPr>
      </w:pPr>
      <w:r>
        <w:rPr>
          <w:rFonts w:hint="eastAsia" w:ascii="仿宋" w:hAnsi="仿宋" w:eastAsia="仿宋"/>
          <w:sz w:val="32"/>
        </w:rPr>
        <w:t>(8)负责组织实施最严格的耕地保护制度。执行耕地保护政策,负责耕地数量和生态保护,做好耕地质量保护有关工作。组织实施耕地保护责任目标考核和永久基本农田特殊保护。执行耕地占补平衡制度。</w:t>
      </w:r>
    </w:p>
    <w:p>
      <w:pPr>
        <w:spacing w:line="520" w:lineRule="exact"/>
        <w:ind w:firstLine="640"/>
        <w:rPr>
          <w:rFonts w:ascii="仿宋" w:hAnsi="仿宋" w:eastAsia="仿宋"/>
          <w:sz w:val="32"/>
        </w:rPr>
      </w:pPr>
      <w:r>
        <w:rPr>
          <w:rFonts w:hint="eastAsia" w:ascii="仿宋" w:hAnsi="仿宋" w:eastAsia="仿宋"/>
          <w:sz w:val="32"/>
        </w:rPr>
        <w:t>(9)负责管理仝区地质工作和联系辖区内地勘单位。编制全区地质勘查规划并监督检查执行情况。监督管理区级地质勘查项目。监督管理地下水过量开采及引发的地面沉降等地质问题。负责古生物化石的监督管理。</w:t>
      </w:r>
    </w:p>
    <w:p>
      <w:pPr>
        <w:spacing w:line="520" w:lineRule="exact"/>
        <w:ind w:firstLine="640"/>
        <w:rPr>
          <w:rFonts w:ascii="仿宋" w:hAnsi="仿宋" w:eastAsia="仿宋"/>
          <w:sz w:val="32"/>
        </w:rPr>
      </w:pPr>
      <w:r>
        <w:rPr>
          <w:rFonts w:hint="eastAsia" w:ascii="仿宋" w:hAnsi="仿宋" w:eastAsia="仿宋"/>
          <w:sz w:val="32"/>
        </w:rPr>
        <w:t>(10)负责地质灾害预防和治理。负责落实综合防灾减灾规划相关要求,组织编制地质灾害防治规划并组织实施。组织指导协调和监督地质灾害调查评价及隐患普查、详查、排查。指导开展群测群防、专业监测和预报预警等工作,指导开展地质灾害工程治理工作。承担地质灾害应急救援的技术支撑工作。</w:t>
      </w:r>
    </w:p>
    <w:p>
      <w:pPr>
        <w:spacing w:line="520" w:lineRule="exact"/>
        <w:ind w:firstLine="640"/>
        <w:rPr>
          <w:rFonts w:ascii="仿宋" w:hAnsi="仿宋" w:eastAsia="仿宋"/>
          <w:sz w:val="32"/>
        </w:rPr>
      </w:pPr>
      <w:r>
        <w:rPr>
          <w:rFonts w:hint="eastAsia" w:ascii="仿宋" w:hAnsi="仿宋" w:eastAsia="仿宋"/>
          <w:sz w:val="32"/>
        </w:rPr>
        <w:t>(11)负责矿产资源管理工作。负责矿产资源储量管理及矿业权管理。监督指导矿产资源合理利用和保护。</w:t>
      </w:r>
    </w:p>
    <w:p>
      <w:pPr>
        <w:spacing w:line="520" w:lineRule="exact"/>
        <w:ind w:firstLine="640"/>
        <w:rPr>
          <w:rFonts w:ascii="仿宋" w:hAnsi="仿宋" w:eastAsia="仿宋"/>
          <w:sz w:val="32"/>
        </w:rPr>
      </w:pPr>
      <w:r>
        <w:rPr>
          <w:rFonts w:hint="eastAsia" w:ascii="仿宋" w:hAnsi="仿宋" w:eastAsia="仿宋"/>
          <w:sz w:val="32"/>
        </w:rPr>
        <w:t>(12)负责测绘地理信息管理工作。负责辖区内基础测绘。负责监督管理地理信息安全和市场秩序。负责地图管理、地理信·憝公共服务工作。负责测量标志保护。</w:t>
      </w:r>
    </w:p>
    <w:p>
      <w:pPr>
        <w:spacing w:line="520" w:lineRule="exact"/>
        <w:ind w:firstLine="640"/>
        <w:rPr>
          <w:rFonts w:ascii="仿宋" w:hAnsi="仿宋" w:eastAsia="仿宋"/>
          <w:sz w:val="32"/>
        </w:rPr>
      </w:pPr>
      <w:r>
        <w:rPr>
          <w:rFonts w:hint="eastAsia" w:ascii="仿宋" w:hAnsi="仿宋" w:eastAsia="仿宋"/>
          <w:sz w:val="32"/>
        </w:rPr>
        <w:t>(13)根据区委授权,对乡(镇、街道)以及园区相关部门落实区委、区政府关于自然资源和国土空间规划重大政策、决策部署及法律法规执行情况进行督察。查处自然资源开发利用和国土空间规划及测绘违法案件。</w:t>
      </w:r>
    </w:p>
    <w:p>
      <w:pPr>
        <w:spacing w:line="520" w:lineRule="exact"/>
        <w:ind w:firstLine="640"/>
        <w:rPr>
          <w:rFonts w:ascii="仿宋" w:hAnsi="仿宋" w:eastAsia="仿宋"/>
          <w:sz w:val="32"/>
        </w:rPr>
      </w:pPr>
      <w:r>
        <w:rPr>
          <w:rFonts w:hint="eastAsia" w:ascii="仿宋" w:hAnsi="仿宋" w:eastAsia="仿宋"/>
          <w:sz w:val="32"/>
        </w:rPr>
        <w:t>(14)统一领导和管理区林业局。</w:t>
      </w:r>
    </w:p>
    <w:p>
      <w:pPr>
        <w:spacing w:line="520" w:lineRule="exact"/>
        <w:ind w:firstLine="640"/>
        <w:rPr>
          <w:rFonts w:ascii="仿宋_GB2312" w:eastAsia="仿宋_GB2312"/>
          <w:sz w:val="32"/>
          <w:szCs w:val="32"/>
        </w:rPr>
      </w:pPr>
      <w:r>
        <w:rPr>
          <w:rFonts w:hint="eastAsia" w:ascii="仿宋" w:hAnsi="仿宋" w:eastAsia="仿宋"/>
          <w:sz w:val="32"/>
        </w:rPr>
        <w:t>(15)完成区委、区政府交办的其他任务。</w:t>
      </w:r>
    </w:p>
    <w:p>
      <w:pPr>
        <w:spacing w:line="520" w:lineRule="exact"/>
        <w:ind w:firstLine="640"/>
        <w:rPr>
          <w:rFonts w:ascii="仿宋" w:hAnsi="仿宋" w:eastAsia="仿宋"/>
          <w:sz w:val="32"/>
        </w:rPr>
      </w:pPr>
      <w:r>
        <w:rPr>
          <w:rFonts w:hint="eastAsia" w:ascii="仿宋" w:hAnsi="仿宋" w:eastAsia="仿宋"/>
          <w:sz w:val="32"/>
        </w:rPr>
        <w:t>2．机构情况，</w:t>
      </w:r>
      <w:r>
        <w:rPr>
          <w:rFonts w:hint="eastAsia" w:ascii="仿宋_GB2312" w:hAnsi="仿宋" w:eastAsia="仿宋_GB2312"/>
          <w:sz w:val="32"/>
          <w:szCs w:val="32"/>
        </w:rPr>
        <w:t>包括当年变动情况及原因。</w:t>
      </w:r>
    </w:p>
    <w:p>
      <w:pPr>
        <w:spacing w:line="520" w:lineRule="exact"/>
        <w:ind w:firstLine="640"/>
        <w:rPr>
          <w:rFonts w:ascii="仿宋" w:hAnsi="仿宋" w:eastAsia="仿宋"/>
          <w:sz w:val="32"/>
        </w:rPr>
      </w:pPr>
      <w:r>
        <w:rPr>
          <w:rFonts w:hint="eastAsia" w:ascii="仿宋" w:hAnsi="仿宋" w:eastAsia="仿宋"/>
          <w:sz w:val="32"/>
        </w:rPr>
        <w:t>我局设7个内设机构及6个公益一类事业单位：</w:t>
      </w:r>
    </w:p>
    <w:p>
      <w:pPr>
        <w:spacing w:line="520" w:lineRule="exact"/>
        <w:ind w:firstLine="640"/>
        <w:rPr>
          <w:rFonts w:ascii="仿宋" w:hAnsi="仿宋" w:eastAsia="仿宋"/>
          <w:sz w:val="32"/>
        </w:rPr>
      </w:pPr>
      <w:r>
        <w:rPr>
          <w:rFonts w:hint="eastAsia" w:ascii="仿宋" w:hAnsi="仿宋" w:eastAsia="仿宋"/>
          <w:sz w:val="32"/>
        </w:rPr>
        <w:t>（1）办公室（人事股，财务股）</w:t>
      </w:r>
    </w:p>
    <w:p>
      <w:pPr>
        <w:spacing w:line="520" w:lineRule="exact"/>
        <w:ind w:firstLine="640"/>
        <w:rPr>
          <w:rFonts w:ascii="仿宋" w:hAnsi="仿宋" w:eastAsia="仿宋"/>
          <w:sz w:val="32"/>
        </w:rPr>
      </w:pPr>
      <w:r>
        <w:rPr>
          <w:rFonts w:hint="eastAsia" w:ascii="仿宋" w:hAnsi="仿宋" w:eastAsia="仿宋"/>
          <w:sz w:val="32"/>
        </w:rPr>
        <w:t>（2）法规信息综合股（档案信息股、测绘股、政务服务办公室）</w:t>
      </w:r>
    </w:p>
    <w:p>
      <w:pPr>
        <w:spacing w:line="520" w:lineRule="exact"/>
        <w:ind w:firstLine="640"/>
        <w:rPr>
          <w:rFonts w:ascii="仿宋" w:hAnsi="仿宋" w:eastAsia="仿宋"/>
          <w:sz w:val="32"/>
        </w:rPr>
      </w:pPr>
      <w:r>
        <w:rPr>
          <w:rFonts w:hint="eastAsia" w:ascii="仿宋" w:hAnsi="仿宋" w:eastAsia="仿宋"/>
          <w:sz w:val="32"/>
        </w:rPr>
        <w:t>（3）国土空间保护修复股</w:t>
      </w:r>
    </w:p>
    <w:p>
      <w:pPr>
        <w:spacing w:line="520" w:lineRule="exact"/>
        <w:ind w:firstLine="640"/>
        <w:rPr>
          <w:rFonts w:ascii="仿宋" w:hAnsi="仿宋" w:eastAsia="仿宋"/>
          <w:sz w:val="32"/>
        </w:rPr>
      </w:pPr>
      <w:r>
        <w:rPr>
          <w:rFonts w:hint="eastAsia" w:ascii="仿宋" w:hAnsi="仿宋" w:eastAsia="仿宋"/>
          <w:sz w:val="32"/>
        </w:rPr>
        <w:t>（4）国土空间规划股（自然资源规划监管股）</w:t>
      </w:r>
    </w:p>
    <w:p>
      <w:pPr>
        <w:spacing w:line="520" w:lineRule="exact"/>
        <w:ind w:firstLine="640"/>
        <w:rPr>
          <w:rFonts w:ascii="仿宋" w:hAnsi="仿宋" w:eastAsia="仿宋"/>
          <w:sz w:val="32"/>
        </w:rPr>
      </w:pPr>
      <w:r>
        <w:rPr>
          <w:rFonts w:hint="eastAsia" w:ascii="仿宋" w:hAnsi="仿宋" w:eastAsia="仿宋"/>
          <w:sz w:val="32"/>
        </w:rPr>
        <w:t>（5）国土空间用途管制股（自然资源开发利用股）</w:t>
      </w:r>
    </w:p>
    <w:p>
      <w:pPr>
        <w:spacing w:line="520" w:lineRule="exact"/>
        <w:ind w:firstLine="640"/>
        <w:rPr>
          <w:rFonts w:ascii="仿宋" w:hAnsi="仿宋" w:eastAsia="仿宋"/>
          <w:sz w:val="32"/>
        </w:rPr>
      </w:pPr>
      <w:r>
        <w:rPr>
          <w:rFonts w:hint="eastAsia" w:ascii="仿宋" w:hAnsi="仿宋" w:eastAsia="仿宋"/>
          <w:sz w:val="32"/>
        </w:rPr>
        <w:t>（6）自然资源调查监测股</w:t>
      </w:r>
    </w:p>
    <w:p>
      <w:pPr>
        <w:spacing w:line="520" w:lineRule="exact"/>
        <w:ind w:firstLine="640"/>
        <w:rPr>
          <w:rFonts w:ascii="仿宋" w:hAnsi="仿宋" w:eastAsia="仿宋"/>
          <w:sz w:val="32"/>
        </w:rPr>
      </w:pPr>
      <w:r>
        <w:rPr>
          <w:rFonts w:hint="eastAsia" w:ascii="仿宋" w:hAnsi="仿宋" w:eastAsia="仿宋"/>
          <w:sz w:val="32"/>
        </w:rPr>
        <w:t>（7）矿产资源保护监督股（地质勘查矿业权管理股）</w:t>
      </w:r>
    </w:p>
    <w:p>
      <w:pPr>
        <w:spacing w:line="520" w:lineRule="exact"/>
        <w:ind w:firstLine="640"/>
        <w:rPr>
          <w:rFonts w:ascii="仿宋" w:hAnsi="仿宋" w:eastAsia="仿宋"/>
          <w:sz w:val="32"/>
        </w:rPr>
      </w:pPr>
      <w:r>
        <w:rPr>
          <w:rFonts w:hint="eastAsia" w:ascii="仿宋" w:hAnsi="仿宋" w:eastAsia="仿宋"/>
          <w:sz w:val="32"/>
        </w:rPr>
        <w:t>（8）益阳市资阳区自然资源执法监察大队</w:t>
      </w:r>
    </w:p>
    <w:p>
      <w:pPr>
        <w:spacing w:line="520" w:lineRule="exact"/>
        <w:ind w:firstLine="640"/>
        <w:rPr>
          <w:rFonts w:ascii="仿宋" w:hAnsi="仿宋" w:eastAsia="仿宋"/>
          <w:sz w:val="32"/>
        </w:rPr>
      </w:pPr>
      <w:r>
        <w:rPr>
          <w:rFonts w:hint="eastAsia" w:ascii="仿宋" w:hAnsi="仿宋" w:eastAsia="仿宋"/>
          <w:sz w:val="32"/>
        </w:rPr>
        <w:t>（9）益阳市资阳区国土空间生态修复中心</w:t>
      </w:r>
    </w:p>
    <w:p>
      <w:pPr>
        <w:spacing w:line="520" w:lineRule="exact"/>
        <w:ind w:firstLine="640"/>
        <w:rPr>
          <w:rFonts w:ascii="仿宋" w:hAnsi="仿宋" w:eastAsia="仿宋"/>
          <w:sz w:val="32"/>
        </w:rPr>
      </w:pPr>
      <w:r>
        <w:rPr>
          <w:rFonts w:hint="eastAsia" w:ascii="仿宋" w:hAnsi="仿宋" w:eastAsia="仿宋"/>
          <w:sz w:val="32"/>
        </w:rPr>
        <w:t>（10）益阳市资阳区不动产登记中心</w:t>
      </w:r>
    </w:p>
    <w:p>
      <w:pPr>
        <w:spacing w:line="520" w:lineRule="exact"/>
        <w:ind w:firstLine="640"/>
        <w:rPr>
          <w:rFonts w:ascii="仿宋" w:hAnsi="仿宋" w:eastAsia="仿宋"/>
          <w:sz w:val="32"/>
        </w:rPr>
      </w:pPr>
      <w:r>
        <w:rPr>
          <w:rFonts w:hint="eastAsia" w:ascii="仿宋" w:hAnsi="仿宋" w:eastAsia="仿宋"/>
          <w:sz w:val="32"/>
        </w:rPr>
        <w:t>（11）益阳市资阳区征地和测绘队</w:t>
      </w:r>
    </w:p>
    <w:p>
      <w:pPr>
        <w:spacing w:line="520" w:lineRule="exact"/>
        <w:ind w:firstLine="640"/>
        <w:rPr>
          <w:rFonts w:ascii="仿宋" w:hAnsi="仿宋" w:eastAsia="仿宋"/>
          <w:sz w:val="32"/>
        </w:rPr>
      </w:pPr>
      <w:r>
        <w:rPr>
          <w:rFonts w:hint="eastAsia" w:ascii="仿宋" w:hAnsi="仿宋" w:eastAsia="仿宋"/>
          <w:sz w:val="32"/>
        </w:rPr>
        <w:t>（12）益阳市资阳区土地储备中心</w:t>
      </w:r>
    </w:p>
    <w:p>
      <w:pPr>
        <w:spacing w:line="520" w:lineRule="exact"/>
        <w:ind w:firstLine="640"/>
        <w:rPr>
          <w:rFonts w:ascii="仿宋_GB2312" w:hAnsi="仿宋" w:eastAsia="仿宋_GB2312"/>
          <w:sz w:val="32"/>
          <w:szCs w:val="32"/>
        </w:rPr>
      </w:pPr>
      <w:r>
        <w:rPr>
          <w:rFonts w:hint="eastAsia" w:ascii="仿宋" w:hAnsi="仿宋" w:eastAsia="仿宋"/>
          <w:sz w:val="32"/>
        </w:rPr>
        <w:t>（13）益阳市资阳区国土空间规划事务中心</w:t>
      </w:r>
    </w:p>
    <w:p>
      <w:pPr>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pPr>
        <w:ind w:firstLine="640" w:firstLineChars="200"/>
        <w:rPr>
          <w:rFonts w:ascii="仿宋" w:hAnsi="仿宋" w:eastAsia="仿宋"/>
          <w:sz w:val="32"/>
        </w:rPr>
      </w:pPr>
      <w:r>
        <w:rPr>
          <w:rFonts w:hint="eastAsia" w:ascii="仿宋_GB2312" w:hAnsi="仿宋" w:eastAsia="仿宋_GB2312"/>
          <w:sz w:val="32"/>
          <w:szCs w:val="32"/>
        </w:rPr>
        <w:t>经编办核定，全局现有编制人数54人。实有在编在岗54人，其中：行政编制人员11人，全额事业编制人员39人，差额编制人员4人。</w:t>
      </w:r>
      <w:r>
        <w:rPr>
          <w:rFonts w:hint="eastAsia" w:ascii="仿宋" w:hAnsi="仿宋" w:eastAsia="仿宋"/>
          <w:sz w:val="32"/>
        </w:rPr>
        <w:t>人员变化的主要原因是区内调出及新增。</w:t>
      </w:r>
    </w:p>
    <w:p>
      <w:pPr>
        <w:widowControl/>
        <w:spacing w:line="600" w:lineRule="exact"/>
        <w:ind w:firstLine="627" w:firstLineChars="196"/>
        <w:rPr>
          <w:rFonts w:eastAsia="黑体"/>
          <w:sz w:val="32"/>
          <w:szCs w:val="32"/>
        </w:rPr>
      </w:pPr>
      <w:r>
        <w:rPr>
          <w:rFonts w:eastAsia="黑体"/>
          <w:kern w:val="0"/>
          <w:sz w:val="32"/>
          <w:szCs w:val="32"/>
        </w:rPr>
        <w:t>二、</w:t>
      </w:r>
      <w:r>
        <w:rPr>
          <w:rFonts w:eastAsia="黑体"/>
          <w:sz w:val="32"/>
          <w:szCs w:val="32"/>
        </w:rPr>
        <w:t>一般公共预算支出</w:t>
      </w:r>
      <w:r>
        <w:rPr>
          <w:rFonts w:hint="eastAsia" w:eastAsia="黑体"/>
          <w:sz w:val="32"/>
          <w:szCs w:val="32"/>
        </w:rPr>
        <w:t>情况</w:t>
      </w:r>
    </w:p>
    <w:p>
      <w:pPr>
        <w:pStyle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（一）基本支出情况</w:t>
      </w:r>
    </w:p>
    <w:p>
      <w:pPr>
        <w:widowControl/>
        <w:spacing w:line="600" w:lineRule="exact"/>
        <w:ind w:firstLine="660"/>
        <w:jc w:val="left"/>
        <w:rPr>
          <w:rFonts w:eastAsia="仿宋_GB2312"/>
          <w:sz w:val="32"/>
          <w:szCs w:val="32"/>
        </w:rPr>
      </w:pPr>
      <w:r>
        <w:rPr>
          <w:rFonts w:hint="eastAsia" w:eastAsia="仿宋_GB2312"/>
          <w:sz w:val="32"/>
          <w:szCs w:val="32"/>
        </w:rPr>
        <w:t>1、2021年资阳区自然资源局年全年基本支出918.04万元，其中工资福利支出608.25万元，主要包括：基本工资、津贴补贴、社会保障缴费、绩效工资、住房公积金、乡镇补贴等；商品和服务性支出257.33万元，主要包括：办公费、印刷费、水费、电费、邮电费、差旅费、公务接待费、工会经费、福利费、其他商品和服务支出等；对个人和家庭的补助29.73万元，主要包括：抚恤金、生活补助、奖励金、其他对个人和家庭的补助；资本性支出22.73万元，主要是办公设备、专用设备购置。</w:t>
      </w:r>
    </w:p>
    <w:p>
      <w:pPr>
        <w:pStyle w:val="12"/>
        <w:adjustRightInd w:val="0"/>
        <w:snapToGrid w:val="0"/>
        <w:spacing w:line="480" w:lineRule="exact"/>
        <w:ind w:firstLine="640"/>
        <w:rPr>
          <w:rFonts w:ascii="仿宋_GB2312" w:hAnsi="仿宋_GB2312" w:eastAsia="仿宋_GB2312" w:cs="仿宋_GB2312"/>
          <w:sz w:val="30"/>
          <w:szCs w:val="30"/>
        </w:rPr>
      </w:pPr>
      <w:r>
        <w:rPr>
          <w:rFonts w:hint="eastAsia" w:eastAsia="仿宋_GB2312"/>
          <w:sz w:val="32"/>
          <w:szCs w:val="32"/>
        </w:rPr>
        <w:t>2、</w:t>
      </w:r>
      <w:r>
        <w:rPr>
          <w:rFonts w:hint="eastAsia" w:ascii="仿宋_GB2312" w:hAnsi="仿宋_GB2312" w:eastAsia="仿宋_GB2312" w:cs="仿宋_GB2312"/>
          <w:sz w:val="30"/>
          <w:szCs w:val="30"/>
        </w:rPr>
        <w:t>“三公”经费使用管理情况。</w:t>
      </w:r>
    </w:p>
    <w:p>
      <w:pPr>
        <w:pStyle w:val="2"/>
      </w:pPr>
      <w:r>
        <w:rPr>
          <w:rFonts w:hint="eastAsia" w:ascii="仿宋_GB2312" w:hAnsi="仿宋_GB2312" w:eastAsia="仿宋_GB2312" w:cs="仿宋_GB2312"/>
          <w:b/>
          <w:sz w:val="30"/>
          <w:szCs w:val="30"/>
        </w:rPr>
        <w:tab/>
      </w:r>
      <w:r>
        <w:rPr>
          <w:rFonts w:hint="eastAsia" w:ascii="仿宋_GB2312" w:hAnsi="仿宋_GB2312" w:eastAsia="仿宋_GB2312" w:cs="仿宋_GB2312"/>
          <w:sz w:val="30"/>
          <w:szCs w:val="30"/>
        </w:rPr>
        <w:t>2021年度</w:t>
      </w:r>
      <w:r>
        <w:rPr>
          <w:rFonts w:hint="eastAsia" w:ascii="仿宋_GB2312" w:hAnsi="仿宋_GB2312" w:eastAsia="仿宋_GB2312" w:cs="仿宋_GB2312"/>
          <w:sz w:val="30"/>
          <w:szCs w:val="30"/>
          <w:lang w:eastAsia="zh-CN"/>
        </w:rPr>
        <w:t>资阳</w:t>
      </w:r>
      <w:r>
        <w:rPr>
          <w:rFonts w:hint="eastAsia" w:ascii="仿宋_GB2312" w:hAnsi="仿宋_GB2312" w:eastAsia="仿宋_GB2312" w:cs="仿宋_GB2312"/>
          <w:sz w:val="30"/>
          <w:szCs w:val="30"/>
        </w:rPr>
        <w:t>区自然资源局“三公经费”支出0.85万元，系公务接待费。</w:t>
      </w:r>
    </w:p>
    <w:p>
      <w:pPr>
        <w:widowControl/>
        <w:spacing w:line="600" w:lineRule="exact"/>
        <w:ind w:firstLine="301" w:firstLineChars="100"/>
        <w:jc w:val="left"/>
        <w:rPr>
          <w:rFonts w:eastAsia="仿宋_GB2312"/>
          <w:b/>
          <w:bCs/>
          <w:sz w:val="32"/>
          <w:szCs w:val="32"/>
        </w:rPr>
      </w:pPr>
      <w:r>
        <w:rPr>
          <w:rFonts w:hint="eastAsia" w:ascii="仿宋_GB2312" w:hAnsi="仿宋_GB2312" w:eastAsia="仿宋_GB2312" w:cs="仿宋_GB2312"/>
          <w:b/>
          <w:bCs/>
          <w:sz w:val="30"/>
          <w:szCs w:val="30"/>
        </w:rPr>
        <w:t>（二）项目支出使用管理情况</w:t>
      </w:r>
      <w:r>
        <w:rPr>
          <w:rFonts w:hint="eastAsia" w:eastAsia="仿宋_GB2312"/>
          <w:b/>
          <w:bCs/>
          <w:sz w:val="32"/>
          <w:szCs w:val="32"/>
        </w:rPr>
        <w:t xml:space="preserve"> </w:t>
      </w:r>
    </w:p>
    <w:p>
      <w:pPr>
        <w:widowControl/>
        <w:numPr>
          <w:ilvl w:val="0"/>
          <w:numId w:val="1"/>
        </w:numPr>
        <w:spacing w:line="600" w:lineRule="exact"/>
        <w:ind w:firstLine="640" w:firstLineChars="200"/>
        <w:jc w:val="left"/>
        <w:rPr>
          <w:rFonts w:eastAsia="仿宋_GB2312"/>
          <w:sz w:val="32"/>
          <w:szCs w:val="32"/>
        </w:rPr>
      </w:pPr>
      <w:r>
        <w:rPr>
          <w:rFonts w:hint="eastAsia" w:eastAsia="仿宋_GB2312"/>
          <w:sz w:val="32"/>
          <w:szCs w:val="32"/>
        </w:rPr>
        <w:t>项目支出情况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2021</w:t>
      </w:r>
      <w:r>
        <w:rPr>
          <w:rFonts w:eastAsia="仿宋_GB2312"/>
          <w:sz w:val="32"/>
          <w:szCs w:val="32"/>
        </w:rPr>
        <w:t>年</w:t>
      </w:r>
      <w:r>
        <w:rPr>
          <w:rFonts w:hint="eastAsia" w:eastAsia="仿宋_GB2312"/>
          <w:sz w:val="32"/>
          <w:szCs w:val="32"/>
        </w:rPr>
        <w:t>资阳区自然资源局年全年项目支出1080.12万元</w:t>
      </w:r>
      <w:r>
        <w:rPr>
          <w:rFonts w:eastAsia="仿宋_GB2312"/>
          <w:sz w:val="32"/>
          <w:szCs w:val="32"/>
        </w:rPr>
        <w:t>，</w:t>
      </w:r>
      <w:r>
        <w:rPr>
          <w:rFonts w:hint="eastAsia" w:eastAsia="仿宋_GB2312"/>
          <w:sz w:val="32"/>
          <w:szCs w:val="32"/>
        </w:rPr>
        <w:t>主要项目包括：农村房屋不动产登记79.86万元；不动产登记存量数据整合和统计分析专项经费等45万元；2021年自然资源保护和利用专项资金10万元；2020年市级农村房地一体确权登记</w:t>
      </w:r>
      <w:r>
        <w:rPr>
          <w:rFonts w:hint="eastAsia" w:eastAsia="仿宋_GB2312"/>
          <w:sz w:val="32"/>
          <w:szCs w:val="32"/>
          <w:lang w:val="en-US" w:eastAsia="zh-CN"/>
        </w:rPr>
        <w:t>办</w:t>
      </w:r>
      <w:r>
        <w:rPr>
          <w:rFonts w:hint="eastAsia" w:eastAsia="仿宋_GB2312"/>
          <w:sz w:val="32"/>
          <w:szCs w:val="32"/>
        </w:rPr>
        <w:t>证补助资金30万元；2020年多规合一村庄规划试点项目资金等77.4万元；地质灾害防治项目资金65.47万元；2018年第二批地质灾害防治体系建设项目资金等147.39万元；2020年第一批市级土地综合整治及灾毁项目资金625万元。</w:t>
      </w:r>
    </w:p>
    <w:p>
      <w:pPr>
        <w:pStyle w:val="13"/>
        <w:spacing w:line="520" w:lineRule="exact"/>
        <w:ind w:left="420" w:leftChars="200" w:firstLine="320" w:firstLineChars="100"/>
        <w:rPr>
          <w:rFonts w:ascii="仿宋_GB2312" w:hAnsi="仿宋_GB2312" w:eastAsia="仿宋_GB2312" w:cs="仿宋_GB2312"/>
          <w:kern w:val="2"/>
          <w:sz w:val="30"/>
          <w:szCs w:val="30"/>
        </w:rPr>
      </w:pPr>
      <w:r>
        <w:rPr>
          <w:rFonts w:hint="eastAsia" w:eastAsia="仿宋_GB2312"/>
          <w:sz w:val="32"/>
          <w:szCs w:val="32"/>
        </w:rPr>
        <w:t>2、</w:t>
      </w:r>
      <w:r>
        <w:rPr>
          <w:rFonts w:hint="eastAsia" w:ascii="仿宋_GB2312" w:hAnsi="仿宋_GB2312" w:eastAsia="仿宋_GB2312" w:cs="仿宋_GB2312"/>
          <w:kern w:val="2"/>
          <w:sz w:val="30"/>
          <w:szCs w:val="30"/>
        </w:rPr>
        <w:t>项目组织情况</w:t>
      </w:r>
    </w:p>
    <w:p>
      <w:pPr>
        <w:pStyle w:val="13"/>
        <w:spacing w:line="520" w:lineRule="exact"/>
        <w:ind w:left="0"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项目在合同方面情况较好。主要表现在几个方面：一是施工方严格按规划设计图纸及施工组织设计规范施工，确保按时按量完工，并接受发包方、监理方监督，施工中遇到工程变更能及时申请，所有工程变更均通过协商达成一致意见，无法律纠纷。二是监理方切实加强项目实施过程中对资金拨付工程进度、工程质量的指导与监督，并组织好各类监理资料，确保项目顺利完工。</w:t>
      </w:r>
    </w:p>
    <w:p>
      <w:pPr>
        <w:pStyle w:val="13"/>
        <w:spacing w:line="520" w:lineRule="exact"/>
        <w:ind w:left="0"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及时组织对项目的验收。首先在施工单位提出结算申请后，经</w:t>
      </w:r>
      <w:r>
        <w:rPr>
          <w:rFonts w:hint="eastAsia" w:ascii="仿宋_GB2312" w:hAnsi="仿宋_GB2312" w:eastAsia="仿宋_GB2312" w:cs="仿宋_GB2312"/>
          <w:kern w:val="2"/>
          <w:sz w:val="30"/>
          <w:szCs w:val="30"/>
          <w:lang w:eastAsia="zh-CN"/>
        </w:rPr>
        <w:t>资阳</w:t>
      </w:r>
      <w:r>
        <w:rPr>
          <w:rFonts w:hint="eastAsia" w:ascii="仿宋_GB2312" w:hAnsi="仿宋_GB2312" w:eastAsia="仿宋_GB2312" w:cs="仿宋_GB2312"/>
          <w:kern w:val="2"/>
          <w:sz w:val="30"/>
          <w:szCs w:val="30"/>
        </w:rPr>
        <w:t>区土地开发整理复垦中心审批同意，办理项目结算，然后由有资质的中介机构对项目财务进行审计并出具财务报告，最后成立验收组对项目进行验收并出具行政验收意见。</w:t>
      </w:r>
    </w:p>
    <w:p>
      <w:pPr>
        <w:pStyle w:val="13"/>
        <w:spacing w:line="520" w:lineRule="exact"/>
        <w:ind w:left="420" w:leftChars="200" w:firstLine="300" w:firstLineChars="1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3、项目管理情况</w:t>
      </w:r>
    </w:p>
    <w:p>
      <w:pPr>
        <w:pStyle w:val="13"/>
        <w:spacing w:line="520" w:lineRule="exact"/>
        <w:ind w:left="0"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资阳</w:t>
      </w:r>
      <w:r>
        <w:rPr>
          <w:rFonts w:hint="eastAsia" w:ascii="仿宋_GB2312" w:hAnsi="仿宋_GB2312" w:eastAsia="仿宋_GB2312" w:cs="仿宋_GB2312"/>
          <w:kern w:val="2"/>
          <w:sz w:val="30"/>
          <w:szCs w:val="30"/>
        </w:rPr>
        <w:t>区自然资源局负责项目的招投标、开工申报、质量和安全监督申报、制定施工计划等前期准备工作；全程参与建设管理，定期组织质量和安全检查，严格工程量审核和资金拨付；完成各类统计报表的上报工作。</w:t>
      </w:r>
      <w:bookmarkStart w:id="4" w:name="_GoBack"/>
      <w:bookmarkEnd w:id="4"/>
    </w:p>
    <w:p>
      <w:pPr>
        <w:snapToGrid w:val="0"/>
        <w:spacing w:line="520" w:lineRule="exact"/>
        <w:ind w:firstLine="420" w:firstLineChars="200"/>
        <w:rPr>
          <w:rFonts w:ascii="楷体_GB2312" w:hAnsi="仿宋" w:eastAsia="楷体_GB2312"/>
          <w:b/>
          <w:sz w:val="32"/>
          <w:szCs w:val="32"/>
        </w:rPr>
      </w:pPr>
      <w:r>
        <w:rPr>
          <w:rFonts w:hint="eastAsia"/>
        </w:rPr>
        <w:t xml:space="preserve"> </w:t>
      </w:r>
      <w:r>
        <w:rPr>
          <w:rFonts w:hint="eastAsia" w:ascii="楷体_GB2312" w:hAnsi="仿宋" w:eastAsia="楷体_GB2312"/>
          <w:b/>
          <w:sz w:val="32"/>
          <w:szCs w:val="32"/>
        </w:rPr>
        <w:t>三、当年取得的主要事业成效。</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概述单位工作开展情况及主要事业成效。</w:t>
      </w:r>
    </w:p>
    <w:p>
      <w:pPr>
        <w:ind w:firstLine="640" w:firstLineChars="200"/>
        <w:rPr>
          <w:rFonts w:ascii="仿宋_GB2312" w:hAnsi="Calibri" w:eastAsia="仿宋_GB2312"/>
          <w:sz w:val="32"/>
          <w:szCs w:val="32"/>
        </w:rPr>
      </w:pPr>
      <w:r>
        <w:rPr>
          <w:rFonts w:hint="eastAsia" w:ascii="楷体" w:hAnsi="楷体" w:eastAsia="楷体" w:cs="宋体"/>
          <w:color w:val="000000"/>
          <w:kern w:val="0"/>
          <w:sz w:val="32"/>
          <w:szCs w:val="32"/>
        </w:rPr>
        <w:t>1、加强思想建设，促进自然资源队伍整体水平提高。</w:t>
      </w:r>
      <w:r>
        <w:rPr>
          <w:rFonts w:hint="eastAsia" w:ascii="仿宋_GB2312" w:hAnsi="Calibri" w:eastAsia="仿宋_GB2312"/>
          <w:sz w:val="32"/>
          <w:szCs w:val="32"/>
        </w:rPr>
        <w:t>加强对全</w:t>
      </w:r>
      <w:r>
        <w:rPr>
          <w:rFonts w:hint="eastAsia" w:ascii="仿宋_GB2312" w:eastAsia="仿宋_GB2312"/>
          <w:sz w:val="32"/>
          <w:szCs w:val="32"/>
        </w:rPr>
        <w:t>局</w:t>
      </w:r>
      <w:r>
        <w:rPr>
          <w:rFonts w:hint="eastAsia" w:ascii="仿宋_GB2312" w:hAnsi="Calibri" w:eastAsia="仿宋_GB2312"/>
          <w:sz w:val="32"/>
          <w:szCs w:val="32"/>
        </w:rPr>
        <w:t>的</w:t>
      </w:r>
      <w:r>
        <w:rPr>
          <w:rFonts w:hint="eastAsia" w:ascii="仿宋_GB2312" w:eastAsia="仿宋_GB2312"/>
          <w:sz w:val="32"/>
          <w:szCs w:val="32"/>
        </w:rPr>
        <w:t>思想</w:t>
      </w:r>
      <w:r>
        <w:rPr>
          <w:rFonts w:hint="eastAsia" w:ascii="仿宋_GB2312" w:hAnsi="Calibri" w:eastAsia="仿宋_GB2312"/>
          <w:sz w:val="32"/>
          <w:szCs w:val="32"/>
        </w:rPr>
        <w:t>政治教育，严格要求，廉洁自律。强化服务态度和大局意识，提高政治站位，认真贯彻落实区委</w:t>
      </w:r>
      <w:r>
        <w:rPr>
          <w:rFonts w:hint="eastAsia" w:ascii="仿宋_GB2312" w:eastAsia="仿宋_GB2312"/>
          <w:sz w:val="32"/>
          <w:szCs w:val="32"/>
        </w:rPr>
        <w:t>区</w:t>
      </w:r>
      <w:r>
        <w:rPr>
          <w:rFonts w:hint="eastAsia" w:ascii="仿宋_GB2312" w:hAnsi="Calibri" w:eastAsia="仿宋_GB2312"/>
          <w:sz w:val="32"/>
          <w:szCs w:val="32"/>
        </w:rPr>
        <w:t>政府的决策部署。</w:t>
      </w:r>
    </w:p>
    <w:p>
      <w:pPr>
        <w:ind w:left="105" w:leftChars="50" w:firstLine="480" w:firstLineChars="150"/>
        <w:rPr>
          <w:rFonts w:ascii="仿宋_GB2312" w:hAnsi="仿宋_GB2312" w:eastAsia="仿宋_GB2312" w:cs="仿宋_GB2312"/>
          <w:b/>
          <w:sz w:val="32"/>
          <w:szCs w:val="32"/>
        </w:rPr>
      </w:pPr>
      <w:r>
        <w:rPr>
          <w:rFonts w:hint="eastAsia" w:ascii="楷体" w:hAnsi="楷体" w:eastAsia="楷体" w:cs="宋体"/>
          <w:color w:val="000000"/>
          <w:kern w:val="0"/>
          <w:sz w:val="32"/>
          <w:szCs w:val="32"/>
        </w:rPr>
        <w:t>2、锐意进取开拓创新，全面完成各项工作目标任务。</w:t>
      </w:r>
    </w:p>
    <w:p>
      <w:pPr>
        <w:ind w:left="105" w:leftChars="50" w:firstLine="482" w:firstLineChars="150"/>
        <w:rPr>
          <w:rFonts w:ascii="楷体" w:hAnsi="楷体" w:eastAsia="楷体" w:cs="宋体"/>
          <w:color w:val="000000"/>
          <w:kern w:val="0"/>
          <w:sz w:val="32"/>
          <w:szCs w:val="32"/>
        </w:rPr>
      </w:pPr>
      <w:r>
        <w:rPr>
          <w:rFonts w:hint="eastAsia" w:ascii="楷体_GB2312" w:hAnsi="仿宋_GB2312" w:eastAsia="楷体_GB2312" w:cs="仿宋_GB2312"/>
          <w:b/>
          <w:sz w:val="32"/>
          <w:szCs w:val="32"/>
        </w:rPr>
        <w:t>一是</w:t>
      </w:r>
      <w:r>
        <w:rPr>
          <w:rFonts w:hint="eastAsia" w:ascii="楷体_GB2312" w:hAnsi="仿宋_GB2312" w:eastAsia="楷体_GB2312" w:cs="仿宋_GB2312"/>
          <w:sz w:val="32"/>
          <w:szCs w:val="32"/>
        </w:rPr>
        <w:t>全面落实两个耕地占补平衡目标。</w:t>
      </w:r>
      <w:r>
        <w:rPr>
          <w:rFonts w:hint="eastAsia" w:ascii="仿宋_GB2312" w:hAnsi="仿宋_GB2312" w:eastAsia="仿宋_GB2312" w:cs="仿宋_GB2312"/>
          <w:sz w:val="32"/>
          <w:szCs w:val="32"/>
        </w:rPr>
        <w:t>在“全国耕地占补平衡动态监管系统”内入库新增耕地数量指标87.8688公顷，水田指标84.2349公顷，粮食产能1183943.29公斤。现指标库内剩余耕地数量63.6095公顷，水田规模80.2402公顷，粮食产能80.4493万公斤，全力保障我区粮食安全。</w:t>
      </w:r>
    </w:p>
    <w:p>
      <w:pPr>
        <w:ind w:firstLine="643" w:firstLineChars="200"/>
        <w:rPr>
          <w:rFonts w:ascii="仿宋_GB2312" w:hAnsi="仿宋_GB2312" w:eastAsia="仿宋_GB2312" w:cs="仿宋_GB2312"/>
          <w:sz w:val="32"/>
          <w:szCs w:val="32"/>
        </w:rPr>
      </w:pPr>
      <w:r>
        <w:rPr>
          <w:rFonts w:hint="eastAsia" w:ascii="楷体_GB2312" w:eastAsia="楷体_GB2312"/>
          <w:b/>
          <w:sz w:val="32"/>
          <w:szCs w:val="32"/>
        </w:rPr>
        <w:t>二是</w:t>
      </w:r>
      <w:r>
        <w:rPr>
          <w:rFonts w:hint="eastAsia" w:ascii="楷体_GB2312" w:eastAsia="楷体_GB2312"/>
          <w:sz w:val="32"/>
          <w:szCs w:val="32"/>
        </w:rPr>
        <w:t>完成全年土地供应任务。</w:t>
      </w:r>
      <w:r>
        <w:rPr>
          <w:rFonts w:hint="eastAsia" w:ascii="仿宋_GB2312" w:eastAsia="仿宋_GB2312"/>
          <w:sz w:val="32"/>
          <w:szCs w:val="32"/>
        </w:rPr>
        <w:t>今年共供应土地23宗，总面积28.1001公顷。完成全区批而未供土地处置68.8967公顷，其中2018年以前的批单处置率为38.34%、2019年后的批单处置率为40.31%，均达上级任务要</w:t>
      </w:r>
      <w:r>
        <w:rPr>
          <w:rFonts w:hint="eastAsia" w:ascii="仿宋_GB2312" w:hAnsi="仿宋_GB2312" w:eastAsia="仿宋_GB2312" w:cs="仿宋_GB2312"/>
          <w:sz w:val="32"/>
          <w:szCs w:val="32"/>
        </w:rPr>
        <w:t>求。</w:t>
      </w:r>
    </w:p>
    <w:p>
      <w:pPr>
        <w:ind w:firstLine="643" w:firstLineChars="200"/>
        <w:rPr>
          <w:rFonts w:ascii="仿宋_GB2312" w:hAnsi="黑体" w:eastAsia="仿宋_GB2312"/>
          <w:sz w:val="32"/>
          <w:szCs w:val="32"/>
        </w:rPr>
      </w:pPr>
      <w:r>
        <w:rPr>
          <w:rFonts w:hint="eastAsia" w:ascii="楷体_GB2312" w:eastAsia="楷体_GB2312"/>
          <w:b/>
          <w:sz w:val="32"/>
          <w:szCs w:val="32"/>
        </w:rPr>
        <w:t>三是</w:t>
      </w:r>
      <w:r>
        <w:rPr>
          <w:rFonts w:hint="eastAsia" w:ascii="楷体_GB2312" w:eastAsia="楷体_GB2312"/>
          <w:sz w:val="32"/>
          <w:szCs w:val="32"/>
        </w:rPr>
        <w:t>为各类建设项目提供建强用地保障。</w:t>
      </w:r>
      <w:r>
        <w:rPr>
          <w:rFonts w:hint="eastAsia" w:ascii="仿宋_GB2312" w:eastAsia="仿宋_GB2312"/>
          <w:sz w:val="32"/>
          <w:szCs w:val="32"/>
        </w:rPr>
        <w:t>全年度从省厅拿回批单6宗，</w:t>
      </w:r>
      <w:r>
        <w:rPr>
          <w:rFonts w:hint="eastAsia" w:ascii="仿宋_GB2312" w:hAnsi="黑体" w:eastAsia="仿宋_GB2312"/>
          <w:sz w:val="32"/>
          <w:szCs w:val="32"/>
        </w:rPr>
        <w:t>共计14.7565公顷。为益阳博雅学校，资阳血吸虫病预防救治中心，久丰家畜家禽定点屠宰场，资阳病死畜禽无害化处理中心， 110KV输变电工程及环保节能型沥青搅拌站提供坚实有力的用地保障。申报省厅受理项目4宗，共计18.9433公顷。为常德经益阳至长沙铁路配套设施的建设，新桥河镇金杉养老院，先锋湖变电站及益阳市第三十八批次（资阳区）增减挂钩用地的建设打牢坚实基础。</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四是</w:t>
      </w:r>
      <w:r>
        <w:rPr>
          <w:rFonts w:hint="eastAsia" w:ascii="楷体_GB2312" w:hAnsi="仿宋_GB2312" w:eastAsia="楷体_GB2312" w:cs="仿宋_GB2312"/>
          <w:sz w:val="32"/>
          <w:szCs w:val="32"/>
        </w:rPr>
        <w:t>采取“长牙齿”的措施打击违法用地行为。</w:t>
      </w:r>
      <w:r>
        <w:rPr>
          <w:rFonts w:hint="eastAsia" w:ascii="仿宋_GB2312" w:hAnsi="仿宋_GB2312" w:eastAsia="仿宋_GB2312" w:cs="仿宋_GB2312"/>
          <w:sz w:val="32"/>
          <w:szCs w:val="32"/>
        </w:rPr>
        <w:t>全年</w:t>
      </w:r>
      <w:r>
        <w:rPr>
          <w:rFonts w:ascii="仿宋_GB2312" w:hAnsi="仿宋_GB2312" w:eastAsia="仿宋_GB2312" w:cs="仿宋_GB2312"/>
          <w:sz w:val="32"/>
          <w:szCs w:val="32"/>
        </w:rPr>
        <w:t>共立案查处土地违法案件39宗，</w:t>
      </w:r>
      <w:r>
        <w:rPr>
          <w:rFonts w:hint="eastAsia" w:ascii="仿宋_GB2312" w:hAnsi="仿宋_GB2312" w:eastAsia="仿宋_GB2312" w:cs="仿宋_GB2312"/>
          <w:sz w:val="32"/>
          <w:szCs w:val="32"/>
        </w:rPr>
        <w:t>涉及</w:t>
      </w:r>
      <w:r>
        <w:rPr>
          <w:rFonts w:ascii="仿宋_GB2312" w:hAnsi="仿宋_GB2312" w:eastAsia="仿宋_GB2312" w:cs="仿宋_GB2312"/>
          <w:sz w:val="32"/>
          <w:szCs w:val="32"/>
        </w:rPr>
        <w:t>土地面积14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9820</w:t>
      </w:r>
      <w:r>
        <w:rPr>
          <w:rFonts w:hint="eastAsia" w:ascii="仿宋_GB2312" w:hAnsi="仿宋_GB2312" w:eastAsia="仿宋_GB2312" w:cs="仿宋_GB2312"/>
          <w:sz w:val="32"/>
          <w:szCs w:val="32"/>
        </w:rPr>
        <w:t>公顷</w:t>
      </w:r>
      <w:r>
        <w:rPr>
          <w:rFonts w:ascii="仿宋_GB2312" w:hAnsi="仿宋_GB2312" w:eastAsia="仿宋_GB2312" w:cs="仿宋_GB2312"/>
          <w:sz w:val="32"/>
          <w:szCs w:val="32"/>
        </w:rPr>
        <w:t>，耕地面积1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3056</w:t>
      </w:r>
      <w:r>
        <w:rPr>
          <w:rFonts w:hint="eastAsia" w:ascii="仿宋_GB2312" w:hAnsi="仿宋_GB2312" w:eastAsia="仿宋_GB2312" w:cs="仿宋_GB2312"/>
          <w:sz w:val="32"/>
          <w:szCs w:val="32"/>
        </w:rPr>
        <w:t>公顷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w:t>
      </w:r>
      <w:r>
        <w:rPr>
          <w:rFonts w:ascii="仿宋_GB2312" w:hAnsi="仿宋_GB2312" w:eastAsia="仿宋_GB2312" w:cs="仿宋_GB2312"/>
          <w:sz w:val="32"/>
          <w:szCs w:val="32"/>
        </w:rPr>
        <w:t>责令拆除5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2338</w:t>
      </w:r>
      <w:r>
        <w:rPr>
          <w:rFonts w:hint="eastAsia" w:ascii="仿宋_GB2312" w:hAnsi="仿宋_GB2312" w:eastAsia="仿宋_GB2312" w:cs="仿宋_GB2312"/>
          <w:sz w:val="32"/>
          <w:szCs w:val="32"/>
        </w:rPr>
        <w:t>公顷</w:t>
      </w:r>
      <w:r>
        <w:rPr>
          <w:rFonts w:ascii="仿宋_GB2312" w:hAnsi="仿宋_GB2312" w:eastAsia="仿宋_GB2312" w:cs="仿宋_GB2312"/>
          <w:sz w:val="32"/>
          <w:szCs w:val="32"/>
        </w:rPr>
        <w:t>土地上的违法建筑物，没收8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8229</w:t>
      </w:r>
      <w:r>
        <w:rPr>
          <w:rFonts w:hint="eastAsia" w:ascii="仿宋_GB2312" w:hAnsi="仿宋_GB2312" w:eastAsia="仿宋_GB2312" w:cs="仿宋_GB2312"/>
          <w:sz w:val="32"/>
          <w:szCs w:val="32"/>
        </w:rPr>
        <w:t>公顷</w:t>
      </w:r>
      <w:r>
        <w:rPr>
          <w:rFonts w:ascii="仿宋_GB2312" w:hAnsi="仿宋_GB2312" w:eastAsia="仿宋_GB2312" w:cs="仿宋_GB2312"/>
          <w:sz w:val="32"/>
          <w:szCs w:val="32"/>
        </w:rPr>
        <w:t>土地上的违法建筑物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移送公安机关</w:t>
      </w:r>
      <w:r>
        <w:rPr>
          <w:rFonts w:hint="eastAsia" w:ascii="仿宋_GB2312" w:hAnsi="仿宋_GB2312" w:eastAsia="仿宋_GB2312" w:cs="仿宋_GB2312"/>
          <w:sz w:val="32"/>
          <w:szCs w:val="32"/>
        </w:rPr>
        <w:t>案件</w:t>
      </w:r>
      <w:r>
        <w:rPr>
          <w:rFonts w:ascii="仿宋_GB2312" w:hAnsi="仿宋_GB2312" w:eastAsia="仿宋_GB2312" w:cs="仿宋_GB2312"/>
          <w:sz w:val="32"/>
          <w:szCs w:val="32"/>
        </w:rPr>
        <w:t>1宗</w:t>
      </w:r>
      <w:r>
        <w:rPr>
          <w:rFonts w:hint="eastAsia" w:ascii="仿宋_GB2312" w:hAnsi="仿宋_GB2312" w:eastAsia="仿宋_GB2312" w:cs="仿宋_GB2312"/>
          <w:sz w:val="32"/>
          <w:szCs w:val="32"/>
        </w:rPr>
        <w:t>，累计收缴</w:t>
      </w:r>
      <w:r>
        <w:rPr>
          <w:rFonts w:ascii="仿宋_GB2312" w:hAnsi="仿宋_GB2312" w:eastAsia="仿宋_GB2312" w:cs="仿宋_GB2312"/>
          <w:sz w:val="32"/>
          <w:szCs w:val="32"/>
        </w:rPr>
        <w:t>罚款208.2万元。</w:t>
      </w:r>
      <w:r>
        <w:rPr>
          <w:rFonts w:hint="eastAsia" w:ascii="仿宋_GB2312" w:hAnsi="仿宋_GB2312" w:eastAsia="仿宋_GB2312" w:cs="仿宋_GB2312"/>
          <w:sz w:val="32"/>
          <w:szCs w:val="32"/>
        </w:rPr>
        <w:t xml:space="preserve"> </w:t>
      </w:r>
    </w:p>
    <w:p>
      <w:pPr>
        <w:ind w:firstLine="643" w:firstLineChars="200"/>
        <w:rPr>
          <w:rFonts w:ascii="仿宋_GB2312" w:eastAsia="仿宋_GB2312"/>
          <w:sz w:val="32"/>
          <w:szCs w:val="32"/>
        </w:rPr>
      </w:pPr>
      <w:r>
        <w:rPr>
          <w:rFonts w:hint="eastAsia" w:ascii="楷体_GB2312" w:eastAsia="楷体_GB2312"/>
          <w:b/>
          <w:sz w:val="32"/>
          <w:szCs w:val="32"/>
        </w:rPr>
        <w:t>五是</w:t>
      </w:r>
      <w:r>
        <w:rPr>
          <w:rFonts w:hint="eastAsia" w:ascii="楷体_GB2312" w:eastAsia="楷体_GB2312"/>
          <w:sz w:val="32"/>
          <w:szCs w:val="32"/>
        </w:rPr>
        <w:t>全面完成国土空间规划相关工作。</w:t>
      </w:r>
      <w:r>
        <w:rPr>
          <w:rFonts w:hint="eastAsia" w:ascii="仿宋_GB2312" w:eastAsia="仿宋_GB2312"/>
          <w:sz w:val="32"/>
          <w:szCs w:val="32"/>
        </w:rPr>
        <w:t xml:space="preserve">完成生态保护红线评估调整，三调数据与规划现状基数转换，永久基本农田核实整改补足，城镇开发边界初步划定及村庄规划编制分类工作。其中，根据《关于加快推进永久基本农田核实整改补足和城镇开发边界划定工作的函》（自然资空间规划函〔2021〕121号）， 完成永久基本农田核实整改补足工作，认真梳理，拟调出永久基本农田3318.05公顷，补划永久基本农田1366.90公顷，比上一轮永久基本农田保护目标多出15.82公顷。 </w:t>
      </w:r>
    </w:p>
    <w:p>
      <w:pPr>
        <w:ind w:firstLine="643" w:firstLineChars="200"/>
        <w:rPr>
          <w:rFonts w:ascii="仿宋_GB2312" w:eastAsia="仿宋_GB2312"/>
          <w:sz w:val="32"/>
          <w:szCs w:val="32"/>
        </w:rPr>
      </w:pPr>
      <w:r>
        <w:rPr>
          <w:rFonts w:hint="eastAsia" w:ascii="楷体_GB2312" w:eastAsia="楷体_GB2312"/>
          <w:b/>
          <w:sz w:val="32"/>
          <w:szCs w:val="32"/>
        </w:rPr>
        <w:t>六是</w:t>
      </w:r>
      <w:r>
        <w:rPr>
          <w:rFonts w:hint="eastAsia" w:ascii="楷体_GB2312" w:eastAsia="楷体_GB2312"/>
          <w:sz w:val="32"/>
          <w:szCs w:val="32"/>
        </w:rPr>
        <w:t>全面完成其他各项工作。</w:t>
      </w:r>
    </w:p>
    <w:p>
      <w:pPr>
        <w:pStyle w:val="2"/>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四、部门整体支出绩效情况</w:t>
      </w:r>
    </w:p>
    <w:p>
      <w:pPr>
        <w:spacing w:line="520" w:lineRule="exact"/>
        <w:ind w:firstLine="640"/>
        <w:rPr>
          <w:rFonts w:eastAsia="仿宋"/>
          <w:sz w:val="32"/>
        </w:rPr>
      </w:pPr>
      <w:r>
        <w:rPr>
          <w:rFonts w:hint="eastAsia" w:ascii="仿宋" w:hAnsi="仿宋" w:eastAsia="仿宋"/>
          <w:sz w:val="32"/>
        </w:rPr>
        <w:t>2021年收入实际完成1160万元，其中：一般公共预算财政拨款收入完成689万元，政府性基金财政拨款收入完成0万元，上级补助收入完成</w:t>
      </w:r>
      <w:r>
        <w:rPr>
          <w:rFonts w:hint="eastAsia" w:ascii="仿宋" w:hAnsi="仿宋" w:eastAsia="仿宋"/>
          <w:sz w:val="28"/>
        </w:rPr>
        <w:t>0</w:t>
      </w:r>
      <w:r>
        <w:rPr>
          <w:rFonts w:hint="eastAsia" w:ascii="仿宋" w:hAnsi="仿宋" w:eastAsia="仿宋"/>
          <w:sz w:val="32"/>
        </w:rPr>
        <w:t>万元，事业收入完成</w:t>
      </w:r>
      <w:r>
        <w:rPr>
          <w:rFonts w:hint="eastAsia" w:ascii="仿宋" w:hAnsi="仿宋" w:eastAsia="仿宋"/>
          <w:sz w:val="28"/>
        </w:rPr>
        <w:t>0</w:t>
      </w:r>
      <w:r>
        <w:rPr>
          <w:rFonts w:hint="eastAsia" w:ascii="仿宋" w:hAnsi="仿宋" w:eastAsia="仿宋"/>
          <w:sz w:val="32"/>
        </w:rPr>
        <w:t>万元，经营收入完成</w:t>
      </w:r>
      <w:r>
        <w:rPr>
          <w:rFonts w:hint="eastAsia" w:ascii="仿宋" w:hAnsi="仿宋" w:eastAsia="仿宋"/>
          <w:sz w:val="28"/>
        </w:rPr>
        <w:t>0</w:t>
      </w:r>
      <w:r>
        <w:rPr>
          <w:rFonts w:hint="eastAsia" w:ascii="仿宋" w:hAnsi="仿宋" w:eastAsia="仿宋"/>
          <w:sz w:val="32"/>
        </w:rPr>
        <w:t>万元，附属单位上缴收入完成</w:t>
      </w:r>
      <w:r>
        <w:rPr>
          <w:rFonts w:hint="eastAsia" w:ascii="仿宋" w:hAnsi="仿宋" w:eastAsia="仿宋"/>
          <w:sz w:val="28"/>
        </w:rPr>
        <w:t>0</w:t>
      </w:r>
      <w:r>
        <w:rPr>
          <w:rFonts w:hint="eastAsia" w:ascii="仿宋" w:hAnsi="仿宋" w:eastAsia="仿宋"/>
          <w:sz w:val="32"/>
        </w:rPr>
        <w:t>万元，其他收入完成471万元。</w:t>
      </w:r>
    </w:p>
    <w:p>
      <w:pPr>
        <w:spacing w:line="520" w:lineRule="exact"/>
        <w:ind w:firstLine="643"/>
        <w:rPr>
          <w:rFonts w:ascii="仿宋" w:hAnsi="仿宋" w:eastAsia="仿宋"/>
          <w:sz w:val="32"/>
        </w:rPr>
      </w:pPr>
      <w:r>
        <w:rPr>
          <w:rFonts w:hint="eastAsia" w:ascii="仿宋" w:hAnsi="仿宋" w:eastAsia="仿宋"/>
          <w:sz w:val="32"/>
        </w:rPr>
        <w:t>2021年，本部门支出1998万元，其中：基本支出完成</w:t>
      </w:r>
      <w:r>
        <w:rPr>
          <w:rFonts w:hint="eastAsia" w:ascii="仿宋" w:hAnsi="仿宋" w:eastAsia="仿宋"/>
          <w:sz w:val="28"/>
        </w:rPr>
        <w:t>918</w:t>
      </w:r>
      <w:r>
        <w:rPr>
          <w:rFonts w:hint="eastAsia" w:ascii="仿宋" w:hAnsi="仿宋" w:eastAsia="仿宋"/>
          <w:sz w:val="32"/>
        </w:rPr>
        <w:t>万元，项目支出</w:t>
      </w:r>
      <w:r>
        <w:rPr>
          <w:rFonts w:hint="eastAsia" w:ascii="仿宋" w:hAnsi="仿宋" w:eastAsia="仿宋"/>
          <w:sz w:val="28"/>
        </w:rPr>
        <w:t>1080</w:t>
      </w:r>
      <w:r>
        <w:rPr>
          <w:rFonts w:hint="eastAsia" w:ascii="仿宋" w:hAnsi="仿宋" w:eastAsia="仿宋"/>
          <w:sz w:val="32"/>
        </w:rPr>
        <w:t>万元，</w:t>
      </w:r>
      <w:r>
        <w:rPr>
          <w:rFonts w:hint="eastAsia" w:ascii="仿宋" w:hAnsi="仿宋" w:eastAsia="仿宋"/>
          <w:sz w:val="32"/>
          <w:lang w:val="zh-CN"/>
        </w:rPr>
        <w:t>人员经费</w:t>
      </w:r>
      <w:r>
        <w:rPr>
          <w:rFonts w:hint="eastAsia" w:ascii="仿宋" w:hAnsi="仿宋" w:eastAsia="仿宋"/>
          <w:sz w:val="32"/>
        </w:rPr>
        <w:t>完成</w:t>
      </w:r>
      <w:r>
        <w:rPr>
          <w:rFonts w:hint="eastAsia" w:ascii="仿宋" w:hAnsi="仿宋" w:eastAsia="仿宋"/>
          <w:sz w:val="28"/>
        </w:rPr>
        <w:t>537万</w:t>
      </w:r>
      <w:r>
        <w:rPr>
          <w:rFonts w:hint="eastAsia" w:ascii="仿宋" w:hAnsi="仿宋" w:eastAsia="仿宋"/>
          <w:sz w:val="32"/>
        </w:rPr>
        <w:t>元，公用</w:t>
      </w:r>
      <w:r>
        <w:rPr>
          <w:rFonts w:hint="eastAsia" w:ascii="仿宋" w:hAnsi="仿宋" w:eastAsia="仿宋"/>
          <w:sz w:val="32"/>
          <w:lang w:val="zh-CN"/>
        </w:rPr>
        <w:t>经费</w:t>
      </w:r>
      <w:r>
        <w:rPr>
          <w:rFonts w:hint="eastAsia" w:ascii="仿宋" w:hAnsi="仿宋" w:eastAsia="仿宋"/>
          <w:sz w:val="32"/>
        </w:rPr>
        <w:t>完成1461万元。</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（1）预、决算差异情况，可分收入支出功能科目、分单位、分收入支出具体项目逐项对比（可列表）。</w:t>
      </w:r>
    </w:p>
    <w:p>
      <w:pPr>
        <w:autoSpaceDE w:val="0"/>
        <w:autoSpaceDN w:val="0"/>
        <w:adjustRightInd w:val="0"/>
        <w:spacing w:line="520" w:lineRule="exact"/>
        <w:ind w:firstLine="640"/>
        <w:rPr>
          <w:rFonts w:ascii="仿宋" w:eastAsia="仿宋"/>
          <w:sz w:val="32"/>
        </w:rPr>
      </w:pPr>
      <w:r>
        <w:rPr>
          <w:rFonts w:hint="eastAsia" w:ascii="仿宋" w:eastAsia="仿宋"/>
          <w:sz w:val="32"/>
        </w:rPr>
        <w:t>2021年预算收入为</w:t>
      </w:r>
      <w:r>
        <w:rPr>
          <w:rFonts w:hint="eastAsia" w:ascii="仿宋" w:hAnsi="仿宋" w:eastAsia="仿宋"/>
          <w:sz w:val="32"/>
        </w:rPr>
        <w:t>758</w:t>
      </w:r>
      <w:r>
        <w:rPr>
          <w:rFonts w:hint="eastAsia" w:ascii="仿宋" w:eastAsia="仿宋"/>
          <w:sz w:val="32"/>
        </w:rPr>
        <w:t>万元，其中：</w:t>
      </w:r>
      <w:bookmarkStart w:id="0" w:name="_Hlk32846585"/>
      <w:r>
        <w:rPr>
          <w:rFonts w:hint="eastAsia" w:ascii="仿宋" w:eastAsia="仿宋"/>
          <w:sz w:val="32"/>
        </w:rPr>
        <w:t>一般公共预算财政拨款收入758万元</w:t>
      </w:r>
      <w:bookmarkEnd w:id="0"/>
      <w:r>
        <w:rPr>
          <w:rFonts w:hint="eastAsia" w:ascii="仿宋" w:eastAsia="仿宋"/>
          <w:sz w:val="32"/>
        </w:rPr>
        <w:t>；决算收入总额</w:t>
      </w:r>
      <w:bookmarkStart w:id="1" w:name="_Hlk32846605"/>
      <w:r>
        <w:rPr>
          <w:rFonts w:hint="eastAsia" w:ascii="仿宋" w:eastAsia="仿宋"/>
          <w:sz w:val="32"/>
        </w:rPr>
        <w:t>1160万元</w:t>
      </w:r>
      <w:bookmarkEnd w:id="1"/>
      <w:r>
        <w:rPr>
          <w:rFonts w:hint="eastAsia" w:ascii="仿宋" w:eastAsia="仿宋"/>
          <w:sz w:val="32"/>
        </w:rPr>
        <w:t>，其中：一般公共财政拨款收入</w:t>
      </w:r>
      <w:r>
        <w:rPr>
          <w:rFonts w:hint="eastAsia" w:ascii="仿宋" w:hAnsi="仿宋" w:eastAsia="仿宋"/>
          <w:sz w:val="32"/>
        </w:rPr>
        <w:t>689</w:t>
      </w:r>
      <w:r>
        <w:rPr>
          <w:rFonts w:hint="eastAsia" w:ascii="仿宋" w:eastAsia="仿宋"/>
          <w:sz w:val="32"/>
        </w:rPr>
        <w:t>万元，其他收入471万元。决算支出总额</w:t>
      </w:r>
      <w:r>
        <w:rPr>
          <w:rFonts w:hint="eastAsia" w:ascii="仿宋" w:hAnsi="仿宋" w:eastAsia="仿宋"/>
          <w:sz w:val="32"/>
        </w:rPr>
        <w:t>1998</w:t>
      </w:r>
      <w:r>
        <w:rPr>
          <w:rFonts w:hint="eastAsia" w:ascii="仿宋" w:eastAsia="仿宋"/>
          <w:sz w:val="32"/>
        </w:rPr>
        <w:t>万元，其中：基本支出</w:t>
      </w:r>
      <w:r>
        <w:rPr>
          <w:rFonts w:hint="eastAsia" w:ascii="仿宋" w:hAnsi="仿宋" w:eastAsia="仿宋"/>
          <w:sz w:val="28"/>
        </w:rPr>
        <w:t>918</w:t>
      </w:r>
      <w:r>
        <w:rPr>
          <w:rFonts w:hint="eastAsia" w:ascii="仿宋" w:eastAsia="仿宋"/>
          <w:sz w:val="32"/>
        </w:rPr>
        <w:t>万元，项目支出</w:t>
      </w:r>
      <w:r>
        <w:rPr>
          <w:rFonts w:hint="eastAsia" w:ascii="仿宋" w:hAnsi="仿宋" w:eastAsia="仿宋"/>
          <w:sz w:val="28"/>
        </w:rPr>
        <w:t>1080</w:t>
      </w:r>
      <w:r>
        <w:rPr>
          <w:rFonts w:hint="eastAsia" w:ascii="仿宋" w:eastAsia="仿宋"/>
          <w:sz w:val="32"/>
        </w:rPr>
        <w:t>万元。</w:t>
      </w:r>
    </w:p>
    <w:p>
      <w:pPr>
        <w:snapToGrid w:val="0"/>
        <w:spacing w:line="520" w:lineRule="exact"/>
        <w:ind w:firstLine="640" w:firstLineChars="200"/>
        <w:rPr>
          <w:rFonts w:ascii="仿宋_GB2312" w:hAnsi="仿宋" w:eastAsia="仿宋_GB2312"/>
          <w:sz w:val="32"/>
          <w:szCs w:val="32"/>
        </w:rPr>
      </w:pPr>
    </w:p>
    <w:p>
      <w:pPr>
        <w:numPr>
          <w:ilvl w:val="0"/>
          <w:numId w:val="2"/>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差异原因分析。差异较大的应分析到具体收入支出功能科目和具体单位。</w:t>
      </w:r>
    </w:p>
    <w:p>
      <w:pPr>
        <w:autoSpaceDE w:val="0"/>
        <w:autoSpaceDN w:val="0"/>
        <w:adjustRightInd w:val="0"/>
        <w:spacing w:line="520" w:lineRule="exact"/>
        <w:ind w:firstLine="640"/>
        <w:rPr>
          <w:rFonts w:eastAsia="仿宋"/>
          <w:sz w:val="32"/>
        </w:rPr>
      </w:pPr>
      <w:r>
        <w:rPr>
          <w:rFonts w:hint="eastAsia" w:ascii="仿宋" w:hAnsi="仿宋" w:eastAsia="仿宋"/>
          <w:sz w:val="32"/>
        </w:rPr>
        <w:t>2021年预算中无其他收入，决算增加其他收入471万元。</w:t>
      </w:r>
    </w:p>
    <w:p>
      <w:pPr>
        <w:snapToGrid w:val="0"/>
        <w:spacing w:line="520" w:lineRule="exact"/>
        <w:rPr>
          <w:rFonts w:ascii="仿宋_GB2312" w:hAnsi="仿宋" w:eastAsia="仿宋_GB2312"/>
          <w:sz w:val="32"/>
          <w:szCs w:val="32"/>
        </w:rPr>
      </w:pP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（1）各项收入占总收入的比重，各项支出占总支出的比重（可分别制作饼状图）。</w:t>
      </w:r>
    </w:p>
    <w:p>
      <w:pPr>
        <w:autoSpaceDE w:val="0"/>
        <w:autoSpaceDN w:val="0"/>
        <w:adjustRightInd w:val="0"/>
        <w:spacing w:line="520" w:lineRule="exact"/>
        <w:ind w:firstLine="640"/>
        <w:rPr>
          <w:rFonts w:ascii="仿宋" w:eastAsia="仿宋"/>
          <w:sz w:val="32"/>
        </w:rPr>
      </w:pPr>
      <w:r>
        <w:rPr>
          <w:rFonts w:hint="eastAsia" w:ascii="仿宋" w:eastAsia="仿宋"/>
          <w:sz w:val="32"/>
        </w:rPr>
        <w:t>2021年总收入1160万元，一般公共财政拨款收入占59.39%，其他收入占40.61%。总支出1998万元，基本支出占45.95%，项目支出占54.05%。</w:t>
      </w:r>
    </w:p>
    <w:p>
      <w:pPr>
        <w:snapToGrid w:val="0"/>
        <w:spacing w:line="520" w:lineRule="exact"/>
        <w:ind w:firstLine="640" w:firstLineChars="200"/>
        <w:rPr>
          <w:rFonts w:ascii="仿宋_GB2312" w:hAnsi="仿宋" w:eastAsia="仿宋_GB2312"/>
          <w:sz w:val="32"/>
          <w:szCs w:val="32"/>
        </w:rPr>
      </w:pPr>
    </w:p>
    <w:p>
      <w:pPr>
        <w:snapToGrid w:val="0"/>
        <w:spacing w:line="520" w:lineRule="exact"/>
        <w:ind w:left="420" w:leftChars="200" w:firstLine="320" w:firstLineChars="100"/>
        <w:rPr>
          <w:rFonts w:ascii="仿宋_GB2312" w:hAnsi="仿宋" w:eastAsia="仿宋_GB2312"/>
          <w:sz w:val="32"/>
          <w:szCs w:val="32"/>
        </w:rPr>
      </w:pPr>
      <w:r>
        <w:rPr>
          <w:rFonts w:hint="eastAsia" w:ascii="仿宋_GB2312" w:hAnsi="仿宋" w:eastAsia="仿宋_GB2312"/>
          <w:sz w:val="32"/>
          <w:szCs w:val="32"/>
        </w:rPr>
        <w:t>（2）收入支出与上年度对比情况及原因分析(可用柱形图或折线图)。</w:t>
      </w:r>
    </w:p>
    <w:p>
      <w:pPr>
        <w:autoSpaceDE w:val="0"/>
        <w:autoSpaceDN w:val="0"/>
        <w:adjustRightInd w:val="0"/>
        <w:spacing w:line="520" w:lineRule="exact"/>
        <w:ind w:firstLine="640"/>
        <w:rPr>
          <w:rFonts w:ascii="仿宋_GB2312" w:hAnsi="仿宋" w:eastAsia="仿宋_GB2312"/>
          <w:sz w:val="32"/>
          <w:szCs w:val="32"/>
        </w:rPr>
      </w:pPr>
      <w:r>
        <w:rPr>
          <w:rFonts w:hint="eastAsia" w:ascii="仿宋_GB2312" w:hAnsi="仿宋" w:eastAsia="仿宋_GB2312"/>
          <w:sz w:val="32"/>
          <w:szCs w:val="32"/>
        </w:rPr>
        <w:t>2020年</w:t>
      </w:r>
      <w:r>
        <w:rPr>
          <w:rFonts w:hint="eastAsia" w:ascii="仿宋" w:eastAsia="仿宋"/>
          <w:sz w:val="32"/>
        </w:rPr>
        <w:t>总收入5120.97万元，一般公共财政拨款收入占78.60%，政府性基金财政拨款收入占12.2%，其他收入占9.2%。总支出2366.35万元，基本支出占41.15%，项目支出占58.85%。</w:t>
      </w:r>
      <w:r>
        <w:rPr>
          <w:rFonts w:hint="eastAsia" w:ascii="仿宋_GB2312" w:hAnsi="仿宋" w:eastAsia="仿宋_GB2312"/>
          <w:sz w:val="32"/>
          <w:szCs w:val="32"/>
        </w:rPr>
        <w:t>收入支出与上年度相比有所减少，主要原因是项目支出的减少。</w:t>
      </w:r>
    </w:p>
    <w:p>
      <w:pPr>
        <w:snapToGrid w:val="0"/>
        <w:spacing w:line="520" w:lineRule="exact"/>
        <w:rPr>
          <w:rFonts w:ascii="仿宋_GB2312" w:hAnsi="仿宋" w:eastAsia="仿宋_GB2312"/>
          <w:sz w:val="32"/>
          <w:szCs w:val="32"/>
        </w:rPr>
      </w:pP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3．支出按经济分类科目分析。</w:t>
      </w:r>
    </w:p>
    <w:p>
      <w:pPr>
        <w:spacing w:line="520" w:lineRule="exact"/>
        <w:ind w:firstLine="640"/>
        <w:rPr>
          <w:rFonts w:eastAsia="仿宋"/>
          <w:sz w:val="32"/>
        </w:rPr>
      </w:pPr>
      <w:r>
        <w:rPr>
          <w:rFonts w:hint="eastAsia" w:ascii="仿宋" w:hAnsi="仿宋" w:eastAsia="仿宋"/>
          <w:sz w:val="32"/>
        </w:rPr>
        <w:t>（1）</w:t>
      </w:r>
      <w:r>
        <w:rPr>
          <w:rFonts w:eastAsia="Times New Roman"/>
          <w:b/>
          <w:sz w:val="32"/>
        </w:rPr>
        <w:t>“</w:t>
      </w:r>
      <w:r>
        <w:rPr>
          <w:rFonts w:hint="eastAsia" w:ascii="仿宋" w:hAnsi="仿宋" w:eastAsia="仿宋"/>
          <w:sz w:val="32"/>
        </w:rPr>
        <w:t>三公</w:t>
      </w:r>
      <w:r>
        <w:rPr>
          <w:rFonts w:eastAsia="Times New Roman"/>
          <w:b/>
          <w:sz w:val="32"/>
        </w:rPr>
        <w:t>”</w:t>
      </w:r>
      <w:r>
        <w:rPr>
          <w:rFonts w:hint="eastAsia" w:ascii="仿宋" w:hAnsi="仿宋" w:eastAsia="仿宋"/>
          <w:sz w:val="32"/>
        </w:rPr>
        <w:t>经费支出情况：2021年，</w:t>
      </w:r>
      <w:r>
        <w:rPr>
          <w:rFonts w:eastAsia="Times New Roman"/>
          <w:sz w:val="32"/>
        </w:rPr>
        <w:t>“</w:t>
      </w:r>
      <w:r>
        <w:rPr>
          <w:rFonts w:hint="eastAsia" w:ascii="仿宋" w:hAnsi="仿宋" w:eastAsia="仿宋"/>
          <w:sz w:val="32"/>
        </w:rPr>
        <w:t>三公</w:t>
      </w:r>
      <w:r>
        <w:rPr>
          <w:rFonts w:eastAsia="Times New Roman"/>
          <w:sz w:val="32"/>
        </w:rPr>
        <w:t>”</w:t>
      </w:r>
      <w:r>
        <w:rPr>
          <w:rFonts w:hint="eastAsia" w:ascii="仿宋" w:hAnsi="仿宋" w:eastAsia="仿宋"/>
          <w:sz w:val="32"/>
        </w:rPr>
        <w:t>经费完成8527元，</w:t>
      </w:r>
      <w:r>
        <w:rPr>
          <w:rFonts w:hint="eastAsia" w:ascii="仿宋" w:hAnsi="仿宋" w:eastAsia="仿宋"/>
          <w:sz w:val="32"/>
          <w:lang w:val="zh-CN"/>
        </w:rPr>
        <w:t>其中：</w:t>
      </w:r>
      <w:r>
        <w:rPr>
          <w:rFonts w:hint="eastAsia" w:ascii="仿宋" w:hAnsi="仿宋" w:eastAsia="仿宋"/>
          <w:b/>
          <w:sz w:val="32"/>
          <w:lang w:val="zh-CN"/>
        </w:rPr>
        <w:t>因公出国（境）费</w:t>
      </w:r>
      <w:r>
        <w:rPr>
          <w:rFonts w:hint="eastAsia" w:ascii="仿宋" w:hAnsi="仿宋" w:eastAsia="仿宋"/>
          <w:sz w:val="32"/>
        </w:rPr>
        <w:t>完成0元，</w:t>
      </w:r>
      <w:r>
        <w:rPr>
          <w:rFonts w:hint="eastAsia" w:ascii="仿宋" w:hAnsi="仿宋" w:eastAsia="仿宋"/>
          <w:b/>
          <w:sz w:val="32"/>
          <w:lang w:val="zh-CN"/>
        </w:rPr>
        <w:t>公务接待费</w:t>
      </w:r>
      <w:r>
        <w:rPr>
          <w:rFonts w:hint="eastAsia" w:ascii="仿宋" w:hAnsi="仿宋" w:eastAsia="仿宋"/>
          <w:sz w:val="32"/>
        </w:rPr>
        <w:t>完成8527元，</w:t>
      </w:r>
      <w:r>
        <w:rPr>
          <w:rFonts w:hint="eastAsia" w:ascii="仿宋" w:hAnsi="仿宋" w:eastAsia="仿宋"/>
          <w:b/>
          <w:sz w:val="32"/>
          <w:lang w:val="zh-CN"/>
        </w:rPr>
        <w:t>公务用车购置及运行维护费</w:t>
      </w:r>
      <w:r>
        <w:rPr>
          <w:rFonts w:hint="eastAsia" w:ascii="仿宋" w:hAnsi="仿宋" w:eastAsia="仿宋"/>
          <w:sz w:val="32"/>
        </w:rPr>
        <w:t>完成0元。2020年，</w:t>
      </w:r>
      <w:r>
        <w:rPr>
          <w:rFonts w:eastAsia="Times New Roman"/>
          <w:sz w:val="32"/>
        </w:rPr>
        <w:t>“</w:t>
      </w:r>
      <w:r>
        <w:rPr>
          <w:rFonts w:hint="eastAsia" w:ascii="仿宋" w:hAnsi="仿宋" w:eastAsia="仿宋"/>
          <w:sz w:val="32"/>
        </w:rPr>
        <w:t>三公</w:t>
      </w:r>
      <w:r>
        <w:rPr>
          <w:rFonts w:eastAsia="Times New Roman"/>
          <w:sz w:val="32"/>
        </w:rPr>
        <w:t>”</w:t>
      </w:r>
      <w:r>
        <w:rPr>
          <w:rFonts w:hint="eastAsia" w:ascii="仿宋" w:hAnsi="仿宋" w:eastAsia="仿宋"/>
          <w:sz w:val="32"/>
        </w:rPr>
        <w:t>经费完成8,866元，</w:t>
      </w:r>
      <w:r>
        <w:rPr>
          <w:rFonts w:hint="eastAsia" w:ascii="仿宋" w:hAnsi="仿宋" w:eastAsia="仿宋"/>
          <w:sz w:val="32"/>
          <w:lang w:val="zh-CN"/>
        </w:rPr>
        <w:t>其中：</w:t>
      </w:r>
      <w:r>
        <w:rPr>
          <w:rFonts w:hint="eastAsia" w:ascii="仿宋" w:hAnsi="仿宋" w:eastAsia="仿宋"/>
          <w:b/>
          <w:sz w:val="32"/>
          <w:lang w:val="zh-CN"/>
        </w:rPr>
        <w:t>因公出国（境）费</w:t>
      </w:r>
      <w:r>
        <w:rPr>
          <w:rFonts w:hint="eastAsia" w:ascii="仿宋" w:hAnsi="仿宋" w:eastAsia="仿宋"/>
          <w:sz w:val="32"/>
        </w:rPr>
        <w:t>完成0元，</w:t>
      </w:r>
      <w:r>
        <w:rPr>
          <w:rFonts w:hint="eastAsia" w:ascii="仿宋" w:hAnsi="仿宋" w:eastAsia="仿宋"/>
          <w:b/>
          <w:sz w:val="32"/>
          <w:lang w:val="zh-CN"/>
        </w:rPr>
        <w:t>公务接待费</w:t>
      </w:r>
      <w:r>
        <w:rPr>
          <w:rFonts w:hint="eastAsia" w:ascii="仿宋" w:hAnsi="仿宋" w:eastAsia="仿宋"/>
          <w:sz w:val="32"/>
        </w:rPr>
        <w:t>完成8,866元，</w:t>
      </w:r>
      <w:r>
        <w:rPr>
          <w:rFonts w:hint="eastAsia" w:ascii="仿宋" w:hAnsi="仿宋" w:eastAsia="仿宋"/>
          <w:b/>
          <w:sz w:val="32"/>
          <w:lang w:val="zh-CN"/>
        </w:rPr>
        <w:t>公务用车购置及运行维护费</w:t>
      </w:r>
      <w:r>
        <w:rPr>
          <w:rFonts w:hint="eastAsia" w:ascii="仿宋" w:hAnsi="仿宋" w:eastAsia="仿宋"/>
          <w:sz w:val="32"/>
        </w:rPr>
        <w:t>完成0元。本年</w:t>
      </w:r>
      <w:r>
        <w:rPr>
          <w:rFonts w:eastAsia="Times New Roman"/>
          <w:b/>
          <w:sz w:val="32"/>
        </w:rPr>
        <w:t>“</w:t>
      </w:r>
      <w:r>
        <w:rPr>
          <w:rFonts w:hint="eastAsia" w:ascii="仿宋" w:hAnsi="仿宋" w:eastAsia="仿宋"/>
          <w:sz w:val="32"/>
        </w:rPr>
        <w:t>三公</w:t>
      </w:r>
      <w:r>
        <w:rPr>
          <w:rFonts w:eastAsia="Times New Roman"/>
          <w:b/>
          <w:sz w:val="32"/>
        </w:rPr>
        <w:t>”</w:t>
      </w:r>
      <w:r>
        <w:rPr>
          <w:rFonts w:hint="eastAsia" w:ascii="仿宋" w:hAnsi="仿宋" w:eastAsia="仿宋"/>
          <w:sz w:val="32"/>
        </w:rPr>
        <w:t>经费支出比上年度减少339元，下降3.82%。主要原因是加强财务制度建设，严格控制“三公”经费的支出。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（2）会议费支出情况：可进行上下年对比,人均支出情况分析（可做表、柱图、折线图）。</w:t>
      </w:r>
    </w:p>
    <w:p>
      <w:pPr>
        <w:snapToGrid w:val="0"/>
        <w:spacing w:line="520" w:lineRule="exact"/>
        <w:ind w:firstLine="640" w:firstLineChars="200"/>
        <w:rPr>
          <w:rFonts w:ascii="仿宋" w:hAnsi="仿宋" w:eastAsia="仿宋"/>
          <w:sz w:val="32"/>
        </w:rPr>
      </w:pPr>
      <w:r>
        <w:rPr>
          <w:rFonts w:hint="eastAsia" w:ascii="仿宋" w:hAnsi="仿宋" w:eastAsia="仿宋"/>
          <w:sz w:val="32"/>
        </w:rPr>
        <w:t>2021年会议费完成</w:t>
      </w:r>
      <w:r>
        <w:rPr>
          <w:rFonts w:hint="eastAsia" w:ascii="仿宋" w:hAnsi="仿宋" w:eastAsia="仿宋"/>
          <w:sz w:val="28"/>
        </w:rPr>
        <w:t>0</w:t>
      </w:r>
      <w:r>
        <w:rPr>
          <w:rFonts w:hint="eastAsia" w:ascii="仿宋" w:hAnsi="仿宋" w:eastAsia="仿宋"/>
          <w:sz w:val="32"/>
        </w:rPr>
        <w:t>元；2020年会议费完成</w:t>
      </w:r>
      <w:r>
        <w:rPr>
          <w:rFonts w:hint="eastAsia" w:ascii="仿宋" w:hAnsi="仿宋" w:eastAsia="仿宋"/>
          <w:sz w:val="28"/>
        </w:rPr>
        <w:t>0</w:t>
      </w:r>
      <w:r>
        <w:rPr>
          <w:rFonts w:hint="eastAsia" w:ascii="仿宋" w:hAnsi="仿宋" w:eastAsia="仿宋"/>
          <w:sz w:val="32"/>
        </w:rPr>
        <w:t>元。本年会议费支出较上年度无增减情况。</w:t>
      </w:r>
    </w:p>
    <w:p>
      <w:pPr>
        <w:numPr>
          <w:ilvl w:val="0"/>
          <w:numId w:val="2"/>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培训费支出情况：可进行上下年对比，人均支出情况分析（可做表、柱图、折线图）。</w:t>
      </w:r>
    </w:p>
    <w:p>
      <w:pPr>
        <w:snapToGrid w:val="0"/>
        <w:spacing w:line="520" w:lineRule="exact"/>
        <w:ind w:firstLine="640" w:firstLineChars="200"/>
        <w:rPr>
          <w:rFonts w:ascii="仿宋" w:hAnsi="仿宋" w:eastAsia="仿宋"/>
          <w:sz w:val="32"/>
        </w:rPr>
      </w:pPr>
      <w:r>
        <w:rPr>
          <w:rFonts w:hint="eastAsia" w:ascii="仿宋" w:hAnsi="仿宋" w:eastAsia="仿宋"/>
          <w:sz w:val="32"/>
        </w:rPr>
        <w:t>2021年培训费支出7446.48元，2020年培训费完成</w:t>
      </w:r>
      <w:r>
        <w:rPr>
          <w:rFonts w:hint="eastAsia" w:ascii="仿宋" w:hAnsi="仿宋" w:eastAsia="仿宋"/>
          <w:sz w:val="28"/>
        </w:rPr>
        <w:t>2458.54</w:t>
      </w:r>
      <w:r>
        <w:rPr>
          <w:rFonts w:hint="eastAsia" w:ascii="仿宋" w:hAnsi="仿宋" w:eastAsia="仿宋"/>
          <w:sz w:val="32"/>
        </w:rPr>
        <w:t>元，本年培训费支出较上年度增加4987.94元，增长202.88%。主要原因是注重人员业务能力提升，专业培训次数有所增加。</w:t>
      </w:r>
    </w:p>
    <w:p>
      <w:pPr>
        <w:numPr>
          <w:ilvl w:val="0"/>
          <w:numId w:val="2"/>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其他对单位影响较大的支出情况。</w:t>
      </w:r>
    </w:p>
    <w:p>
      <w:pPr>
        <w:snapToGrid w:val="0"/>
        <w:spacing w:line="520" w:lineRule="exact"/>
        <w:ind w:firstLine="960" w:firstLineChars="300"/>
        <w:rPr>
          <w:rFonts w:ascii="仿宋_GB2312" w:hAnsi="仿宋" w:eastAsia="仿宋_GB2312"/>
          <w:sz w:val="32"/>
          <w:szCs w:val="32"/>
        </w:rPr>
      </w:pPr>
      <w:r>
        <w:rPr>
          <w:rFonts w:hint="eastAsia" w:ascii="仿宋_GB2312" w:hAnsi="仿宋" w:eastAsia="仿宋_GB2312"/>
          <w:sz w:val="32"/>
          <w:szCs w:val="32"/>
        </w:rPr>
        <w:t>无</w:t>
      </w:r>
    </w:p>
    <w:p>
      <w:pPr>
        <w:numPr>
          <w:ilvl w:val="0"/>
          <w:numId w:val="2"/>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重点经济分类支出中存在的问题及改进措施。</w:t>
      </w:r>
    </w:p>
    <w:p>
      <w:pPr>
        <w:snapToGrid w:val="0"/>
        <w:spacing w:line="520" w:lineRule="exact"/>
        <w:ind w:left="420" w:leftChars="200" w:firstLine="640" w:firstLineChars="200"/>
        <w:rPr>
          <w:rFonts w:ascii="仿宋_GB2312" w:hAnsi="仿宋" w:eastAsia="仿宋_GB2312"/>
          <w:sz w:val="32"/>
          <w:szCs w:val="32"/>
        </w:rPr>
      </w:pPr>
      <w:r>
        <w:rPr>
          <w:rFonts w:hint="eastAsia" w:ascii="仿宋_GB2312" w:hAnsi="仿宋" w:eastAsia="仿宋_GB2312"/>
          <w:sz w:val="32"/>
          <w:szCs w:val="32"/>
        </w:rPr>
        <w:t>无</w:t>
      </w:r>
    </w:p>
    <w:p>
      <w:pPr>
        <w:snapToGrid w:val="0"/>
        <w:spacing w:line="520" w:lineRule="exact"/>
        <w:ind w:left="420" w:leftChars="200"/>
        <w:rPr>
          <w:rFonts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根据报表项目分析财政拨款收入、支出情况，支出要按照基本支出和项目支出分析具体构成及特点。</w:t>
      </w:r>
    </w:p>
    <w:p>
      <w:pPr>
        <w:autoSpaceDE w:val="0"/>
        <w:autoSpaceDN w:val="0"/>
        <w:adjustRightInd w:val="0"/>
        <w:spacing w:line="520" w:lineRule="exact"/>
        <w:ind w:left="643" w:firstLine="320" w:firstLineChars="100"/>
        <w:rPr>
          <w:rFonts w:ascii="仿宋" w:eastAsia="仿宋"/>
          <w:sz w:val="32"/>
        </w:rPr>
      </w:pPr>
      <w:r>
        <w:rPr>
          <w:rFonts w:hint="eastAsia" w:ascii="仿宋" w:eastAsia="仿宋"/>
          <w:sz w:val="32"/>
        </w:rPr>
        <w:t>财政拨款收入689.19万元，财政拨款支出1512.80万元，其中：基本支出593.08万元（含人员经费537.74万元，日常公用经费55.34万元），项目支出919.73万元。</w:t>
      </w:r>
    </w:p>
    <w:p>
      <w:pPr>
        <w:autoSpaceDE w:val="0"/>
        <w:autoSpaceDN w:val="0"/>
        <w:adjustRightInd w:val="0"/>
        <w:spacing w:line="520" w:lineRule="exact"/>
        <w:ind w:left="643" w:firstLine="320" w:firstLineChars="100"/>
        <w:rPr>
          <w:rFonts w:ascii="仿宋" w:eastAsia="仿宋"/>
          <w:sz w:val="32"/>
        </w:rPr>
      </w:pPr>
    </w:p>
    <w:p>
      <w:pPr>
        <w:numPr>
          <w:ilvl w:val="0"/>
          <w:numId w:val="3"/>
        </w:num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非财政拨款收入分析。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根据报表项目分析非财政拨款收入情况，按照事业收入、经营收入和其他收入等分析具体构成和特点。</w:t>
      </w:r>
    </w:p>
    <w:p>
      <w:pPr>
        <w:autoSpaceDE w:val="0"/>
        <w:autoSpaceDN w:val="0"/>
        <w:adjustRightInd w:val="0"/>
        <w:spacing w:line="520" w:lineRule="exact"/>
        <w:ind w:left="643" w:firstLine="320" w:firstLineChars="100"/>
        <w:rPr>
          <w:rFonts w:ascii="仿宋" w:eastAsia="仿宋"/>
          <w:sz w:val="32"/>
        </w:rPr>
      </w:pPr>
      <w:r>
        <w:rPr>
          <w:rFonts w:hint="eastAsia" w:ascii="仿宋" w:eastAsia="仿宋"/>
          <w:sz w:val="32"/>
        </w:rPr>
        <w:t>非财政拨款收入471.06万元，非财政拨款支出485.36万元，其中：基本支出324.97万元，项目支出160.39万元。</w:t>
      </w:r>
    </w:p>
    <w:p>
      <w:pPr>
        <w:autoSpaceDE w:val="0"/>
        <w:autoSpaceDN w:val="0"/>
        <w:adjustRightInd w:val="0"/>
        <w:spacing w:line="520" w:lineRule="exact"/>
        <w:ind w:left="643" w:firstLine="320" w:firstLineChars="100"/>
        <w:rPr>
          <w:rFonts w:ascii="仿宋" w:eastAsia="仿宋"/>
          <w:sz w:val="32"/>
        </w:rPr>
      </w:pPr>
    </w:p>
    <w:p>
      <w:pPr>
        <w:snapToGrid w:val="0"/>
        <w:spacing w:line="520" w:lineRule="exact"/>
        <w:ind w:firstLine="643" w:firstLineChars="200"/>
        <w:rPr>
          <w:rFonts w:ascii="楷体_GB2312" w:hAnsi="仿宋" w:eastAsia="楷体_GB2312"/>
          <w:b/>
          <w:sz w:val="32"/>
          <w:szCs w:val="32"/>
        </w:rPr>
      </w:pP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1．根据报表项目分财政拨款结转结余和非财政拨款结转结余分析年末结转结余总体情况。按照资金来源、资金性质分析，特别是项目经费结转和结余情况。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2021年度无财政拨款结转结余和非财政拨款结转结余。</w:t>
      </w:r>
    </w:p>
    <w:p>
      <w:pPr>
        <w:numPr>
          <w:ilvl w:val="0"/>
          <w:numId w:val="4"/>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消化结转和结余的对策。</w:t>
      </w:r>
    </w:p>
    <w:p>
      <w:pPr>
        <w:snapToGrid w:val="0"/>
        <w:spacing w:line="520" w:lineRule="exact"/>
        <w:rPr>
          <w:rFonts w:ascii="仿宋_GB2312" w:hAnsi="仿宋" w:eastAsia="仿宋_GB2312"/>
          <w:sz w:val="32"/>
          <w:szCs w:val="32"/>
        </w:rPr>
      </w:pPr>
      <w:r>
        <w:rPr>
          <w:rFonts w:hint="eastAsia" w:ascii="仿宋_GB2312" w:hAnsi="仿宋" w:eastAsia="仿宋_GB2312"/>
          <w:sz w:val="32"/>
          <w:szCs w:val="32"/>
        </w:rPr>
        <w:t xml:space="preserve">    无</w:t>
      </w:r>
    </w:p>
    <w:p>
      <w:pPr>
        <w:snapToGrid w:val="0"/>
        <w:spacing w:line="520" w:lineRule="exact"/>
        <w:ind w:firstLine="643" w:firstLineChars="200"/>
        <w:rPr>
          <w:rFonts w:ascii="楷体_GB2312" w:hAnsi="仿宋" w:eastAsia="楷体_GB2312"/>
          <w:b/>
          <w:sz w:val="32"/>
          <w:szCs w:val="32"/>
        </w:rPr>
      </w:pPr>
      <w:bookmarkStart w:id="2" w:name="YS060103"/>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对资产、负债信息进行分析，主要分析与上年度对比情况，包括增减绝对值与幅度，增减变动主要原因。</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资产类：固定资产及无形资产原值576.35万元，累计折旧293.98万元，净值为282.36万元。较上年度固定资产及无形资产原值540.86万元，增加35.49万元，增长6.56%。</w:t>
      </w:r>
    </w:p>
    <w:p>
      <w:pPr>
        <w:snapToGrid w:val="0"/>
        <w:spacing w:line="520" w:lineRule="exact"/>
        <w:rPr>
          <w:rFonts w:ascii="仿宋_GB2312" w:hAnsi="仿宋" w:eastAsia="仿宋_GB2312"/>
          <w:sz w:val="32"/>
          <w:szCs w:val="32"/>
        </w:rPr>
      </w:pPr>
      <w:r>
        <w:rPr>
          <w:rFonts w:hint="eastAsia" w:ascii="仿宋_GB2312" w:hAnsi="仿宋" w:eastAsia="仿宋_GB2312"/>
          <w:sz w:val="32"/>
          <w:szCs w:val="32"/>
        </w:rPr>
        <w:t>增减变动主要原因为办公需要购入。</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1.概述项目绩效目标完成情况。</w:t>
      </w:r>
    </w:p>
    <w:p>
      <w:pPr>
        <w:pStyle w:val="6"/>
        <w:shd w:val="clear" w:color="auto" w:fill="FFFFFF"/>
        <w:spacing w:beforeAutospacing="0" w:afterAutospacing="0" w:line="33" w:lineRule="atLeast"/>
        <w:ind w:firstLine="420"/>
        <w:jc w:val="both"/>
        <w:rPr>
          <w:rFonts w:ascii="仿宋_GB2312" w:hAnsi="仿宋_GB2312" w:eastAsia="仿宋_GB2312"/>
          <w:sz w:val="32"/>
        </w:rPr>
      </w:pPr>
      <w:r>
        <w:rPr>
          <w:rFonts w:hint="eastAsia" w:ascii="仿宋_GB2312" w:hAnsi="仿宋_GB2312" w:eastAsia="仿宋_GB2312"/>
          <w:sz w:val="32"/>
        </w:rPr>
        <w:t>根据预算绩效管理要求，益阳市资阳区自然资源局组织对 2021年度一般公共预算项目支出全面开展绩效自评，从评价情况来看，项目立项程序完整、规范，预算执行及时、有效，为上级有关部门决策提供了较为有力的支撑，绩效目标得到较好实现，绩效管理水平不断提高。</w:t>
      </w:r>
    </w:p>
    <w:p>
      <w:pPr>
        <w:pStyle w:val="6"/>
        <w:shd w:val="clear" w:color="auto" w:fill="FFFFFF"/>
        <w:spacing w:beforeAutospacing="0" w:afterAutospacing="0" w:line="33" w:lineRule="atLeast"/>
        <w:ind w:firstLine="420"/>
        <w:jc w:val="both"/>
        <w:rPr>
          <w:rFonts w:ascii="仿宋_GB2312" w:hAnsi="仿宋_GB2312" w:eastAsia="仿宋_GB2312"/>
          <w:sz w:val="32"/>
        </w:rPr>
      </w:pPr>
    </w:p>
    <w:p>
      <w:pPr>
        <w:numPr>
          <w:ilvl w:val="0"/>
          <w:numId w:val="4"/>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概述本单位整体支出绩效目标实现情况（如有）。</w:t>
      </w:r>
    </w:p>
    <w:p>
      <w:pPr>
        <w:spacing w:line="520" w:lineRule="exact"/>
        <w:ind w:firstLine="320" w:firstLineChars="100"/>
        <w:rPr>
          <w:rFonts w:ascii="仿宋_GB2312" w:hAnsi="仿宋_GB2312" w:eastAsia="仿宋_GB2312"/>
          <w:sz w:val="32"/>
        </w:rPr>
      </w:pPr>
      <w:r>
        <w:rPr>
          <w:rFonts w:hint="eastAsia" w:ascii="仿宋_GB2312" w:hAnsi="仿宋_GB2312" w:eastAsia="仿宋_GB2312"/>
          <w:sz w:val="32"/>
        </w:rPr>
        <w:t>通过项目实施，保障自然资源保护和利用的顺利开展。发现的主要问题：个别绩效目标年度指标值设置偏低。下一步改进措施：设置更加科学的绩效指标，充分反映实际工作情况。</w:t>
      </w:r>
    </w:p>
    <w:p>
      <w:pPr>
        <w:snapToGrid w:val="0"/>
        <w:spacing w:line="520" w:lineRule="exact"/>
        <w:ind w:left="420" w:leftChars="200"/>
        <w:rPr>
          <w:rFonts w:ascii="仿宋_GB2312" w:hAnsi="仿宋" w:eastAsia="仿宋_GB2312"/>
          <w:sz w:val="32"/>
          <w:szCs w:val="32"/>
        </w:rPr>
      </w:pPr>
    </w:p>
    <w:bookmarkEnd w:id="2"/>
    <w:p>
      <w:pPr>
        <w:snapToGrid w:val="0"/>
        <w:spacing w:line="520" w:lineRule="exact"/>
        <w:ind w:firstLine="640" w:firstLineChars="200"/>
        <w:rPr>
          <w:rFonts w:ascii="黑体" w:hAnsi="黑体" w:eastAsia="黑体"/>
          <w:sz w:val="32"/>
          <w:szCs w:val="32"/>
        </w:rPr>
      </w:pPr>
      <w:bookmarkStart w:id="3" w:name="YS060104"/>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五、本年度部门决算等财务工作开展情况</w:t>
      </w:r>
    </w:p>
    <w:bookmarkEnd w:id="3"/>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snapToGrid w:val="0"/>
        <w:spacing w:line="520" w:lineRule="exact"/>
        <w:ind w:firstLine="537" w:firstLineChars="168"/>
        <w:rPr>
          <w:rFonts w:ascii="仿宋" w:hAnsi="仿宋" w:eastAsia="仿宋"/>
          <w:sz w:val="32"/>
        </w:rPr>
      </w:pPr>
      <w:r>
        <w:rPr>
          <w:rFonts w:hint="eastAsia" w:ascii="仿宋" w:hAnsi="仿宋" w:eastAsia="仿宋"/>
          <w:sz w:val="32"/>
        </w:rPr>
        <w:t>2021年,我局工作严格执行国家财经政策和财经纪律，加强内部财务管理和内部控制，按时编制会计报表及决算报表并按规定时间上报，采用会计电算化手段科学进行会计核算，及时提供会计信息，为上级部门和单位领导决策提供依据。同时不断规范和完善财务管理，提高资金使用效率。进一步加强固定资产专项管理，对全院各科室的固定资产进行全面清查，为各科室重新建立固定资产台账，确保账账相符，账卡相符，账实相符。</w:t>
      </w:r>
    </w:p>
    <w:p>
      <w:pPr>
        <w:snapToGrid w:val="0"/>
        <w:spacing w:line="520" w:lineRule="exact"/>
        <w:ind w:firstLine="537" w:firstLineChars="168"/>
        <w:rPr>
          <w:rFonts w:ascii="仿宋_GB2312" w:hAnsi="仿宋" w:eastAsia="仿宋_GB2312"/>
          <w:sz w:val="28"/>
        </w:rPr>
      </w:pPr>
      <w:r>
        <w:rPr>
          <w:rFonts w:hint="eastAsia" w:ascii="仿宋" w:hAnsi="仿宋" w:eastAsia="仿宋"/>
          <w:sz w:val="32"/>
        </w:rPr>
        <w:t>根据市财政部门的要求，我局把部门决算工作落实到人，明确分工，做好前期数据核对及报表填报辅助性工作，在填制报表过程中财务遵循如下原则：一是报表数据与帐面进行核对；二是收支结转数与财政支付系统的核对；三是单位执行会计制度与决算封面的核对；四是资产与实物之间的核对。做好决算编制后的分析报告，及时完成报表审核上报工作。</w:t>
      </w:r>
    </w:p>
    <w:p>
      <w:pPr>
        <w:numPr>
          <w:ilvl w:val="0"/>
          <w:numId w:val="5"/>
        </w:num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本单位决算及绩效信息公开工作开展情况。</w:t>
      </w:r>
    </w:p>
    <w:p>
      <w:pPr>
        <w:snapToGrid w:val="0"/>
        <w:spacing w:line="520" w:lineRule="exact"/>
        <w:ind w:firstLine="537" w:firstLineChars="168"/>
        <w:rPr>
          <w:rFonts w:ascii="仿宋_GB2312" w:hAnsi="仿宋" w:eastAsia="仿宋_GB2312"/>
          <w:sz w:val="32"/>
          <w:szCs w:val="32"/>
        </w:rPr>
      </w:pPr>
      <w:r>
        <w:rPr>
          <w:rFonts w:hint="eastAsia" w:ascii="仿宋" w:hAnsi="仿宋" w:eastAsia="仿宋"/>
          <w:sz w:val="32"/>
        </w:rPr>
        <w:t>决算批复下达后，我单位严格按照资阳财政局的规定进行财务决算信息相关内容的公开。</w:t>
      </w:r>
    </w:p>
    <w:p>
      <w:pPr>
        <w:numPr>
          <w:ilvl w:val="0"/>
          <w:numId w:val="5"/>
        </w:numPr>
        <w:snapToGrid w:val="0"/>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对部门决算管理工作的意见和建议。</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.自行增加的审核公式和模板，请说明设置依据。</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2.对</w:t>
      </w:r>
      <w:r>
        <w:rPr>
          <w:rFonts w:ascii="仿宋_GB2312" w:hAnsi="仿宋" w:eastAsia="仿宋_GB2312" w:cs="仿宋"/>
          <w:color w:val="000000"/>
          <w:sz w:val="32"/>
          <w:szCs w:val="32"/>
        </w:rPr>
        <w:t>部门决算</w:t>
      </w:r>
      <w:r>
        <w:rPr>
          <w:rFonts w:hint="eastAsia" w:ascii="仿宋_GB2312" w:hAnsi="仿宋" w:eastAsia="仿宋_GB2312" w:cs="仿宋"/>
          <w:color w:val="000000"/>
          <w:sz w:val="32"/>
          <w:szCs w:val="32"/>
        </w:rPr>
        <w:t>报表修订</w:t>
      </w:r>
      <w:r>
        <w:rPr>
          <w:rFonts w:ascii="仿宋_GB2312" w:hAnsi="仿宋" w:eastAsia="仿宋_GB2312" w:cs="仿宋"/>
          <w:color w:val="000000"/>
          <w:sz w:val="32"/>
          <w:szCs w:val="32"/>
        </w:rPr>
        <w:t>设计</w:t>
      </w:r>
      <w:r>
        <w:rPr>
          <w:rFonts w:hint="eastAsia" w:ascii="仿宋_GB2312" w:hAnsi="仿宋" w:eastAsia="仿宋_GB2312" w:cs="仿宋"/>
          <w:color w:val="000000"/>
          <w:sz w:val="32"/>
          <w:szCs w:val="32"/>
        </w:rPr>
        <w:t>的</w:t>
      </w:r>
      <w:r>
        <w:rPr>
          <w:rFonts w:ascii="仿宋_GB2312" w:hAnsi="仿宋" w:eastAsia="仿宋_GB2312" w:cs="仿宋"/>
          <w:color w:val="000000"/>
          <w:sz w:val="32"/>
          <w:szCs w:val="32"/>
        </w:rPr>
        <w:t>意见和建议，包括</w:t>
      </w:r>
      <w:r>
        <w:rPr>
          <w:rFonts w:hint="eastAsia" w:ascii="仿宋_GB2312" w:hAnsi="仿宋" w:eastAsia="仿宋_GB2312" w:cs="仿宋"/>
          <w:color w:val="000000"/>
          <w:sz w:val="32"/>
          <w:szCs w:val="32"/>
        </w:rPr>
        <w:t>表样</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指标设置、软件</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审核公式、模板和</w:t>
      </w:r>
      <w:r>
        <w:rPr>
          <w:rFonts w:ascii="仿宋_GB2312" w:hAnsi="仿宋" w:eastAsia="仿宋_GB2312" w:cs="仿宋"/>
          <w:color w:val="000000"/>
          <w:sz w:val="32"/>
          <w:szCs w:val="32"/>
        </w:rPr>
        <w:t>编</w:t>
      </w:r>
      <w:r>
        <w:rPr>
          <w:rFonts w:hint="eastAsia" w:ascii="仿宋_GB2312" w:hAnsi="仿宋" w:eastAsia="仿宋_GB2312" w:cs="仿宋"/>
          <w:color w:val="000000"/>
          <w:sz w:val="32"/>
          <w:szCs w:val="32"/>
        </w:rPr>
        <w:t>审</w:t>
      </w:r>
      <w:r>
        <w:rPr>
          <w:rFonts w:ascii="仿宋_GB2312" w:hAnsi="仿宋" w:eastAsia="仿宋_GB2312" w:cs="仿宋"/>
          <w:color w:val="000000"/>
          <w:sz w:val="32"/>
          <w:szCs w:val="32"/>
        </w:rPr>
        <w:t>问答</w:t>
      </w:r>
      <w:r>
        <w:rPr>
          <w:rFonts w:hint="eastAsia" w:ascii="仿宋_GB2312" w:hAnsi="仿宋" w:eastAsia="仿宋_GB2312" w:cs="仿宋"/>
          <w:color w:val="000000"/>
          <w:sz w:val="32"/>
          <w:szCs w:val="32"/>
        </w:rPr>
        <w:t>等，请列出并说明修改意见。</w:t>
      </w:r>
    </w:p>
    <w:p>
      <w:pPr>
        <w:snapToGrid w:val="0"/>
        <w:spacing w:line="520" w:lineRule="exact"/>
        <w:ind w:firstLine="537" w:firstLineChars="168"/>
        <w:rPr>
          <w:rFonts w:ascii="仿宋" w:hAnsi="仿宋" w:eastAsia="仿宋"/>
          <w:sz w:val="32"/>
        </w:rPr>
      </w:pPr>
      <w:r>
        <w:rPr>
          <w:rFonts w:hint="eastAsia" w:ascii="仿宋" w:hAnsi="仿宋" w:eastAsia="仿宋"/>
          <w:sz w:val="32"/>
        </w:rPr>
        <w:t>为适应当前行政事业单位财务管理的需要，财务人员要积极学习新的财务知识和财经法规，做好日常会计基础核算工作和编制前期各项工作。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仿宋"/>
          <w:color w:val="000000"/>
          <w:sz w:val="32"/>
          <w:szCs w:val="32"/>
        </w:rPr>
        <w:t>3.对部门决算其他管理</w:t>
      </w:r>
      <w:r>
        <w:rPr>
          <w:rFonts w:ascii="仿宋_GB2312" w:hAnsi="仿宋" w:eastAsia="仿宋_GB2312" w:cs="仿宋"/>
          <w:color w:val="000000"/>
          <w:sz w:val="32"/>
          <w:szCs w:val="32"/>
        </w:rPr>
        <w:t>工作</w:t>
      </w:r>
      <w:r>
        <w:rPr>
          <w:rFonts w:hint="eastAsia" w:ascii="仿宋_GB2312" w:hAnsi="仿宋" w:eastAsia="仿宋_GB2312" w:cs="仿宋"/>
          <w:color w:val="000000"/>
          <w:sz w:val="32"/>
          <w:szCs w:val="32"/>
        </w:rPr>
        <w:t>的建议。例如对加强部门决算数据分析利用工作、部门决算信息化建设等建议。</w:t>
      </w:r>
    </w:p>
    <w:p>
      <w:pPr>
        <w:snapToGrid w:val="0"/>
        <w:spacing w:line="520" w:lineRule="exact"/>
        <w:ind w:firstLine="537" w:firstLineChars="168"/>
        <w:rPr>
          <w:rFonts w:ascii="仿宋" w:hAnsi="仿宋" w:eastAsia="仿宋"/>
          <w:sz w:val="32"/>
        </w:rPr>
      </w:pPr>
      <w:r>
        <w:rPr>
          <w:rFonts w:hint="eastAsia" w:ascii="仿宋" w:hAnsi="仿宋" w:eastAsia="仿宋"/>
          <w:sz w:val="32"/>
        </w:rPr>
        <w:t>建议资阳财政加大财务培训力度 ，提高会计人员的文字功底，加强对现成的决算数据的分析能力，加强对单位的财务收支状况和资金使用情况的分析能力，并在此基础上进行认真归纳和总结，不断探索，撰写出符合要求的高质量决算分析报告。</w:t>
      </w:r>
    </w:p>
    <w:p>
      <w:pPr>
        <w:pStyle w:val="2"/>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542BF"/>
    <w:multiLevelType w:val="singleLevel"/>
    <w:tmpl w:val="ED9542BF"/>
    <w:lvl w:ilvl="0" w:tentative="0">
      <w:start w:val="2"/>
      <w:numFmt w:val="decimal"/>
      <w:suff w:val="nothing"/>
      <w:lvlText w:val="%1．"/>
      <w:lvlJc w:val="left"/>
    </w:lvl>
  </w:abstractNum>
  <w:abstractNum w:abstractNumId="1">
    <w:nsid w:val="EDAF3DB1"/>
    <w:multiLevelType w:val="singleLevel"/>
    <w:tmpl w:val="EDAF3DB1"/>
    <w:lvl w:ilvl="0" w:tentative="0">
      <w:start w:val="2"/>
      <w:numFmt w:val="chineseCounting"/>
      <w:suff w:val="nothing"/>
      <w:lvlText w:val="（%1）"/>
      <w:lvlJc w:val="left"/>
      <w:rPr>
        <w:rFonts w:hint="eastAsia"/>
      </w:rPr>
    </w:lvl>
  </w:abstractNum>
  <w:abstractNum w:abstractNumId="2">
    <w:nsid w:val="35032ED8"/>
    <w:multiLevelType w:val="singleLevel"/>
    <w:tmpl w:val="35032ED8"/>
    <w:lvl w:ilvl="0" w:tentative="0">
      <w:start w:val="5"/>
      <w:numFmt w:val="decimal"/>
      <w:lvlText w:val="%1."/>
      <w:lvlJc w:val="left"/>
      <w:pPr>
        <w:tabs>
          <w:tab w:val="left" w:pos="312"/>
        </w:tabs>
      </w:pPr>
    </w:lvl>
  </w:abstractNum>
  <w:abstractNum w:abstractNumId="3">
    <w:nsid w:val="38494C28"/>
    <w:multiLevelType w:val="singleLevel"/>
    <w:tmpl w:val="38494C28"/>
    <w:lvl w:ilvl="0" w:tentative="0">
      <w:start w:val="2"/>
      <w:numFmt w:val="decimal"/>
      <w:suff w:val="nothing"/>
      <w:lvlText w:val="（%1）"/>
      <w:lvlJc w:val="left"/>
    </w:lvl>
  </w:abstractNum>
  <w:abstractNum w:abstractNumId="4">
    <w:nsid w:val="3A8FD4F7"/>
    <w:multiLevelType w:val="singleLevel"/>
    <w:tmpl w:val="3A8FD4F7"/>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wMzFiMjczZTU5M2YyNDUyYmM3NTkyMTVlYzFhMDgifQ=="/>
  </w:docVars>
  <w:rsids>
    <w:rsidRoot w:val="00BC2454"/>
    <w:rsid w:val="000134A5"/>
    <w:rsid w:val="000233E7"/>
    <w:rsid w:val="00027B23"/>
    <w:rsid w:val="00062693"/>
    <w:rsid w:val="00072CAE"/>
    <w:rsid w:val="000954F2"/>
    <w:rsid w:val="000A1B1E"/>
    <w:rsid w:val="000A4FB3"/>
    <w:rsid w:val="000A6A48"/>
    <w:rsid w:val="000D0004"/>
    <w:rsid w:val="000D0140"/>
    <w:rsid w:val="000D35EB"/>
    <w:rsid w:val="000D5D9A"/>
    <w:rsid w:val="000E2286"/>
    <w:rsid w:val="000E4453"/>
    <w:rsid w:val="000F3198"/>
    <w:rsid w:val="00101AAC"/>
    <w:rsid w:val="00110561"/>
    <w:rsid w:val="00121F55"/>
    <w:rsid w:val="001413C9"/>
    <w:rsid w:val="00144889"/>
    <w:rsid w:val="00147E06"/>
    <w:rsid w:val="00154526"/>
    <w:rsid w:val="00163804"/>
    <w:rsid w:val="00175807"/>
    <w:rsid w:val="001758A7"/>
    <w:rsid w:val="0019235B"/>
    <w:rsid w:val="00194427"/>
    <w:rsid w:val="001A18E2"/>
    <w:rsid w:val="001A721B"/>
    <w:rsid w:val="001B6BDD"/>
    <w:rsid w:val="001D2631"/>
    <w:rsid w:val="001D3C87"/>
    <w:rsid w:val="001E3B40"/>
    <w:rsid w:val="001F4E0D"/>
    <w:rsid w:val="00201924"/>
    <w:rsid w:val="00207A80"/>
    <w:rsid w:val="002151D0"/>
    <w:rsid w:val="00236ED5"/>
    <w:rsid w:val="00256FEC"/>
    <w:rsid w:val="002700B7"/>
    <w:rsid w:val="00271133"/>
    <w:rsid w:val="0027246C"/>
    <w:rsid w:val="00286DA8"/>
    <w:rsid w:val="00290056"/>
    <w:rsid w:val="002905FA"/>
    <w:rsid w:val="00296EFB"/>
    <w:rsid w:val="002B47E5"/>
    <w:rsid w:val="002C1C29"/>
    <w:rsid w:val="002E2DF4"/>
    <w:rsid w:val="002F31D5"/>
    <w:rsid w:val="00304C6D"/>
    <w:rsid w:val="00304D0F"/>
    <w:rsid w:val="00307858"/>
    <w:rsid w:val="00316AE5"/>
    <w:rsid w:val="00322A51"/>
    <w:rsid w:val="00324951"/>
    <w:rsid w:val="00333DBF"/>
    <w:rsid w:val="003423BB"/>
    <w:rsid w:val="003444DA"/>
    <w:rsid w:val="003524FF"/>
    <w:rsid w:val="0035770F"/>
    <w:rsid w:val="00363FF2"/>
    <w:rsid w:val="00365838"/>
    <w:rsid w:val="00372432"/>
    <w:rsid w:val="00376B1B"/>
    <w:rsid w:val="00383111"/>
    <w:rsid w:val="003857FA"/>
    <w:rsid w:val="003916A3"/>
    <w:rsid w:val="003A31C9"/>
    <w:rsid w:val="003A42FE"/>
    <w:rsid w:val="003E3DCB"/>
    <w:rsid w:val="003E534A"/>
    <w:rsid w:val="003F653F"/>
    <w:rsid w:val="004108FD"/>
    <w:rsid w:val="00435745"/>
    <w:rsid w:val="004440F0"/>
    <w:rsid w:val="00452E9A"/>
    <w:rsid w:val="00464006"/>
    <w:rsid w:val="00473194"/>
    <w:rsid w:val="00485A8E"/>
    <w:rsid w:val="00491A17"/>
    <w:rsid w:val="00496454"/>
    <w:rsid w:val="004B2663"/>
    <w:rsid w:val="004C5E39"/>
    <w:rsid w:val="004D5466"/>
    <w:rsid w:val="004D6774"/>
    <w:rsid w:val="004D7D60"/>
    <w:rsid w:val="004F5CA4"/>
    <w:rsid w:val="005051A6"/>
    <w:rsid w:val="005104CC"/>
    <w:rsid w:val="005215FE"/>
    <w:rsid w:val="00524830"/>
    <w:rsid w:val="0052530A"/>
    <w:rsid w:val="00531162"/>
    <w:rsid w:val="00531DD5"/>
    <w:rsid w:val="00542242"/>
    <w:rsid w:val="005462E4"/>
    <w:rsid w:val="00546626"/>
    <w:rsid w:val="00546C88"/>
    <w:rsid w:val="005632B1"/>
    <w:rsid w:val="005654BC"/>
    <w:rsid w:val="00567BFC"/>
    <w:rsid w:val="005736B2"/>
    <w:rsid w:val="00575385"/>
    <w:rsid w:val="00582581"/>
    <w:rsid w:val="005928E1"/>
    <w:rsid w:val="00592C76"/>
    <w:rsid w:val="0059518B"/>
    <w:rsid w:val="005977DB"/>
    <w:rsid w:val="00597989"/>
    <w:rsid w:val="005D4C83"/>
    <w:rsid w:val="005D53AF"/>
    <w:rsid w:val="005E0246"/>
    <w:rsid w:val="005F34D9"/>
    <w:rsid w:val="005F746B"/>
    <w:rsid w:val="00620C3E"/>
    <w:rsid w:val="00635F8C"/>
    <w:rsid w:val="00642D9B"/>
    <w:rsid w:val="00656925"/>
    <w:rsid w:val="00664785"/>
    <w:rsid w:val="006829E3"/>
    <w:rsid w:val="00690F30"/>
    <w:rsid w:val="006A0518"/>
    <w:rsid w:val="006C044E"/>
    <w:rsid w:val="006C26FE"/>
    <w:rsid w:val="006C42C5"/>
    <w:rsid w:val="006D3CE3"/>
    <w:rsid w:val="006D6C07"/>
    <w:rsid w:val="006F29DE"/>
    <w:rsid w:val="006F392E"/>
    <w:rsid w:val="006F3E14"/>
    <w:rsid w:val="00722414"/>
    <w:rsid w:val="00733A55"/>
    <w:rsid w:val="007417DD"/>
    <w:rsid w:val="00744D13"/>
    <w:rsid w:val="00751C8A"/>
    <w:rsid w:val="007567CE"/>
    <w:rsid w:val="00785FDB"/>
    <w:rsid w:val="007B64E2"/>
    <w:rsid w:val="007B792C"/>
    <w:rsid w:val="007C0383"/>
    <w:rsid w:val="007D15B0"/>
    <w:rsid w:val="007D675E"/>
    <w:rsid w:val="007D73A4"/>
    <w:rsid w:val="00801D5A"/>
    <w:rsid w:val="00805420"/>
    <w:rsid w:val="00832049"/>
    <w:rsid w:val="00832400"/>
    <w:rsid w:val="00835517"/>
    <w:rsid w:val="008425D2"/>
    <w:rsid w:val="0084726C"/>
    <w:rsid w:val="00863198"/>
    <w:rsid w:val="0086706E"/>
    <w:rsid w:val="00881B25"/>
    <w:rsid w:val="00891390"/>
    <w:rsid w:val="008917DA"/>
    <w:rsid w:val="0089540C"/>
    <w:rsid w:val="008A1CC2"/>
    <w:rsid w:val="008A7184"/>
    <w:rsid w:val="008B5E7A"/>
    <w:rsid w:val="008C6F02"/>
    <w:rsid w:val="008D6EC9"/>
    <w:rsid w:val="008F70F3"/>
    <w:rsid w:val="00902154"/>
    <w:rsid w:val="00903EA7"/>
    <w:rsid w:val="00912710"/>
    <w:rsid w:val="009159E5"/>
    <w:rsid w:val="00915F95"/>
    <w:rsid w:val="009172AD"/>
    <w:rsid w:val="00920C9E"/>
    <w:rsid w:val="00923B27"/>
    <w:rsid w:val="00926348"/>
    <w:rsid w:val="00933847"/>
    <w:rsid w:val="0095158F"/>
    <w:rsid w:val="0095388A"/>
    <w:rsid w:val="009563A0"/>
    <w:rsid w:val="0096208A"/>
    <w:rsid w:val="00972EA0"/>
    <w:rsid w:val="00976E5C"/>
    <w:rsid w:val="00977604"/>
    <w:rsid w:val="0098179F"/>
    <w:rsid w:val="0099618B"/>
    <w:rsid w:val="009A1061"/>
    <w:rsid w:val="009C2250"/>
    <w:rsid w:val="009C3610"/>
    <w:rsid w:val="009C3E74"/>
    <w:rsid w:val="009E29E8"/>
    <w:rsid w:val="009F04FA"/>
    <w:rsid w:val="009F32F4"/>
    <w:rsid w:val="009F505C"/>
    <w:rsid w:val="009F6459"/>
    <w:rsid w:val="00A13DF3"/>
    <w:rsid w:val="00A34272"/>
    <w:rsid w:val="00A46BC4"/>
    <w:rsid w:val="00A52D3F"/>
    <w:rsid w:val="00A55E85"/>
    <w:rsid w:val="00A721A2"/>
    <w:rsid w:val="00A742DE"/>
    <w:rsid w:val="00A8345B"/>
    <w:rsid w:val="00A93BD6"/>
    <w:rsid w:val="00AB32C7"/>
    <w:rsid w:val="00AC7F2B"/>
    <w:rsid w:val="00AF6D8E"/>
    <w:rsid w:val="00B02C7B"/>
    <w:rsid w:val="00B1697E"/>
    <w:rsid w:val="00B2338E"/>
    <w:rsid w:val="00B24444"/>
    <w:rsid w:val="00B41533"/>
    <w:rsid w:val="00B466F8"/>
    <w:rsid w:val="00B5626D"/>
    <w:rsid w:val="00B611E3"/>
    <w:rsid w:val="00B61DEB"/>
    <w:rsid w:val="00B63F9B"/>
    <w:rsid w:val="00B65489"/>
    <w:rsid w:val="00B66686"/>
    <w:rsid w:val="00B70D77"/>
    <w:rsid w:val="00B756BD"/>
    <w:rsid w:val="00BA1C1F"/>
    <w:rsid w:val="00BC2454"/>
    <w:rsid w:val="00BC2A62"/>
    <w:rsid w:val="00BC6343"/>
    <w:rsid w:val="00BC6754"/>
    <w:rsid w:val="00BD376E"/>
    <w:rsid w:val="00BD3938"/>
    <w:rsid w:val="00BD4E35"/>
    <w:rsid w:val="00BE1948"/>
    <w:rsid w:val="00BE395E"/>
    <w:rsid w:val="00BF0C20"/>
    <w:rsid w:val="00C0470D"/>
    <w:rsid w:val="00C057A5"/>
    <w:rsid w:val="00C137E0"/>
    <w:rsid w:val="00C145A5"/>
    <w:rsid w:val="00C22583"/>
    <w:rsid w:val="00C23FA6"/>
    <w:rsid w:val="00C252CD"/>
    <w:rsid w:val="00C332E7"/>
    <w:rsid w:val="00C57763"/>
    <w:rsid w:val="00C80394"/>
    <w:rsid w:val="00CB50EF"/>
    <w:rsid w:val="00CC7F67"/>
    <w:rsid w:val="00CD575E"/>
    <w:rsid w:val="00CF32D3"/>
    <w:rsid w:val="00D04DD6"/>
    <w:rsid w:val="00D24A93"/>
    <w:rsid w:val="00D26186"/>
    <w:rsid w:val="00D41B08"/>
    <w:rsid w:val="00D43A65"/>
    <w:rsid w:val="00D45450"/>
    <w:rsid w:val="00D50F48"/>
    <w:rsid w:val="00D71F74"/>
    <w:rsid w:val="00D74734"/>
    <w:rsid w:val="00D747CA"/>
    <w:rsid w:val="00D83FFB"/>
    <w:rsid w:val="00D854EC"/>
    <w:rsid w:val="00D92485"/>
    <w:rsid w:val="00D954BA"/>
    <w:rsid w:val="00DA19BA"/>
    <w:rsid w:val="00DA603F"/>
    <w:rsid w:val="00DB0E3D"/>
    <w:rsid w:val="00DC1DC4"/>
    <w:rsid w:val="00DC36CD"/>
    <w:rsid w:val="00DC3DC4"/>
    <w:rsid w:val="00DC656B"/>
    <w:rsid w:val="00DD0F33"/>
    <w:rsid w:val="00DD1866"/>
    <w:rsid w:val="00DE6379"/>
    <w:rsid w:val="00DE745B"/>
    <w:rsid w:val="00DF1485"/>
    <w:rsid w:val="00E01BD3"/>
    <w:rsid w:val="00E07CDB"/>
    <w:rsid w:val="00E1120B"/>
    <w:rsid w:val="00E14B50"/>
    <w:rsid w:val="00E27DAD"/>
    <w:rsid w:val="00E34AA8"/>
    <w:rsid w:val="00E3791B"/>
    <w:rsid w:val="00E424DD"/>
    <w:rsid w:val="00E50D2E"/>
    <w:rsid w:val="00E510A6"/>
    <w:rsid w:val="00E562D4"/>
    <w:rsid w:val="00E718D2"/>
    <w:rsid w:val="00E74AA2"/>
    <w:rsid w:val="00E90628"/>
    <w:rsid w:val="00E97818"/>
    <w:rsid w:val="00EA7407"/>
    <w:rsid w:val="00EB0775"/>
    <w:rsid w:val="00EB181E"/>
    <w:rsid w:val="00EB6422"/>
    <w:rsid w:val="00EC4AFC"/>
    <w:rsid w:val="00ED107F"/>
    <w:rsid w:val="00ED666A"/>
    <w:rsid w:val="00EE4C33"/>
    <w:rsid w:val="00F1211D"/>
    <w:rsid w:val="00F13E58"/>
    <w:rsid w:val="00F32297"/>
    <w:rsid w:val="00F37148"/>
    <w:rsid w:val="00F45E6B"/>
    <w:rsid w:val="00F80651"/>
    <w:rsid w:val="00F9003E"/>
    <w:rsid w:val="00F902BC"/>
    <w:rsid w:val="00F913AD"/>
    <w:rsid w:val="00FA3DDB"/>
    <w:rsid w:val="00FB5BF2"/>
    <w:rsid w:val="00FB74E9"/>
    <w:rsid w:val="00FC23B3"/>
    <w:rsid w:val="00FC4209"/>
    <w:rsid w:val="00FC7161"/>
    <w:rsid w:val="00FD0463"/>
    <w:rsid w:val="00FD3B70"/>
    <w:rsid w:val="00FD7D79"/>
    <w:rsid w:val="0790000C"/>
    <w:rsid w:val="0C9C0BEB"/>
    <w:rsid w:val="0CE70368"/>
    <w:rsid w:val="0F7D4C5B"/>
    <w:rsid w:val="13D50BA1"/>
    <w:rsid w:val="15213234"/>
    <w:rsid w:val="196A6F71"/>
    <w:rsid w:val="1DB533D4"/>
    <w:rsid w:val="1F3657BE"/>
    <w:rsid w:val="207F411A"/>
    <w:rsid w:val="22A55D97"/>
    <w:rsid w:val="29EA1216"/>
    <w:rsid w:val="2F8F1C8A"/>
    <w:rsid w:val="32ED1A08"/>
    <w:rsid w:val="337E0CCA"/>
    <w:rsid w:val="34A63A12"/>
    <w:rsid w:val="34AA333F"/>
    <w:rsid w:val="34EE31D8"/>
    <w:rsid w:val="35E434D3"/>
    <w:rsid w:val="36515E63"/>
    <w:rsid w:val="37051E9D"/>
    <w:rsid w:val="37B15652"/>
    <w:rsid w:val="390446C7"/>
    <w:rsid w:val="3AA10115"/>
    <w:rsid w:val="3AAB4326"/>
    <w:rsid w:val="3B5543C1"/>
    <w:rsid w:val="3B6623D9"/>
    <w:rsid w:val="3C0C1349"/>
    <w:rsid w:val="3D45528A"/>
    <w:rsid w:val="40DB3FD6"/>
    <w:rsid w:val="43772E14"/>
    <w:rsid w:val="43E07A25"/>
    <w:rsid w:val="44B77481"/>
    <w:rsid w:val="45AC419A"/>
    <w:rsid w:val="46577958"/>
    <w:rsid w:val="48F347FC"/>
    <w:rsid w:val="49003BA5"/>
    <w:rsid w:val="543B0855"/>
    <w:rsid w:val="557D4383"/>
    <w:rsid w:val="55E07612"/>
    <w:rsid w:val="600E1FDF"/>
    <w:rsid w:val="61AF5C0F"/>
    <w:rsid w:val="6273286E"/>
    <w:rsid w:val="6BF870E6"/>
    <w:rsid w:val="6DC41FF3"/>
    <w:rsid w:val="6E015381"/>
    <w:rsid w:val="6FA62125"/>
    <w:rsid w:val="70B60C8E"/>
    <w:rsid w:val="71E71E9A"/>
    <w:rsid w:val="74EA6F0C"/>
    <w:rsid w:val="78253BF5"/>
    <w:rsid w:val="785B04AF"/>
    <w:rsid w:val="79D2038B"/>
    <w:rsid w:val="7BA1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315"/>
    </w:pPr>
    <w:rPr>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ascii="Calibri" w:hAnsi="Calibri"/>
      <w:kern w:val="0"/>
      <w:sz w:val="24"/>
      <w:szCs w:val="22"/>
    </w:rPr>
  </w:style>
  <w:style w:type="character" w:styleId="9">
    <w:name w:val="page number"/>
    <w:basedOn w:val="8"/>
    <w:qFormat/>
    <w:uiPriority w:val="0"/>
  </w:style>
  <w:style w:type="character" w:customStyle="1" w:styleId="10">
    <w:name w:val="页眉 Char"/>
    <w:link w:val="5"/>
    <w:qFormat/>
    <w:uiPriority w:val="0"/>
    <w:rPr>
      <w:kern w:val="2"/>
      <w:sz w:val="18"/>
      <w:szCs w:val="18"/>
    </w:rPr>
  </w:style>
  <w:style w:type="paragraph" w:styleId="11">
    <w:name w:val="List Paragraph"/>
    <w:basedOn w:val="1"/>
    <w:qFormat/>
    <w:uiPriority w:val="99"/>
    <w:pPr>
      <w:ind w:firstLine="420" w:firstLineChars="200"/>
    </w:pPr>
    <w:rPr>
      <w:rFonts w:ascii="Calibri" w:hAnsi="Calibri"/>
      <w:szCs w:val="22"/>
    </w:rPr>
  </w:style>
  <w:style w:type="paragraph" w:customStyle="1" w:styleId="12">
    <w:name w:val="列表段落1"/>
    <w:basedOn w:val="1"/>
    <w:qFormat/>
    <w:uiPriority w:val="34"/>
    <w:pPr>
      <w:ind w:firstLine="420" w:firstLineChars="200"/>
    </w:pPr>
    <w:rPr>
      <w:szCs w:val="22"/>
    </w:rPr>
  </w:style>
  <w:style w:type="paragraph" w:customStyle="1" w:styleId="13">
    <w:name w:val="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6164</Words>
  <Characters>6699</Characters>
  <Lines>5</Lines>
  <Paragraphs>13</Paragraphs>
  <TotalTime>187</TotalTime>
  <ScaleCrop>false</ScaleCrop>
  <LinksUpToDate>false</LinksUpToDate>
  <CharactersWithSpaces>6712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2016-08-31T07:17:00Z</dcterms:created>
  <dc:creator>Administrator</dc:creator>
  <cp:lastModifiedBy>疯狂的树叶</cp:lastModifiedBy>
  <cp:lastPrinted>2020-01-03T06:09:00Z</cp:lastPrinted>
  <dcterms:modified xsi:type="dcterms:W3CDTF">2022-09-21T05:35:50Z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21B02B9BD7484F228915FEED0A213D87</vt:lpwstr>
  </property>
</Properties>
</file>