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84"/>
          <w:szCs w:val="84"/>
        </w:rPr>
      </w:pPr>
      <w:r>
        <w:rPr>
          <w:rFonts w:hint="eastAsia"/>
          <w:sz w:val="44"/>
          <w:szCs w:val="44"/>
        </w:rPr>
        <w:t>中共益阳市资阳区委统一战线工作部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 xml:space="preserve">    </w:t>
      </w: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>20</w:t>
      </w: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21</w:t>
      </w: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>年度部门整体支出绩效评价报告</w:t>
      </w:r>
    </w:p>
    <w:p>
      <w:pPr>
        <w:pStyle w:val="2"/>
        <w:spacing w:line="579" w:lineRule="exact"/>
        <w:ind w:firstLine="1280" w:firstLineChars="4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为进一步规范财政资金管理，牢固树立预算绩效理念，强化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sz w:val="32"/>
          <w:szCs w:val="32"/>
        </w:rPr>
        <w:t>支出责任，提高财政资金使用效益，根据《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益阳市资阳区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关于开展20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预算</w:t>
      </w:r>
      <w:r>
        <w:rPr>
          <w:rFonts w:hint="eastAsia" w:ascii="宋体" w:hAnsi="宋体" w:eastAsia="宋体" w:cs="宋体"/>
          <w:sz w:val="32"/>
          <w:szCs w:val="32"/>
        </w:rPr>
        <w:t>绩效自评工作的通知》，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我单位</w:t>
      </w:r>
      <w:r>
        <w:rPr>
          <w:rFonts w:hint="eastAsia" w:ascii="宋体" w:hAnsi="宋体" w:eastAsia="宋体" w:cs="宋体"/>
          <w:sz w:val="32"/>
          <w:szCs w:val="32"/>
        </w:rPr>
        <w:t>组织开展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了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年度部门整体支出绩效自评工作，现将绩效评价情况及评价结果报告如下：</w:t>
      </w:r>
    </w:p>
    <w:p>
      <w:pPr>
        <w:pStyle w:val="11"/>
        <w:numPr>
          <w:ilvl w:val="0"/>
          <w:numId w:val="0"/>
        </w:numPr>
        <w:ind w:leftChars="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ascii="黑体" w:hAnsi="黑体" w:eastAsia="黑体"/>
          <w:sz w:val="32"/>
          <w:szCs w:val="32"/>
        </w:rPr>
        <w:t>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1.贯彻执行中央和省委、市委关于统一战线的方针、政策；向区委反映统一战线全面情况，提出开展统战工作的意见和建议；检查统战政策执行情况，协调统一战线各方面的关系。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负责联系各民主党派和无党派人士，及时通报情况，反映他们的意见和建议；贯彻党领导的多党合作和政治协商制度及对民主党派的方针、政策；落实中央和省、市、区委关于发挥民主党派参政议政和民主监督作用的工作；为区委同民主党派进行政治协商做好组织联系工作；协助市委统战部做好区内各民主党派基层组织及其成员工作；做好无党派代表人士工作；选拔、培养新一代代表人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3.负责党外人士的政治安排；协助区委组织部做好政府及其部门和法院、检察院党外领导干部培养、考察、选拔、推荐和安排工作，做好党外后备干部和新的代表人物队伍的建设工作。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4.负责开展以祖国统一为重点的海外统一战线工作；联系香港、澳门和海外有关社团及代表人士；归口管理台湾在野党派、政治团体的来访工作，做好台胞、台属的有关工作。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5.调查研究并反映全区非公有制经济代表人士的情况，协调关系，提出政策建议；团结、帮助、引导、教育非公有制经济代表人士，积极开展思想政治工作。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6.负责协调有关民族、宗教工作的重大问题，联系少数民族宗教界的代表人物；协助有关部门做好少数民族干部的培养和举荐工作；协助有关部门开展对国内外敌对势力分裂祖国活动的斗争。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.负责调查反映党外知识分子的情况与意见，协调关系、提出建议；联系培养选拔党外知识分子的代表人物；落实区级党员领导干部与党外代表人士联谊交友制度；认真组织开展统战部领导班子成员与党外代表人士“谈心日、走访月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8.负责指导乡镇、街道（经济开发区）党（工）委统战工作和统战干部培训工作；协调政府各有关部门的统战工作。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9.联系、指导区工商联工作；归口管理区黄埔同学会、区海外联谊会、区党外知识分子联谊会的有关工作。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10.完成区委、区政府交办的其他工作。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960" w:firstLineChars="300"/>
        <w:jc w:val="both"/>
        <w:textAlignment w:val="auto"/>
        <w:outlineLvl w:val="9"/>
        <w:rPr>
          <w:rFonts w:hint="eastAsia" w:ascii="宋体" w:hAnsi="宋体" w:eastAsia="宋体" w:cs="宋体"/>
          <w:sz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中共益阳市资阳区委统一战线工作部</w:t>
      </w:r>
      <w:r>
        <w:rPr>
          <w:rFonts w:hint="eastAsia" w:ascii="宋体" w:hAnsi="宋体" w:eastAsia="宋体" w:cs="宋体"/>
          <w:sz w:val="32"/>
          <w:lang w:val="en-US" w:eastAsia="zh-CN"/>
        </w:rPr>
        <w:t>下设办公室、干部组、经济联络组3个组室，区民族宗教局、区侨联、区委统战部管理。</w:t>
      </w:r>
    </w:p>
    <w:p>
      <w:pPr>
        <w:pStyle w:val="11"/>
        <w:widowControl/>
        <w:numPr>
          <w:ilvl w:val="0"/>
          <w:numId w:val="1"/>
        </w:numPr>
        <w:spacing w:line="579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pStyle w:val="10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（一）</w:t>
      </w:r>
      <w:r>
        <w:rPr>
          <w:rFonts w:hint="eastAsia" w:hAnsi="黑体"/>
          <w:b/>
          <w:sz w:val="32"/>
          <w:szCs w:val="32"/>
        </w:rPr>
        <w:t>、财政拨款收入支出决算总体情况说明</w:t>
      </w:r>
    </w:p>
    <w:p>
      <w:pPr>
        <w:pStyle w:val="10"/>
        <w:spacing w:line="360" w:lineRule="auto"/>
        <w:ind w:firstLine="1600" w:firstLineChars="500"/>
        <w:rPr>
          <w:rFonts w:hint="eastAsia" w:asciiTheme="minorEastAsia" w:hAnsiTheme="minorEastAsia" w:eastAsiaTheme="minorEastAsia"/>
          <w:i/>
          <w:i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年度财政拨款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收入</w:t>
      </w:r>
      <w:r>
        <w:rPr>
          <w:rFonts w:hint="eastAsia" w:asciiTheme="minorEastAsia" w:hAnsiTheme="minorEastAsia" w:eastAsiaTheme="minorEastAsia"/>
          <w:sz w:val="32"/>
          <w:szCs w:val="32"/>
        </w:rPr>
        <w:t>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325.58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其中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: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263.87万元、上年度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年末结转和结余61.71万元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与上年相比，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财政拨款减少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63.6</w:t>
      </w:r>
      <w:r>
        <w:rPr>
          <w:rFonts w:hint="eastAsia" w:asciiTheme="minorEastAsia" w:hAnsiTheme="minorEastAsia" w:eastAsiaTheme="minorEastAsia"/>
          <w:sz w:val="32"/>
          <w:szCs w:val="32"/>
        </w:rPr>
        <w:t>万元,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下降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19.42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2020年度财政拨款年末结转和结余比2019年度财政拨款年末结转和结余增加37.04万元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lang w:val="en-US" w:eastAsia="zh-CN"/>
        </w:rPr>
        <w:t>，上年结余资金本年度使用，本年财政拨款收入减少。</w:t>
      </w:r>
    </w:p>
    <w:p>
      <w:pPr>
        <w:pStyle w:val="10"/>
        <w:spacing w:line="360" w:lineRule="auto"/>
        <w:ind w:firstLine="1440" w:firstLineChars="450"/>
        <w:rPr>
          <w:rFonts w:hint="eastAsia" w:asciiTheme="minorEastAsia" w:hAnsiTheme="minorEastAsia" w:eastAsiaTheme="minorEastAsia"/>
          <w:i/>
          <w:i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年度财政拨款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支出总计325.58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对比上年同期减少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16.56</w:t>
      </w:r>
      <w:r>
        <w:rPr>
          <w:rFonts w:hint="eastAsia" w:asciiTheme="minorEastAsia" w:hAnsiTheme="minorEastAsia" w:eastAsiaTheme="minorEastAsia"/>
          <w:sz w:val="32"/>
          <w:szCs w:val="32"/>
        </w:rPr>
        <w:t>万元,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下降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4.84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本年度单位本着开源节流的原则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  <w:t>压缩公用经费支出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  <w:lang w:val="en-US" w:eastAsia="zh-CN"/>
        </w:rPr>
        <w:t>。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二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）</w:t>
      </w: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财政拨款支出决算结构情况</w:t>
      </w:r>
    </w:p>
    <w:p>
      <w:pPr>
        <w:ind w:firstLine="1715" w:firstLineChars="536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年度财政拨款支出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325.58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一般公共服务支出275.89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万元，占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84.74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%；社会保障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和就业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支出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18.16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万元，占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 xml:space="preserve">5.57 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%；医疗卫生与计划生育支出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17.79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万元，占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5.46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%；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住房保障支出13.74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万元，占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4.23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>%</w:t>
      </w: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。</w:t>
      </w:r>
      <w:r>
        <w:rPr>
          <w:rFonts w:hint="default" w:ascii="宋体" w:hAnsi="宋体" w:eastAsia="宋体" w:cs="宋体"/>
          <w:color w:val="000000"/>
          <w:sz w:val="32"/>
          <w:lang w:val="en-US" w:eastAsia="zh-CN"/>
        </w:rPr>
        <w:t xml:space="preserve"> </w:t>
      </w:r>
    </w:p>
    <w:p>
      <w:pPr>
        <w:pStyle w:val="10"/>
        <w:ind w:firstLine="320" w:firstLineChars="1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（三）</w:t>
      </w:r>
      <w:r>
        <w:rPr>
          <w:rFonts w:hint="eastAsia" w:hAnsi="黑体"/>
          <w:b/>
          <w:sz w:val="32"/>
          <w:szCs w:val="32"/>
        </w:rPr>
        <w:t>、一般公共预算财政拨款基本支出决算情况说明</w:t>
      </w:r>
    </w:p>
    <w:p>
      <w:pPr>
        <w:pStyle w:val="10"/>
        <w:ind w:firstLine="960" w:firstLineChars="3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268.58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196.1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73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%,主要包括基本工资、津贴补贴、奖金、伙食补助费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、社会保障缴费等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72.48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、水电费、其他商品和服务支出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10"/>
        <w:ind w:firstLine="320" w:firstLineChars="1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（四）</w:t>
      </w:r>
      <w:r>
        <w:rPr>
          <w:rFonts w:hint="eastAsia" w:hAnsi="黑体"/>
          <w:b/>
          <w:sz w:val="32"/>
          <w:szCs w:val="32"/>
        </w:rPr>
        <w:t>、一般公共预算财政拨款</w:t>
      </w:r>
      <w:r>
        <w:rPr>
          <w:rFonts w:hint="eastAsia" w:hAnsi="黑体"/>
          <w:b/>
          <w:sz w:val="32"/>
          <w:szCs w:val="32"/>
          <w:lang w:eastAsia="zh-CN"/>
        </w:rPr>
        <w:t>项目</w:t>
      </w:r>
      <w:r>
        <w:rPr>
          <w:rFonts w:hint="eastAsia" w:hAnsi="黑体"/>
          <w:b/>
          <w:sz w:val="32"/>
          <w:szCs w:val="32"/>
        </w:rPr>
        <w:t>支出决算情况说明</w:t>
      </w:r>
    </w:p>
    <w:p>
      <w:pPr>
        <w:pStyle w:val="10"/>
        <w:ind w:firstLine="960" w:firstLineChars="3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年度财政拨款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项目</w:t>
      </w:r>
      <w:r>
        <w:rPr>
          <w:rFonts w:hint="eastAsia" w:asciiTheme="minorEastAsia" w:hAnsiTheme="minorEastAsia" w:eastAsiaTheme="minorEastAsia"/>
          <w:sz w:val="32"/>
          <w:szCs w:val="32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57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主要用于民宗专项、华侨及涉台应急、统战、侨联等专项经费。</w:t>
      </w:r>
    </w:p>
    <w:p>
      <w:pPr>
        <w:pStyle w:val="10"/>
        <w:ind w:firstLine="640" w:firstLineChars="20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二、</w:t>
      </w:r>
      <w:r>
        <w:rPr>
          <w:rFonts w:hint="eastAsia" w:hAnsi="黑体"/>
          <w:b/>
          <w:sz w:val="32"/>
          <w:szCs w:val="32"/>
        </w:rPr>
        <w:t>一般公共预算财政拨款三公经费支出决算情况说明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。公车改革，单位车辆由机关事务中心统一管理；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  <w:t>本年度无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“三公”经费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  <w:t>拨款。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10"/>
        <w:ind w:firstLine="960" w:firstLineChars="3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%,因公出国（境）费支出决算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%。其中：</w:t>
      </w:r>
    </w:p>
    <w:p>
      <w:pPr>
        <w:pStyle w:val="10"/>
        <w:ind w:firstLine="640" w:firstLineChars="200"/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截止202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年12月31日，我单位开支财政拨款的公务用车保有量为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辆</w:t>
      </w:r>
      <w:r>
        <w:rPr>
          <w:rFonts w:hint="eastAsia" w:asciiTheme="minorEastAsia" w:hAnsiTheme="minorEastAsia"/>
          <w:sz w:val="32"/>
          <w:szCs w:val="32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公车改革，单位车辆由机关事务中心统一管理；本单位公务用车财政拨款统一由机关事务中心管理。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  <w:t>本年度无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</w:rPr>
        <w:t>“三公”经费</w:t>
      </w:r>
      <w:r>
        <w:rPr>
          <w:rFonts w:hint="eastAsia" w:asciiTheme="minorEastAsia" w:hAnsiTheme="minorEastAsia" w:eastAsiaTheme="minorEastAsia"/>
          <w:b w:val="0"/>
          <w:bCs w:val="0"/>
          <w:sz w:val="32"/>
          <w:szCs w:val="32"/>
          <w:lang w:eastAsia="zh-CN"/>
        </w:rPr>
        <w:t>支出。</w:t>
      </w:r>
    </w:p>
    <w:p>
      <w:pPr>
        <w:ind w:firstLine="800" w:firstLineChars="250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10"/>
        <w:ind w:firstLine="640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三</w:t>
      </w:r>
      <w:r>
        <w:rPr>
          <w:rFonts w:hint="eastAsia" w:hAnsi="黑体"/>
          <w:b/>
          <w:sz w:val="32"/>
          <w:szCs w:val="32"/>
        </w:rPr>
        <w:t>、关于机关运行经费支出说明</w:t>
      </w:r>
    </w:p>
    <w:p>
      <w:pPr>
        <w:pStyle w:val="10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年度机关运行经费支出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72.48</w:t>
      </w:r>
      <w:r>
        <w:rPr>
          <w:rFonts w:hint="eastAsia" w:asciiTheme="minorEastAsia" w:hAnsiTheme="minorEastAsia" w:eastAsiaTheme="minorEastAsia"/>
          <w:sz w:val="32"/>
          <w:szCs w:val="32"/>
        </w:rPr>
        <w:t>万元，比上年决算数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60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万元，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482.24</w:t>
      </w:r>
      <w:r>
        <w:rPr>
          <w:rFonts w:hint="eastAsia" w:asciiTheme="minorEastAsia" w:hAnsiTheme="minorEastAsia" w:eastAsiaTheme="minorEastAsia"/>
          <w:sz w:val="32"/>
          <w:szCs w:val="32"/>
        </w:rPr>
        <w:t>%。主要原因是：本年度新增“同心工程”支出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四、</w:t>
      </w:r>
      <w:r>
        <w:rPr>
          <w:rFonts w:hint="eastAsia" w:hAnsi="黑体"/>
          <w:b/>
          <w:sz w:val="32"/>
          <w:szCs w:val="32"/>
        </w:rPr>
        <w:t>关于202</w:t>
      </w:r>
      <w:r>
        <w:rPr>
          <w:rFonts w:hint="eastAsia" w:hAnsi="黑体"/>
          <w:b/>
          <w:sz w:val="32"/>
          <w:szCs w:val="32"/>
          <w:lang w:val="en-US" w:eastAsia="zh-CN"/>
        </w:rPr>
        <w:t>1</w:t>
      </w:r>
      <w:r>
        <w:rPr>
          <w:rFonts w:hint="eastAsia" w:hAnsi="黑体"/>
          <w:b/>
          <w:sz w:val="32"/>
          <w:szCs w:val="32"/>
        </w:rPr>
        <w:t>年度预算绩效情况的说明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uto"/>
        <w:ind w:left="0" w:right="0" w:firstLine="960" w:firstLineChars="3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lang w:val="en-US" w:eastAsia="zh-CN"/>
        </w:rPr>
        <w:t>本单位根据有关政策文件要求开展预算绩效管理工作，加强绩效目标管理，根据单位职责要求明确了各项工作的执行计划、考核指标等事项，在编制2021年部门预算时，本部门将所有预算资金纳入绩效目标管理，实现了绩效目标与部门预算同步编制、同步申报。</w:t>
      </w:r>
      <w:r>
        <w:rPr>
          <w:rFonts w:hint="eastAsia" w:ascii="宋体" w:hAnsi="宋体" w:eastAsia="宋体" w:cs="宋体"/>
          <w:sz w:val="32"/>
          <w:szCs w:val="32"/>
        </w:rPr>
        <w:t>本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sz w:val="32"/>
          <w:szCs w:val="32"/>
        </w:rPr>
        <w:t>整体支出和项目支出实行绩效目标管理，纳入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部门预算</w:t>
      </w:r>
      <w:r>
        <w:rPr>
          <w:rFonts w:hint="eastAsia" w:ascii="宋体" w:hAnsi="宋体" w:eastAsia="宋体" w:cs="宋体"/>
          <w:sz w:val="32"/>
          <w:szCs w:val="32"/>
        </w:rPr>
        <w:t>整体支出绩效目标的金额为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253.96</w:t>
      </w:r>
      <w:r>
        <w:rPr>
          <w:rFonts w:hint="eastAsia" w:ascii="宋体" w:hAnsi="宋体" w:eastAsia="宋体" w:cs="宋体"/>
          <w:sz w:val="32"/>
          <w:szCs w:val="32"/>
        </w:rPr>
        <w:t>万元，其中：基本支出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192.96</w:t>
      </w:r>
      <w:r>
        <w:rPr>
          <w:rFonts w:hint="eastAsia" w:ascii="宋体" w:hAnsi="宋体" w:eastAsia="宋体" w:cs="宋体"/>
          <w:sz w:val="32"/>
          <w:szCs w:val="32"/>
        </w:rPr>
        <w:t>万元，项目支出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61</w:t>
      </w:r>
      <w:r>
        <w:rPr>
          <w:rFonts w:hint="eastAsia" w:ascii="宋体" w:hAnsi="宋体" w:eastAsia="宋体" w:cs="宋体"/>
          <w:sz w:val="32"/>
          <w:szCs w:val="32"/>
        </w:rPr>
        <w:t>万元，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  <w:t>其中：民宗8.8万元，华侨及涉台应急3.2万元，侨办3.6万元；经济联络7.4万元；同心工程工作经费6.4万元，党外干部信息库建设3.8万元，政协联络6万元，党外人士调研经费10.8万元，派驻纪检组专项5万，反宗教渗透0.8万元，民主党派和无党派代表人士2.4万元；黄埔同学会2.4万元，计划生育工作0.4万元。</w:t>
      </w:r>
    </w:p>
    <w:p>
      <w:pPr>
        <w:widowControl/>
        <w:numPr>
          <w:ilvl w:val="0"/>
          <w:numId w:val="0"/>
        </w:numPr>
        <w:spacing w:line="600" w:lineRule="exact"/>
        <w:ind w:firstLine="960" w:firstLineChars="3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整体情况来看，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本单位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严格按照年初预算进行部门整体支出。在支出过程中，能严格遵守各项规章制度。所有项目都详细制定了方案，严格按方案组织实施，并加强了监督。尤其是在专项经费支出上，能专款专用，按项目实施计划的进度情况进行资金拨付，无截留、无挪用等现象。实行了先有预算、后有执行、“用钱必问效、无效必问责”的新常态。</w:t>
      </w:r>
    </w:p>
    <w:p>
      <w:pPr>
        <w:ind w:firstLine="960" w:firstLineChars="300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五、存在的主要问题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一）监督管理机制还有待加强。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（二）财务工作水平要进一步提高。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（三）会计基础工作还需要不断完善。</w:t>
      </w:r>
    </w:p>
    <w:p>
      <w:pPr>
        <w:ind w:firstLine="960" w:firstLineChars="300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六、改进措施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（一）加强监管，做到监管机制环环相扣，不出现断层、漏洞。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（二）进一步完善财务制度，规范财经纪律。</w:t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（三）财务工作人员的业务能力要与时俱进，通过各种渠道和方式加强学习。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40" w:lineRule="auto"/>
        <w:ind w:left="0" w:right="0" w:firstLine="960" w:firstLineChars="300"/>
        <w:jc w:val="left"/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 xml:space="preserve"> </w:t>
      </w:r>
    </w:p>
    <w:p>
      <w:pPr>
        <w:pStyle w:val="10"/>
        <w:tabs>
          <w:tab w:val="left" w:pos="907"/>
        </w:tabs>
        <w:jc w:val="left"/>
        <w:rPr>
          <w:rFonts w:hint="default" w:eastAsia="黑体"/>
          <w:sz w:val="84"/>
          <w:szCs w:val="84"/>
          <w:lang w:val="en-US" w:eastAsia="zh-CN"/>
        </w:rPr>
      </w:pPr>
    </w:p>
    <w:p>
      <w:pPr>
        <w:spacing w:before="100" w:beforeAutospacing="1" w:after="100" w:afterAutospacing="1" w:line="579" w:lineRule="exact"/>
        <w:ind w:right="641"/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 xml:space="preserve"> </w:t>
      </w:r>
    </w:p>
    <w:p>
      <w:pPr>
        <w:pStyle w:val="10"/>
        <w:numPr>
          <w:ilvl w:val="0"/>
          <w:numId w:val="0"/>
        </w:numPr>
        <w:rPr>
          <w:rFonts w:hint="eastAsia" w:hAnsi="黑体"/>
          <w:b/>
          <w:sz w:val="32"/>
          <w:szCs w:val="32"/>
        </w:rPr>
      </w:pPr>
    </w:p>
    <w:p>
      <w:pPr>
        <w:pStyle w:val="10"/>
        <w:jc w:val="center"/>
        <w:rPr>
          <w:rFonts w:hint="eastAsia" w:eastAsia="黑体"/>
          <w:sz w:val="84"/>
          <w:szCs w:val="84"/>
          <w:lang w:eastAsia="zh-CN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rFonts w:hint="default" w:eastAsia="黑体"/>
          <w:i/>
          <w:iCs/>
          <w:color w:val="FF0000"/>
          <w:sz w:val="56"/>
          <w:szCs w:val="56"/>
          <w:lang w:val="en-US" w:eastAsia="zh-CN"/>
        </w:rPr>
      </w:pPr>
    </w:p>
    <w:p>
      <w:pPr>
        <w:pStyle w:val="10"/>
        <w:jc w:val="center"/>
        <w:rPr>
          <w:sz w:val="56"/>
          <w:szCs w:val="56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jc w:val="center"/>
        <w:rPr>
          <w:sz w:val="32"/>
          <w:szCs w:val="32"/>
        </w:rPr>
      </w:pPr>
    </w:p>
    <w:p>
      <w:pPr>
        <w:pStyle w:val="10"/>
        <w:spacing w:line="540" w:lineRule="exact"/>
        <w:jc w:val="center"/>
        <w:rPr>
          <w:sz w:val="56"/>
          <w:szCs w:val="56"/>
        </w:rPr>
      </w:pPr>
    </w:p>
    <w:p>
      <w:pPr>
        <w:pStyle w:val="10"/>
        <w:spacing w:line="500" w:lineRule="exact"/>
        <w:jc w:val="center"/>
        <w:rPr>
          <w:b/>
          <w:sz w:val="36"/>
          <w:szCs w:val="28"/>
        </w:rPr>
      </w:pPr>
    </w:p>
    <w:p>
      <w:pPr>
        <w:pStyle w:val="10"/>
        <w:spacing w:line="500" w:lineRule="exact"/>
        <w:jc w:val="center"/>
        <w:rPr>
          <w:b/>
          <w:sz w:val="36"/>
          <w:szCs w:val="28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ascii="仿宋_GB2312" w:eastAsia="仿宋_GB2312" w:hAnsiTheme="minorEastAsia"/>
          <w:sz w:val="28"/>
          <w:szCs w:val="32"/>
        </w:rPr>
      </w:pPr>
    </w:p>
    <w:p>
      <w:pPr>
        <w:pStyle w:val="10"/>
        <w:numPr>
          <w:ilvl w:val="0"/>
          <w:numId w:val="0"/>
        </w:numPr>
        <w:jc w:val="both"/>
        <w:rPr>
          <w:rFonts w:hint="eastAsia" w:eastAsia="黑体"/>
          <w:sz w:val="44"/>
          <w:szCs w:val="44"/>
          <w:lang w:val="en-US" w:eastAsia="zh-CN"/>
        </w:rPr>
      </w:pPr>
    </w:p>
    <w:p>
      <w:pPr>
        <w:pStyle w:val="10"/>
        <w:numPr>
          <w:ilvl w:val="0"/>
          <w:numId w:val="0"/>
        </w:numPr>
        <w:jc w:val="both"/>
        <w:rPr>
          <w:rFonts w:hint="default"/>
          <w:sz w:val="44"/>
          <w:szCs w:val="44"/>
          <w:lang w:val="en-US" w:eastAsia="zh-CN"/>
        </w:rPr>
      </w:pPr>
    </w:p>
    <w:p>
      <w:pPr>
        <w:jc w:val="left"/>
        <w:rPr>
          <w:rFonts w:hint="eastAsia" w:cs="黑体" w:asciiTheme="minorEastAsia" w:hAnsiTheme="minorEastAsia" w:eastAsiaTheme="minorEastAsia"/>
          <w:b/>
          <w:bCs/>
          <w:color w:val="FF0000"/>
          <w:kern w:val="0"/>
          <w:sz w:val="32"/>
          <w:szCs w:val="32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5D255"/>
    <w:multiLevelType w:val="singleLevel"/>
    <w:tmpl w:val="3605D25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QzZWI1MTc5NWUwOTU3ZGYwMjU4ZTI2YzVmOWM2ZmYifQ=="/>
  </w:docVars>
  <w:rsids>
    <w:rsidRoot w:val="004506F9"/>
    <w:rsid w:val="0002229B"/>
    <w:rsid w:val="000273BD"/>
    <w:rsid w:val="000415B7"/>
    <w:rsid w:val="00041E3F"/>
    <w:rsid w:val="00055DAA"/>
    <w:rsid w:val="00061F7B"/>
    <w:rsid w:val="00064BF2"/>
    <w:rsid w:val="000658A3"/>
    <w:rsid w:val="00074155"/>
    <w:rsid w:val="000A3F69"/>
    <w:rsid w:val="00103957"/>
    <w:rsid w:val="00152C6D"/>
    <w:rsid w:val="00162D39"/>
    <w:rsid w:val="001678BD"/>
    <w:rsid w:val="001A67DB"/>
    <w:rsid w:val="001C3C29"/>
    <w:rsid w:val="001D51E5"/>
    <w:rsid w:val="001E080D"/>
    <w:rsid w:val="001E53D0"/>
    <w:rsid w:val="001F0C3B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7E6"/>
    <w:rsid w:val="003C4955"/>
    <w:rsid w:val="003C4FC2"/>
    <w:rsid w:val="00416E61"/>
    <w:rsid w:val="0042790C"/>
    <w:rsid w:val="004506F9"/>
    <w:rsid w:val="004717A2"/>
    <w:rsid w:val="00473DF3"/>
    <w:rsid w:val="00483143"/>
    <w:rsid w:val="00487911"/>
    <w:rsid w:val="00491741"/>
    <w:rsid w:val="00500E5F"/>
    <w:rsid w:val="005122EF"/>
    <w:rsid w:val="0051441A"/>
    <w:rsid w:val="00517C33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3D1C"/>
    <w:rsid w:val="0062378F"/>
    <w:rsid w:val="00641842"/>
    <w:rsid w:val="00651EEC"/>
    <w:rsid w:val="00691E8C"/>
    <w:rsid w:val="006A22C4"/>
    <w:rsid w:val="006A351B"/>
    <w:rsid w:val="006B0422"/>
    <w:rsid w:val="006C1B53"/>
    <w:rsid w:val="006D7730"/>
    <w:rsid w:val="006E5284"/>
    <w:rsid w:val="006F3EB5"/>
    <w:rsid w:val="00702E34"/>
    <w:rsid w:val="00704395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36E88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BE6BF2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44EE"/>
    <w:rsid w:val="00DD06FF"/>
    <w:rsid w:val="00DD5FE9"/>
    <w:rsid w:val="00E00C7A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25D064D"/>
    <w:rsid w:val="028C2FEB"/>
    <w:rsid w:val="02E465FD"/>
    <w:rsid w:val="02E66E36"/>
    <w:rsid w:val="032E3975"/>
    <w:rsid w:val="03546191"/>
    <w:rsid w:val="038D706E"/>
    <w:rsid w:val="04744518"/>
    <w:rsid w:val="04A05CFD"/>
    <w:rsid w:val="06172101"/>
    <w:rsid w:val="061C1DA6"/>
    <w:rsid w:val="06676BF2"/>
    <w:rsid w:val="073009FD"/>
    <w:rsid w:val="07F44794"/>
    <w:rsid w:val="08C60B9B"/>
    <w:rsid w:val="08EA58AB"/>
    <w:rsid w:val="0B885C90"/>
    <w:rsid w:val="0BB34B87"/>
    <w:rsid w:val="0C783613"/>
    <w:rsid w:val="0E1558B8"/>
    <w:rsid w:val="0E3F7F14"/>
    <w:rsid w:val="0EB70254"/>
    <w:rsid w:val="0F515E59"/>
    <w:rsid w:val="0F5B579A"/>
    <w:rsid w:val="0F976645"/>
    <w:rsid w:val="107C3BDA"/>
    <w:rsid w:val="115E30DA"/>
    <w:rsid w:val="12456DAB"/>
    <w:rsid w:val="130F4243"/>
    <w:rsid w:val="13531F8D"/>
    <w:rsid w:val="13D97A9F"/>
    <w:rsid w:val="1402217A"/>
    <w:rsid w:val="14851D09"/>
    <w:rsid w:val="1700112E"/>
    <w:rsid w:val="17CB464A"/>
    <w:rsid w:val="17E03619"/>
    <w:rsid w:val="17FF0AEB"/>
    <w:rsid w:val="18444669"/>
    <w:rsid w:val="18AD17BD"/>
    <w:rsid w:val="19DD25E4"/>
    <w:rsid w:val="1ACF69F1"/>
    <w:rsid w:val="1B0B4D24"/>
    <w:rsid w:val="1B2F25C4"/>
    <w:rsid w:val="1BE70F39"/>
    <w:rsid w:val="1C534E81"/>
    <w:rsid w:val="1F462448"/>
    <w:rsid w:val="1F764129"/>
    <w:rsid w:val="200F7450"/>
    <w:rsid w:val="20115757"/>
    <w:rsid w:val="201C7F98"/>
    <w:rsid w:val="209A7EE6"/>
    <w:rsid w:val="250916F0"/>
    <w:rsid w:val="258F065A"/>
    <w:rsid w:val="26484349"/>
    <w:rsid w:val="272931C9"/>
    <w:rsid w:val="28922C30"/>
    <w:rsid w:val="29487979"/>
    <w:rsid w:val="29913223"/>
    <w:rsid w:val="2A5D395C"/>
    <w:rsid w:val="2B3A0F56"/>
    <w:rsid w:val="2BEE01C4"/>
    <w:rsid w:val="2C635A7A"/>
    <w:rsid w:val="2C8C3727"/>
    <w:rsid w:val="2C8F5E9E"/>
    <w:rsid w:val="2D282801"/>
    <w:rsid w:val="2E5E775F"/>
    <w:rsid w:val="2E5F4A47"/>
    <w:rsid w:val="2E932F9F"/>
    <w:rsid w:val="2F3E27ED"/>
    <w:rsid w:val="313C58AE"/>
    <w:rsid w:val="31A05D63"/>
    <w:rsid w:val="332758D9"/>
    <w:rsid w:val="33651618"/>
    <w:rsid w:val="33A057FC"/>
    <w:rsid w:val="35A26F65"/>
    <w:rsid w:val="37725BAD"/>
    <w:rsid w:val="38834558"/>
    <w:rsid w:val="39215515"/>
    <w:rsid w:val="39B83106"/>
    <w:rsid w:val="3A197BAD"/>
    <w:rsid w:val="3A7014F6"/>
    <w:rsid w:val="3D7026EC"/>
    <w:rsid w:val="3D741FB5"/>
    <w:rsid w:val="3DB510CB"/>
    <w:rsid w:val="3E88046C"/>
    <w:rsid w:val="3FB60A2A"/>
    <w:rsid w:val="400E48B8"/>
    <w:rsid w:val="40362FE4"/>
    <w:rsid w:val="41EC7673"/>
    <w:rsid w:val="42AE14A1"/>
    <w:rsid w:val="42B12E5E"/>
    <w:rsid w:val="440614C1"/>
    <w:rsid w:val="440704B2"/>
    <w:rsid w:val="4416031D"/>
    <w:rsid w:val="45036725"/>
    <w:rsid w:val="452409DA"/>
    <w:rsid w:val="456F1986"/>
    <w:rsid w:val="461453A6"/>
    <w:rsid w:val="46457A11"/>
    <w:rsid w:val="46715347"/>
    <w:rsid w:val="47170B34"/>
    <w:rsid w:val="47BA61A5"/>
    <w:rsid w:val="492A00E8"/>
    <w:rsid w:val="4C787042"/>
    <w:rsid w:val="4D611013"/>
    <w:rsid w:val="4E2E203F"/>
    <w:rsid w:val="4E4409E8"/>
    <w:rsid w:val="4EF52A6C"/>
    <w:rsid w:val="4F2664F9"/>
    <w:rsid w:val="4F712071"/>
    <w:rsid w:val="4FF96014"/>
    <w:rsid w:val="500816A0"/>
    <w:rsid w:val="50713EF6"/>
    <w:rsid w:val="51F51034"/>
    <w:rsid w:val="543133CC"/>
    <w:rsid w:val="574D087A"/>
    <w:rsid w:val="57553483"/>
    <w:rsid w:val="59692D24"/>
    <w:rsid w:val="5A42510F"/>
    <w:rsid w:val="5B2412BC"/>
    <w:rsid w:val="5C4D39F0"/>
    <w:rsid w:val="5EB62661"/>
    <w:rsid w:val="61422017"/>
    <w:rsid w:val="62D84CC4"/>
    <w:rsid w:val="62E418BB"/>
    <w:rsid w:val="645D7E9D"/>
    <w:rsid w:val="646166C6"/>
    <w:rsid w:val="65B545FD"/>
    <w:rsid w:val="671D417E"/>
    <w:rsid w:val="68356714"/>
    <w:rsid w:val="69042339"/>
    <w:rsid w:val="69BF4FDE"/>
    <w:rsid w:val="6AB03495"/>
    <w:rsid w:val="6BA240C1"/>
    <w:rsid w:val="6C3A473A"/>
    <w:rsid w:val="6D555EBF"/>
    <w:rsid w:val="6F2E235F"/>
    <w:rsid w:val="6F90001F"/>
    <w:rsid w:val="6F9554C2"/>
    <w:rsid w:val="70366BC0"/>
    <w:rsid w:val="709C3622"/>
    <w:rsid w:val="732B328E"/>
    <w:rsid w:val="745C4C8E"/>
    <w:rsid w:val="75EF7790"/>
    <w:rsid w:val="75F21FB4"/>
    <w:rsid w:val="76082E6F"/>
    <w:rsid w:val="7731279D"/>
    <w:rsid w:val="77551058"/>
    <w:rsid w:val="788A444E"/>
    <w:rsid w:val="7B1A118D"/>
    <w:rsid w:val="7B870DBF"/>
    <w:rsid w:val="7D5C269E"/>
    <w:rsid w:val="7DFE7000"/>
    <w:rsid w:val="7F0E5731"/>
    <w:rsid w:val="7FE505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8E99-0876-4457-84BE-74A901AF7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2509</Words>
  <Characters>2719</Characters>
  <Lines>57</Lines>
  <Paragraphs>16</Paragraphs>
  <TotalTime>4</TotalTime>
  <ScaleCrop>false</ScaleCrop>
  <LinksUpToDate>false</LinksUpToDate>
  <CharactersWithSpaces>2730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2021-08-03T01:03:00Z</dcterms:created>
  <dc:creator>李航 null</dc:creator>
  <cp:lastModifiedBy>紫水灵儿</cp:lastModifiedBy>
  <cp:lastPrinted>2021-07-28T00:12:00Z</cp:lastPrinted>
  <dcterms:modified xsi:type="dcterms:W3CDTF">2022-09-13T01:12:36Z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3848F2A3CB654EF0AC1D6E6DFCB8BF24</vt:lpwstr>
  </property>
</Properties>
</file>