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44"/>
          <w:szCs w:val="44"/>
        </w:rPr>
        <w:t>中共益阳市资阳区委统一战线工作部</w:t>
      </w:r>
    </w:p>
    <w:p>
      <w:pPr>
        <w:spacing w:before="100" w:beforeAutospacing="1" w:after="100" w:afterAutospacing="1" w:line="579" w:lineRule="exact"/>
        <w:ind w:right="641"/>
        <w:jc w:val="center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20</w:t>
      </w: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21</w:t>
      </w:r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年度部门整体支出绩效评价报告</w:t>
      </w:r>
    </w:p>
    <w:p>
      <w:pPr>
        <w:pStyle w:val="2"/>
        <w:spacing w:line="579" w:lineRule="exact"/>
        <w:ind w:firstLine="1280" w:firstLineChars="4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为进一步规范财政资金管理，牢固树立预算绩效理念，强化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</w:rPr>
        <w:t>支出责任，提高财政资金使用效益，根据《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益阳市资阳区</w:t>
      </w:r>
      <w:r>
        <w:rPr>
          <w:rFonts w:hint="eastAsia" w:ascii="宋体" w:hAnsi="宋体" w:eastAsia="宋体" w:cs="宋体"/>
          <w:sz w:val="32"/>
          <w:szCs w:val="32"/>
        </w:rPr>
        <w:t>财政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</w:rPr>
        <w:t>关于开展20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</w:rPr>
        <w:t>绩效自评工作的通知》，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</w:rPr>
        <w:t>组织开展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了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年度部门整体支出绩效自评工作，现将绩效评价情况及评价结果报告如下：</w:t>
      </w:r>
    </w:p>
    <w:p>
      <w:pPr>
        <w:pStyle w:val="11"/>
        <w:numPr>
          <w:ilvl w:val="0"/>
          <w:numId w:val="0"/>
        </w:numPr>
        <w:ind w:leftChars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ascii="黑体" w:hAnsi="黑体" w:eastAsia="黑体"/>
          <w:sz w:val="32"/>
          <w:szCs w:val="32"/>
        </w:rPr>
        <w:t>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1.贯彻执行中央和省委、市委关于统一战线的方针、政策；向区委反映统一战线全面情况，提出开展统战工作的意见和建议；检查统战政策执行情况，协调统一战线各方面的关系。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负责联系各民主党派和无党派人士，及时通报情况，反映他们的意见和建议；贯彻党领导的多党合作和政治协商制度及对民主党派的方针、政策；落实中央和省、市、区委关于发挥民主党派参政议政和民主监督作用的工作；为区委同民主党派进行政治协商做好组织联系工作；协助市委统战部做好区内各民主党派基层组织及其成员工作；做好无党派代表人士工作；选拔、培养新一代代表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3.负责党外人士的政治安排；协助区委组织部做好政府及其部门和法院、检察院党外领导干部培养、考察、选拔、推荐和安排工作，做好党外后备干部和新的代表人物队伍的建设工作。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4.负责开展以祖国统一为重点的海外统一战线工作；联系香港、澳门和海外有关社团及代表人士；归口管理台湾在野党派、政治团体的来访工作，做好台胞、台属的有关工作。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5.调查研究并反映全区非公有制经济代表人士的情况，协调关系，提出政策建议；团结、帮助、引导、教育非公有制经济代表人士，积极开展思想政治工作。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6.负责协调有关民族、宗教工作的重大问题，联系少数民族宗教界的代表人物；协助有关部门做好少数民族干部的培养和举荐工作；协助有关部门开展对国内外敌对势力分裂祖国活动的斗争。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负责调查反映党外知识分子的情况与意见，协调关系、提出建议；联系培养选拔党外知识分子的代表人物；落实区级党员领导干部与党外代表人士联谊交友制度；认真组织开展统战部领导班子成员与党外代表人士“谈心日、走访月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8.负责指导乡镇、街道（经济开发区）党（工）委统战工作和统战干部培训工作；协调政府各有关部门的统战工作。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9.联系、指导区工商联工作；归口管理区黄埔同学会、区海外联谊会、区党外知识分子联谊会的有关工作。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10.完成区委、区政府交办的其他工作。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960" w:firstLineChars="300"/>
        <w:jc w:val="both"/>
        <w:textAlignment w:val="auto"/>
        <w:outlineLvl w:val="9"/>
        <w:rPr>
          <w:rFonts w:hint="eastAsia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中共益阳市资阳区委统一战线工作部</w:t>
      </w:r>
      <w:r>
        <w:rPr>
          <w:rFonts w:hint="eastAsia" w:ascii="宋体" w:hAnsi="宋体" w:eastAsia="宋体" w:cs="宋体"/>
          <w:sz w:val="32"/>
          <w:lang w:val="en-US" w:eastAsia="zh-CN"/>
        </w:rPr>
        <w:t>下设办公室、干部组、经济联络组3个组室，区民族宗教局、区侨联、区委统战部管理。</w:t>
      </w:r>
    </w:p>
    <w:p>
      <w:pPr>
        <w:pStyle w:val="11"/>
        <w:widowControl/>
        <w:numPr>
          <w:ilvl w:val="0"/>
          <w:numId w:val="1"/>
        </w:numPr>
        <w:spacing w:line="579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一般公共预算支出情况</w:t>
      </w:r>
    </w:p>
    <w:p>
      <w:pPr>
        <w:pStyle w:val="10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（一）</w:t>
      </w:r>
      <w:r>
        <w:rPr>
          <w:rFonts w:hint="eastAsia" w:hAnsi="黑体"/>
          <w:b/>
          <w:sz w:val="32"/>
          <w:szCs w:val="32"/>
        </w:rPr>
        <w:t>、财政拨款收入支出决算总体情况说明</w:t>
      </w:r>
    </w:p>
    <w:p>
      <w:pPr>
        <w:pStyle w:val="10"/>
        <w:spacing w:line="360" w:lineRule="auto"/>
        <w:ind w:firstLine="1600" w:firstLineChars="500"/>
        <w:rPr>
          <w:rFonts w:hint="eastAsia" w:asciiTheme="minorEastAsia" w:hAnsiTheme="minorEastAsia" w:eastAsiaTheme="minorEastAsia"/>
          <w:i/>
          <w:i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年度财政拨款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收入</w:t>
      </w:r>
      <w:r>
        <w:rPr>
          <w:rFonts w:hint="eastAsia" w:asciiTheme="minorEastAsia" w:hAnsiTheme="minorEastAsia" w:eastAsia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325.58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其中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263.87万元、上年度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年末结转和结余61.71万元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</w:rPr>
        <w:t>与上年相比，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财政拨款减少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63.6</w:t>
      </w:r>
      <w:r>
        <w:rPr>
          <w:rFonts w:hint="eastAsia" w:asciiTheme="minorEastAsia" w:hAnsiTheme="minorEastAsia" w:eastAsiaTheme="minorEastAsia"/>
          <w:sz w:val="32"/>
          <w:szCs w:val="32"/>
        </w:rPr>
        <w:t>万元,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下降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19.42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2020年度财政拨款年末结转和结余比2019年度财政拨款年末结转和结余增加37.04万元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lang w:val="en-US" w:eastAsia="zh-CN"/>
        </w:rPr>
        <w:t>，上年结余资金本年度使用，本年财政拨款收入减少。</w:t>
      </w:r>
    </w:p>
    <w:p>
      <w:pPr>
        <w:pStyle w:val="10"/>
        <w:spacing w:line="360" w:lineRule="auto"/>
        <w:ind w:firstLine="1440" w:firstLineChars="450"/>
        <w:rPr>
          <w:rFonts w:hint="eastAsia" w:asciiTheme="minorEastAsia" w:hAnsiTheme="minorEastAsia" w:eastAsiaTheme="minorEastAsia"/>
          <w:i/>
          <w:i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年度财政拨款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支出总计325.58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对比上年同期减少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16.56</w:t>
      </w:r>
      <w:r>
        <w:rPr>
          <w:rFonts w:hint="eastAsia" w:asciiTheme="minorEastAsia" w:hAnsiTheme="minorEastAsia" w:eastAsiaTheme="minorEastAsia"/>
          <w:sz w:val="32"/>
          <w:szCs w:val="32"/>
        </w:rPr>
        <w:t>万元,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下降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4.84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本年度单位本着开源节流的原则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highlight w:val="none"/>
          <w:lang w:eastAsia="zh-CN"/>
        </w:rPr>
        <w:t>压缩公用经费支出</w:t>
      </w:r>
      <w:r>
        <w:rPr>
          <w:rFonts w:hint="eastAsia" w:asciiTheme="minorEastAsia" w:hAnsiTheme="minorEastAsia" w:eastAsiaTheme="minorEastAsia"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）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财政拨款支出决算结构情况</w:t>
      </w:r>
    </w:p>
    <w:p>
      <w:pPr>
        <w:ind w:firstLine="1715" w:firstLineChars="536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年度财政拨款支出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325.58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一般公共服务支出275.89</w:t>
      </w:r>
      <w:r>
        <w:rPr>
          <w:rFonts w:hint="default" w:ascii="宋体" w:hAnsi="宋体" w:eastAsia="宋体" w:cs="宋体"/>
          <w:color w:val="000000"/>
          <w:sz w:val="32"/>
          <w:lang w:val="en-US" w:eastAsia="zh-CN"/>
        </w:rPr>
        <w:t>万元，占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84.74</w:t>
      </w:r>
      <w:r>
        <w:rPr>
          <w:rFonts w:hint="default" w:ascii="宋体" w:hAnsi="宋体" w:eastAsia="宋体" w:cs="宋体"/>
          <w:color w:val="000000"/>
          <w:sz w:val="32"/>
          <w:lang w:val="en-US" w:eastAsia="zh-CN"/>
        </w:rPr>
        <w:t>%；社会保障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和就业</w:t>
      </w:r>
      <w:r>
        <w:rPr>
          <w:rFonts w:hint="default" w:ascii="宋体" w:hAnsi="宋体" w:eastAsia="宋体" w:cs="宋体"/>
          <w:color w:val="000000"/>
          <w:sz w:val="32"/>
          <w:lang w:val="en-US" w:eastAsia="zh-CN"/>
        </w:rPr>
        <w:t>支出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18.16</w:t>
      </w:r>
      <w:r>
        <w:rPr>
          <w:rFonts w:hint="default" w:ascii="宋体" w:hAnsi="宋体" w:eastAsia="宋体" w:cs="宋体"/>
          <w:color w:val="000000"/>
          <w:sz w:val="32"/>
          <w:lang w:val="en-US" w:eastAsia="zh-CN"/>
        </w:rPr>
        <w:t>万元，占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5.57 </w:t>
      </w:r>
      <w:r>
        <w:rPr>
          <w:rFonts w:hint="default" w:ascii="宋体" w:hAnsi="宋体" w:eastAsia="宋体" w:cs="宋体"/>
          <w:color w:val="000000"/>
          <w:sz w:val="32"/>
          <w:lang w:val="en-US" w:eastAsia="zh-CN"/>
        </w:rPr>
        <w:t>%；医疗卫生与计划生育支出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17.79</w:t>
      </w:r>
      <w:r>
        <w:rPr>
          <w:rFonts w:hint="default" w:ascii="宋体" w:hAnsi="宋体" w:eastAsia="宋体" w:cs="宋体"/>
          <w:color w:val="000000"/>
          <w:sz w:val="32"/>
          <w:lang w:val="en-US" w:eastAsia="zh-CN"/>
        </w:rPr>
        <w:t>万元，占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5.46</w:t>
      </w:r>
      <w:r>
        <w:rPr>
          <w:rFonts w:hint="default" w:ascii="宋体" w:hAnsi="宋体" w:eastAsia="宋体" w:cs="宋体"/>
          <w:color w:val="000000"/>
          <w:sz w:val="32"/>
          <w:lang w:val="en-US" w:eastAsia="zh-CN"/>
        </w:rPr>
        <w:t>%；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住房保障支出13.74</w:t>
      </w:r>
      <w:r>
        <w:rPr>
          <w:rFonts w:hint="default" w:ascii="宋体" w:hAnsi="宋体" w:eastAsia="宋体" w:cs="宋体"/>
          <w:color w:val="000000"/>
          <w:sz w:val="32"/>
          <w:lang w:val="en-US" w:eastAsia="zh-CN"/>
        </w:rPr>
        <w:t>万元，占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4.23</w:t>
      </w:r>
      <w:r>
        <w:rPr>
          <w:rFonts w:hint="default" w:ascii="宋体" w:hAnsi="宋体" w:eastAsia="宋体" w:cs="宋体"/>
          <w:color w:val="000000"/>
          <w:sz w:val="32"/>
          <w:lang w:val="en-US" w:eastAsia="zh-CN"/>
        </w:rPr>
        <w:t>%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。</w:t>
      </w:r>
      <w:r>
        <w:rPr>
          <w:rFonts w:hint="default" w:ascii="宋体" w:hAnsi="宋体" w:eastAsia="宋体" w:cs="宋体"/>
          <w:color w:val="000000"/>
          <w:sz w:val="32"/>
          <w:lang w:val="en-US" w:eastAsia="zh-CN"/>
        </w:rPr>
        <w:t xml:space="preserve"> </w:t>
      </w:r>
    </w:p>
    <w:p>
      <w:pPr>
        <w:pStyle w:val="10"/>
        <w:ind w:firstLine="320" w:firstLineChars="1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（三）</w:t>
      </w:r>
      <w:r>
        <w:rPr>
          <w:rFonts w:hint="eastAsia" w:hAnsi="黑体"/>
          <w:b/>
          <w:sz w:val="32"/>
          <w:szCs w:val="32"/>
        </w:rPr>
        <w:t>、一般公共预算财政拨款基本支出决算情况说明</w:t>
      </w:r>
    </w:p>
    <w:p>
      <w:pPr>
        <w:pStyle w:val="10"/>
        <w:ind w:firstLine="960" w:firstLineChars="3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268.58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196.1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73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%,主要包括基本工资、津贴补贴、奖金、伙食补助费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、社会保障缴费等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72.48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%，主要包括办公费、印刷费、咨询费、手续费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、水电费、其他商品和服务支出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ind w:firstLine="320" w:firstLineChars="1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（四）</w:t>
      </w:r>
      <w:r>
        <w:rPr>
          <w:rFonts w:hint="eastAsia" w:hAnsi="黑体"/>
          <w:b/>
          <w:sz w:val="32"/>
          <w:szCs w:val="32"/>
        </w:rPr>
        <w:t>、一般公共预算财政拨款</w:t>
      </w:r>
      <w:r>
        <w:rPr>
          <w:rFonts w:hint="eastAsia" w:hAnsi="黑体"/>
          <w:b/>
          <w:sz w:val="32"/>
          <w:szCs w:val="32"/>
          <w:lang w:eastAsia="zh-CN"/>
        </w:rPr>
        <w:t>项目</w:t>
      </w:r>
      <w:r>
        <w:rPr>
          <w:rFonts w:hint="eastAsia" w:hAnsi="黑体"/>
          <w:b/>
          <w:sz w:val="32"/>
          <w:szCs w:val="32"/>
        </w:rPr>
        <w:t>支出决算情况说明</w:t>
      </w:r>
    </w:p>
    <w:p>
      <w:pPr>
        <w:pStyle w:val="10"/>
        <w:ind w:firstLine="960" w:firstLineChars="3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年度财政拨款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项目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57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主要用于民宗专项、华侨及涉台应急、统战、侨联等专项经费。</w:t>
      </w:r>
    </w:p>
    <w:p>
      <w:pPr>
        <w:pStyle w:val="10"/>
        <w:ind w:firstLine="640" w:firstLineChars="200"/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二、</w:t>
      </w:r>
      <w:r>
        <w:rPr>
          <w:rFonts w:hint="eastAsia" w:hAnsi="黑体"/>
          <w:b/>
          <w:sz w:val="32"/>
          <w:szCs w:val="32"/>
        </w:rPr>
        <w:t>一般公共预算财政拨款三公经费支出决算情况说明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。公车改革，单位车辆由机关事务中心统一管理；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eastAsia="zh-CN"/>
        </w:rPr>
        <w:t>本年度无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“三公”经费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eastAsia="zh-CN"/>
        </w:rPr>
        <w:t>拨款。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0"/>
        <w:ind w:firstLine="960" w:firstLineChars="3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截止202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年12月31日，我单位开支财政拨款的公务用车保有量为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辆</w:t>
      </w:r>
      <w:r>
        <w:rPr>
          <w:rFonts w:hint="eastAsia" w:asciiTheme="minorEastAsia" w:hAnsi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公车改革，单位车辆由机关事务中心统一管理；本单位公务用车财政拨款统一由机关事务中心管理。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eastAsia="zh-CN"/>
        </w:rPr>
        <w:t>本年度无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</w:rPr>
        <w:t>“三公”经费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eastAsia="zh-CN"/>
        </w:rPr>
        <w:t>支出。</w:t>
      </w:r>
    </w:p>
    <w:p>
      <w:pPr>
        <w:ind w:firstLine="800" w:firstLineChars="250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10"/>
        <w:ind w:firstLine="640" w:firstLineChars="20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三</w:t>
      </w:r>
      <w:r>
        <w:rPr>
          <w:rFonts w:hint="eastAsia" w:hAnsi="黑体"/>
          <w:b/>
          <w:sz w:val="32"/>
          <w:szCs w:val="32"/>
        </w:rPr>
        <w:t>、关于机关运行经费支出说明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年度机关运行经费支出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72.48</w:t>
      </w:r>
      <w:r>
        <w:rPr>
          <w:rFonts w:hint="eastAsia" w:asciiTheme="minorEastAsia" w:hAnsiTheme="minorEastAsia" w:eastAsiaTheme="minorEastAsia"/>
          <w:sz w:val="32"/>
          <w:szCs w:val="32"/>
        </w:rPr>
        <w:t>万元，比上年决算数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482.24</w:t>
      </w:r>
      <w:r>
        <w:rPr>
          <w:rFonts w:hint="eastAsia" w:asciiTheme="minorEastAsia" w:hAnsiTheme="minorEastAsia" w:eastAsiaTheme="minorEastAsia"/>
          <w:sz w:val="32"/>
          <w:szCs w:val="32"/>
        </w:rPr>
        <w:t>%。主要原因是：本年度新增“同心工程”支出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0"/>
        </w:numPr>
        <w:ind w:firstLine="640" w:firstLineChars="200"/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四、</w:t>
      </w:r>
      <w:r>
        <w:rPr>
          <w:rFonts w:hint="eastAsia" w:hAnsi="黑体"/>
          <w:b/>
          <w:sz w:val="32"/>
          <w:szCs w:val="32"/>
        </w:rPr>
        <w:t>关于202</w:t>
      </w:r>
      <w:r>
        <w:rPr>
          <w:rFonts w:hint="eastAsia" w:hAnsi="黑体"/>
          <w:b/>
          <w:sz w:val="32"/>
          <w:szCs w:val="32"/>
          <w:lang w:val="en-US" w:eastAsia="zh-CN"/>
        </w:rPr>
        <w:t>1</w:t>
      </w:r>
      <w:r>
        <w:rPr>
          <w:rFonts w:hint="eastAsia" w:hAnsi="黑体"/>
          <w:b/>
          <w:sz w:val="32"/>
          <w:szCs w:val="32"/>
        </w:rPr>
        <w:t>年度预算绩效情况的说明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40" w:lineRule="auto"/>
        <w:ind w:left="0" w:right="0" w:firstLine="960" w:firstLineChars="3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本单位根据有关政策文件要求开展预算绩效管理工作，加强绩效目标管理，根据单位职责要求明确了各项工作的执行计划、考核指标等事项，在编制2021年部门预算时，本部门将所有预算资金纳入绩效目标管理，实现了绩效目标与部门预算同步编制、同步申报。</w:t>
      </w:r>
      <w:r>
        <w:rPr>
          <w:rFonts w:hint="eastAsia" w:ascii="宋体" w:hAnsi="宋体" w:eastAsia="宋体" w:cs="宋体"/>
          <w:sz w:val="32"/>
          <w:szCs w:val="32"/>
        </w:rPr>
        <w:t>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</w:rPr>
        <w:t>整体支出和项目支出实行绩效目标管理，纳入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部门预算</w:t>
      </w:r>
      <w:r>
        <w:rPr>
          <w:rFonts w:hint="eastAsia" w:ascii="宋体" w:hAnsi="宋体" w:eastAsia="宋体" w:cs="宋体"/>
          <w:sz w:val="32"/>
          <w:szCs w:val="32"/>
        </w:rPr>
        <w:t>整体支出绩效目标的金额为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253.96</w:t>
      </w:r>
      <w:r>
        <w:rPr>
          <w:rFonts w:hint="eastAsia" w:ascii="宋体" w:hAnsi="宋体" w:eastAsia="宋体" w:cs="宋体"/>
          <w:sz w:val="32"/>
          <w:szCs w:val="32"/>
        </w:rPr>
        <w:t>万元，其中：基本支出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192.96</w:t>
      </w:r>
      <w:r>
        <w:rPr>
          <w:rFonts w:hint="eastAsia" w:ascii="宋体" w:hAnsi="宋体" w:eastAsia="宋体" w:cs="宋体"/>
          <w:sz w:val="32"/>
          <w:szCs w:val="32"/>
        </w:rPr>
        <w:t>万元，项目支出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61</w:t>
      </w:r>
      <w:r>
        <w:rPr>
          <w:rFonts w:hint="eastAsia" w:ascii="宋体" w:hAnsi="宋体" w:eastAsia="宋体" w:cs="宋体"/>
          <w:sz w:val="32"/>
          <w:szCs w:val="32"/>
        </w:rPr>
        <w:t>万元，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其中：民宗8.8万元，华侨及涉台应急3.2万元，侨办3.6万元；经济联络7.4万元；同心工程工作经费6.4万元，党外干部信息库建设3.8万元，政协联络6万元，党外人士调研经费10.8万元，派驻纪检组专项5万，反宗教渗透0.8万元，民主党派和无党派代表人士2.4万元；黄埔同学会2.4万元，计划生育工作0.4万元。</w:t>
      </w:r>
    </w:p>
    <w:p>
      <w:pPr>
        <w:widowControl/>
        <w:numPr>
          <w:ilvl w:val="0"/>
          <w:numId w:val="0"/>
        </w:numPr>
        <w:spacing w:line="600" w:lineRule="exact"/>
        <w:ind w:firstLine="960" w:firstLineChars="3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整体情况来看，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本单位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严格按照年初预算进行部门整体支出。在支出过程中，能严格遵守各项规章制度。所有项目都详细制定了方案，严格按方案组织实施，并加强了监督。尤其是在专项经费支出上，能专款专用，按项目实施计划的进度情况进行资金拨付，无截留、无挪用等现象。实行了先有预算、后有执行、“用钱必问效、无效必问责”的新常态。</w:t>
      </w:r>
    </w:p>
    <w:p>
      <w:pPr>
        <w:ind w:firstLine="960" w:firstLineChars="3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五、存在的主要问题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一）监督管理机制还有待加强。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（二）财务工作水平要进一步提高。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（三）会计基础工作还需要不断完善。</w:t>
      </w:r>
    </w:p>
    <w:p>
      <w:pPr>
        <w:ind w:firstLine="960" w:firstLineChars="300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六、改进措施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（一）加强监管，做到监管机制环环相扣，不出现断层、漏洞。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（二）进一步完善财务制度，规范财经纪律。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（三）财务工作人员的业务能力要与时俱进，通过各种渠道和方式加强学习。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40" w:lineRule="auto"/>
        <w:ind w:left="0" w:right="0" w:firstLine="960" w:firstLineChars="300"/>
        <w:jc w:val="left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</w:p>
    <w:p>
      <w:pPr>
        <w:pStyle w:val="10"/>
        <w:tabs>
          <w:tab w:val="left" w:pos="907"/>
        </w:tabs>
        <w:jc w:val="left"/>
        <w:rPr>
          <w:rFonts w:hint="default" w:eastAsia="黑体"/>
          <w:sz w:val="84"/>
          <w:szCs w:val="84"/>
          <w:lang w:val="en-US" w:eastAsia="zh-CN"/>
        </w:rPr>
      </w:pPr>
    </w:p>
    <w:p>
      <w:pPr>
        <w:spacing w:before="100" w:beforeAutospacing="1" w:after="100" w:afterAutospacing="1" w:line="579" w:lineRule="exact"/>
        <w:ind w:right="641"/>
        <w:jc w:val="center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 xml:space="preserve"> </w:t>
      </w:r>
    </w:p>
    <w:p>
      <w:pPr>
        <w:pStyle w:val="10"/>
        <w:numPr>
          <w:ilvl w:val="0"/>
          <w:numId w:val="0"/>
        </w:numPr>
        <w:rPr>
          <w:rFonts w:hint="eastAsia" w:hAnsi="黑体"/>
          <w:b/>
          <w:sz w:val="32"/>
          <w:szCs w:val="32"/>
        </w:rPr>
      </w:pPr>
    </w:p>
    <w:p>
      <w:pPr>
        <w:pStyle w:val="10"/>
        <w:jc w:val="center"/>
        <w:rPr>
          <w:rFonts w:hint="eastAsia" w:eastAsia="黑体"/>
          <w:sz w:val="84"/>
          <w:szCs w:val="84"/>
          <w:lang w:eastAsia="zh-CN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rFonts w:hint="default" w:eastAsia="黑体"/>
          <w:i/>
          <w:iCs/>
          <w:color w:val="FF0000"/>
          <w:sz w:val="56"/>
          <w:szCs w:val="56"/>
          <w:lang w:val="en-US" w:eastAsia="zh-CN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spacing w:line="540" w:lineRule="exact"/>
        <w:jc w:val="center"/>
        <w:rPr>
          <w:sz w:val="56"/>
          <w:szCs w:val="56"/>
        </w:rPr>
      </w:pPr>
    </w:p>
    <w:p>
      <w:pPr>
        <w:pStyle w:val="10"/>
        <w:spacing w:line="500" w:lineRule="exact"/>
        <w:jc w:val="center"/>
        <w:rPr>
          <w:b/>
          <w:sz w:val="36"/>
          <w:szCs w:val="28"/>
        </w:rPr>
      </w:pPr>
    </w:p>
    <w:p>
      <w:pPr>
        <w:pStyle w:val="10"/>
        <w:spacing w:line="500" w:lineRule="exact"/>
        <w:jc w:val="center"/>
        <w:rPr>
          <w:b/>
          <w:sz w:val="36"/>
          <w:szCs w:val="28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pStyle w:val="10"/>
        <w:numPr>
          <w:ilvl w:val="0"/>
          <w:numId w:val="0"/>
        </w:numPr>
        <w:jc w:val="both"/>
        <w:rPr>
          <w:rFonts w:hint="eastAsia" w:eastAsia="黑体"/>
          <w:sz w:val="44"/>
          <w:szCs w:val="44"/>
          <w:lang w:val="en-US" w:eastAsia="zh-CN"/>
        </w:rPr>
      </w:pPr>
    </w:p>
    <w:p>
      <w:pPr>
        <w:pStyle w:val="10"/>
        <w:numPr>
          <w:ilvl w:val="0"/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left"/>
        <w:rPr>
          <w:rFonts w:hint="eastAsia" w:cs="黑体" w:asciiTheme="minorEastAsia" w:hAnsiTheme="minorEastAsia" w:eastAsiaTheme="minorEastAsia"/>
          <w:b/>
          <w:bCs/>
          <w:color w:val="FF0000"/>
          <w:kern w:val="0"/>
          <w:sz w:val="32"/>
          <w:szCs w:val="32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5D255"/>
    <w:multiLevelType w:val="singleLevel"/>
    <w:tmpl w:val="3605D2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QzZWI1MTc5NWUwOTU3ZGYwMjU4ZTI2YzVmOWM2ZmYifQ=="/>
  </w:docVars>
  <w:rsids>
    <w:rsidRoot w:val="004506F9"/>
    <w:rsid w:val="0002229B"/>
    <w:rsid w:val="000273BD"/>
    <w:rsid w:val="000415B7"/>
    <w:rsid w:val="00041E3F"/>
    <w:rsid w:val="00055DAA"/>
    <w:rsid w:val="00061F7B"/>
    <w:rsid w:val="00064BF2"/>
    <w:rsid w:val="000658A3"/>
    <w:rsid w:val="00074155"/>
    <w:rsid w:val="000A3F69"/>
    <w:rsid w:val="00103957"/>
    <w:rsid w:val="00152C6D"/>
    <w:rsid w:val="00162D39"/>
    <w:rsid w:val="001678BD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7E6"/>
    <w:rsid w:val="003C4955"/>
    <w:rsid w:val="003C4FC2"/>
    <w:rsid w:val="00416E61"/>
    <w:rsid w:val="0042790C"/>
    <w:rsid w:val="004506F9"/>
    <w:rsid w:val="004717A2"/>
    <w:rsid w:val="00473DF3"/>
    <w:rsid w:val="00483143"/>
    <w:rsid w:val="00487911"/>
    <w:rsid w:val="00491741"/>
    <w:rsid w:val="00500E5F"/>
    <w:rsid w:val="005122EF"/>
    <w:rsid w:val="0051441A"/>
    <w:rsid w:val="00517C33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3D1C"/>
    <w:rsid w:val="0062378F"/>
    <w:rsid w:val="00641842"/>
    <w:rsid w:val="00651EEC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36E88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BE6BF2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44EE"/>
    <w:rsid w:val="00DD06FF"/>
    <w:rsid w:val="00DD5FE9"/>
    <w:rsid w:val="00E00C7A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25D064D"/>
    <w:rsid w:val="028C2FEB"/>
    <w:rsid w:val="02E465FD"/>
    <w:rsid w:val="02E66E36"/>
    <w:rsid w:val="032E3975"/>
    <w:rsid w:val="03546191"/>
    <w:rsid w:val="038D706E"/>
    <w:rsid w:val="04744518"/>
    <w:rsid w:val="04A05CFD"/>
    <w:rsid w:val="06172101"/>
    <w:rsid w:val="061C1DA6"/>
    <w:rsid w:val="06676BF2"/>
    <w:rsid w:val="073009FD"/>
    <w:rsid w:val="07F44794"/>
    <w:rsid w:val="08C60B9B"/>
    <w:rsid w:val="08EA58AB"/>
    <w:rsid w:val="0B885C90"/>
    <w:rsid w:val="0BB34B87"/>
    <w:rsid w:val="0C783613"/>
    <w:rsid w:val="0E1558B8"/>
    <w:rsid w:val="0E3F7F14"/>
    <w:rsid w:val="0EB70254"/>
    <w:rsid w:val="0F515E59"/>
    <w:rsid w:val="0F5B579A"/>
    <w:rsid w:val="0F976645"/>
    <w:rsid w:val="107C3BDA"/>
    <w:rsid w:val="115E30DA"/>
    <w:rsid w:val="12456DAB"/>
    <w:rsid w:val="130F4243"/>
    <w:rsid w:val="13531F8D"/>
    <w:rsid w:val="13D97A9F"/>
    <w:rsid w:val="1402217A"/>
    <w:rsid w:val="14851D09"/>
    <w:rsid w:val="1700112E"/>
    <w:rsid w:val="17CB464A"/>
    <w:rsid w:val="17E03619"/>
    <w:rsid w:val="17FF0AEB"/>
    <w:rsid w:val="18444669"/>
    <w:rsid w:val="18AD17BD"/>
    <w:rsid w:val="19DD25E4"/>
    <w:rsid w:val="1ACF69F1"/>
    <w:rsid w:val="1B0B4D24"/>
    <w:rsid w:val="1B2F25C4"/>
    <w:rsid w:val="1BE70F39"/>
    <w:rsid w:val="1C534E81"/>
    <w:rsid w:val="1F462448"/>
    <w:rsid w:val="1F764129"/>
    <w:rsid w:val="200F7450"/>
    <w:rsid w:val="20115757"/>
    <w:rsid w:val="201C7F98"/>
    <w:rsid w:val="209A7EE6"/>
    <w:rsid w:val="250916F0"/>
    <w:rsid w:val="258F065A"/>
    <w:rsid w:val="26484349"/>
    <w:rsid w:val="272931C9"/>
    <w:rsid w:val="28922C30"/>
    <w:rsid w:val="29487979"/>
    <w:rsid w:val="29913223"/>
    <w:rsid w:val="2A5D395C"/>
    <w:rsid w:val="2B3A0F56"/>
    <w:rsid w:val="2BEE01C4"/>
    <w:rsid w:val="2C635A7A"/>
    <w:rsid w:val="2C8C3727"/>
    <w:rsid w:val="2C8F5E9E"/>
    <w:rsid w:val="2D282801"/>
    <w:rsid w:val="2E5E775F"/>
    <w:rsid w:val="2E5F4A47"/>
    <w:rsid w:val="2E932F9F"/>
    <w:rsid w:val="2F3E27ED"/>
    <w:rsid w:val="313C58AE"/>
    <w:rsid w:val="31A05D63"/>
    <w:rsid w:val="332758D9"/>
    <w:rsid w:val="33651618"/>
    <w:rsid w:val="33A057FC"/>
    <w:rsid w:val="35A26F65"/>
    <w:rsid w:val="37725BAD"/>
    <w:rsid w:val="38834558"/>
    <w:rsid w:val="39215515"/>
    <w:rsid w:val="39B83106"/>
    <w:rsid w:val="3A197BAD"/>
    <w:rsid w:val="3A7014F6"/>
    <w:rsid w:val="3D7026EC"/>
    <w:rsid w:val="3D741FB5"/>
    <w:rsid w:val="3DB510CB"/>
    <w:rsid w:val="3E88046C"/>
    <w:rsid w:val="3FB60A2A"/>
    <w:rsid w:val="400E48B8"/>
    <w:rsid w:val="40362FE4"/>
    <w:rsid w:val="41EC7673"/>
    <w:rsid w:val="42AE14A1"/>
    <w:rsid w:val="42B12E5E"/>
    <w:rsid w:val="440614C1"/>
    <w:rsid w:val="440704B2"/>
    <w:rsid w:val="4416031D"/>
    <w:rsid w:val="45036725"/>
    <w:rsid w:val="452409DA"/>
    <w:rsid w:val="456F1986"/>
    <w:rsid w:val="461453A6"/>
    <w:rsid w:val="46457A11"/>
    <w:rsid w:val="46715347"/>
    <w:rsid w:val="47170B34"/>
    <w:rsid w:val="47BA61A5"/>
    <w:rsid w:val="492A00E8"/>
    <w:rsid w:val="4C787042"/>
    <w:rsid w:val="4D611013"/>
    <w:rsid w:val="4E2E203F"/>
    <w:rsid w:val="4E4409E8"/>
    <w:rsid w:val="4EF52A6C"/>
    <w:rsid w:val="4F2664F9"/>
    <w:rsid w:val="4F712071"/>
    <w:rsid w:val="4FF96014"/>
    <w:rsid w:val="500816A0"/>
    <w:rsid w:val="50713EF6"/>
    <w:rsid w:val="51F51034"/>
    <w:rsid w:val="543133CC"/>
    <w:rsid w:val="574D087A"/>
    <w:rsid w:val="57553483"/>
    <w:rsid w:val="59692D24"/>
    <w:rsid w:val="5A42510F"/>
    <w:rsid w:val="5B2412BC"/>
    <w:rsid w:val="5C4D39F0"/>
    <w:rsid w:val="5EB62661"/>
    <w:rsid w:val="61422017"/>
    <w:rsid w:val="62D84CC4"/>
    <w:rsid w:val="62E418BB"/>
    <w:rsid w:val="645D7E9D"/>
    <w:rsid w:val="646166C6"/>
    <w:rsid w:val="65B545FD"/>
    <w:rsid w:val="671D417E"/>
    <w:rsid w:val="68356714"/>
    <w:rsid w:val="69042339"/>
    <w:rsid w:val="69BF4FDE"/>
    <w:rsid w:val="6AB03495"/>
    <w:rsid w:val="6BA240C1"/>
    <w:rsid w:val="6C3A473A"/>
    <w:rsid w:val="6D555EBF"/>
    <w:rsid w:val="6F2E235F"/>
    <w:rsid w:val="6F90001F"/>
    <w:rsid w:val="6F9554C2"/>
    <w:rsid w:val="70366BC0"/>
    <w:rsid w:val="709C3622"/>
    <w:rsid w:val="732B328E"/>
    <w:rsid w:val="745C4C8E"/>
    <w:rsid w:val="75EF7790"/>
    <w:rsid w:val="75F21FB4"/>
    <w:rsid w:val="76082E6F"/>
    <w:rsid w:val="7731279D"/>
    <w:rsid w:val="77551058"/>
    <w:rsid w:val="788A444E"/>
    <w:rsid w:val="7B1A118D"/>
    <w:rsid w:val="7B870DBF"/>
    <w:rsid w:val="7D5C269E"/>
    <w:rsid w:val="7DFE7000"/>
    <w:rsid w:val="7F0E5731"/>
    <w:rsid w:val="7FE50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8E99-0876-4457-84BE-74A901AF77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2509</Words>
  <Characters>2719</Characters>
  <Lines>57</Lines>
  <Paragraphs>16</Paragraphs>
  <TotalTime>4</TotalTime>
  <ScaleCrop>false</ScaleCrop>
  <LinksUpToDate>false</LinksUpToDate>
  <CharactersWithSpaces>2730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2021-08-03T01:03:00Z</dcterms:created>
  <dc:creator>李航 null</dc:creator>
  <cp:lastModifiedBy>紫水灵儿</cp:lastModifiedBy>
  <cp:lastPrinted>2021-07-28T00:12:00Z</cp:lastPrinted>
  <dcterms:modified xsi:type="dcterms:W3CDTF">2022-09-13T01:12:36Z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3848F2A3CB654EF0AC1D6E6DFCB8BF24</vt:lpwstr>
  </property>
</Properties>
</file>