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中国共产党益阳市资阳区纪律检查委员会2021年度预算绩效自评报告</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为牢固树立预算绩效理念，进一步规范财政资金管理，提高资金使用效益及部门预算整体绩效目标管理，根据财政部《财政支出绩效评价管理暂行办法》（财预〔2011〕285号）、《湖南省预算绩效管理工作规程（试行）的通知》（湘绩财〔2013〕28号）、《益阳市人民政府关于全面推进预算绩效管理的实施意见》（益政发〔2013〕10号）《益阳市资阳区财政局关于开展2021年度预算绩效自评工作的通知》。我单位遵循“科学规范、公开公正、分类管理、绩效相关”的原则，通过自查收入支出情况等，对本单位2021年度预算绩效情况进行了客观、公正的评价。现将情况报告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一、基本情况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中共益阳市资阳区纪律检查委员会、益阳市资阳区监察委员会，办公地址为益阳市资阳区五一西路498号。资阳区纪委监委内设13个部室，内设部室分别是办公室（加挂调研法规室牌子）、组织部、宣传部、党风政风监督室（加挂区人民政府纠正行业不正之风办公室牌子）、信访室、案件监督管理室、第一纪检监察室、第二纪检监察室、第三纪检监察室、第四纪检监察室、第五纪检监察室、案件审理室、纪检监察干部监督室；所属事业单位1个，所属事业单位是资阳区纪委信息中心（财务未独立核算）；另外区委巡察办、区委巡察一组、区委巡察二组全部纳入2021年度区纪委部门预算范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二、部门整体支出使用管理情况</w:t>
      </w:r>
    </w:p>
    <w:p>
      <w:pPr>
        <w:keepNext w:val="0"/>
        <w:keepLines w:val="0"/>
        <w:pageBreakBefore w:val="0"/>
        <w:widowControl w:val="0"/>
        <w:kinsoku/>
        <w:wordWrap/>
        <w:overflowPunct/>
        <w:topLinePunct w:val="0"/>
        <w:autoSpaceDE/>
        <w:autoSpaceDN/>
        <w:bidi w:val="0"/>
        <w:adjustRightInd/>
        <w:snapToGrid/>
        <w:spacing w:line="600" w:lineRule="exact"/>
        <w:ind w:firstLine="675" w:firstLineChars="200"/>
        <w:jc w:val="both"/>
        <w:textAlignment w:val="auto"/>
        <w:outlineLvl w:val="9"/>
        <w:rPr>
          <w:rFonts w:hint="eastAsia" w:ascii="楷体_GB2312" w:hAnsi="楷体_GB2312" w:eastAsia="楷体_GB2312" w:cs="楷体_GB2312"/>
          <w:b/>
          <w:bCs w:val="0"/>
          <w:spacing w:val="8"/>
          <w:sz w:val="32"/>
          <w:szCs w:val="32"/>
          <w:lang w:val="en-US" w:eastAsia="zh-CN"/>
        </w:rPr>
      </w:pPr>
      <w:r>
        <w:rPr>
          <w:rFonts w:hint="eastAsia" w:ascii="楷体_GB2312" w:hAnsi="楷体_GB2312" w:eastAsia="楷体_GB2312" w:cs="楷体_GB2312"/>
          <w:b/>
          <w:bCs w:val="0"/>
          <w:spacing w:val="8"/>
          <w:sz w:val="32"/>
          <w:szCs w:val="32"/>
          <w:lang w:val="en-US" w:eastAsia="zh-CN"/>
        </w:rPr>
        <w:t>（一）部门整体收支概况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1. 收入预算：2021年年初预算数1146.70万元，其中，一般公共预算拨款1146.70万元，纳入专户管理的非税收入拨款0万元，上级补助资金安排0万元，附属单位上缴收入安排0万元，事业单位经营服务收入0万元，其他收入0万元，政府性基金拨款0万元，结转结余安排0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2. 支出预算：2021年年初预算数1146.70万元，基本支出739.9万元（其中：工资福利支出621.16万元，商品和服务支出117.54万元，对家庭和个人补助支出1.2万元）。工资福利支出主要用于根据国家规定安排的工资性支出以及对个人和家庭补助等人员经费支出；一般商品和服务支出主要用于日常运转的办公费、印刷费、邮电费、差旅费、会议费、福利费、日常维修费、水电费、公务用车费、培训费、公务接待费、工会经费等基本支出；对个人和家庭的补助支出主要用于在职人员住房公积金。项目支出406.8万元，是指单位为完成特定行政工作任务或事业发展目标而发生的支出，包括办案专项、巡察专项、金纪工程、作风建设、政令畅通等专项经费。</w:t>
      </w:r>
    </w:p>
    <w:p>
      <w:pPr>
        <w:keepNext w:val="0"/>
        <w:keepLines w:val="0"/>
        <w:pageBreakBefore w:val="0"/>
        <w:widowControl/>
        <w:kinsoku/>
        <w:wordWrap/>
        <w:overflowPunct/>
        <w:topLinePunct w:val="0"/>
        <w:autoSpaceDE/>
        <w:autoSpaceDN/>
        <w:bidi w:val="0"/>
        <w:adjustRightInd/>
        <w:snapToGrid/>
        <w:spacing w:line="600" w:lineRule="exact"/>
        <w:ind w:firstLine="675" w:firstLineChars="200"/>
        <w:jc w:val="left"/>
        <w:textAlignment w:val="auto"/>
        <w:outlineLvl w:val="9"/>
        <w:rPr>
          <w:rFonts w:hint="eastAsia" w:ascii="仿宋_GB2312" w:hAnsi="微软雅黑" w:eastAsia="仿宋_GB2312" w:cs="宋体"/>
          <w:kern w:val="0"/>
          <w:sz w:val="32"/>
          <w:szCs w:val="32"/>
          <w:lang w:val="en-US" w:eastAsia="zh-CN"/>
        </w:rPr>
      </w:pPr>
      <w:r>
        <w:rPr>
          <w:rFonts w:hint="eastAsia" w:ascii="楷体_GB2312" w:hAnsi="楷体_GB2312" w:eastAsia="楷体_GB2312" w:cs="楷体_GB2312"/>
          <w:b/>
          <w:bCs w:val="0"/>
          <w:spacing w:val="8"/>
          <w:sz w:val="32"/>
          <w:szCs w:val="32"/>
          <w:lang w:val="en-US" w:eastAsia="zh-CN"/>
        </w:rPr>
        <w:t>（二）部门整体支出绩效目标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default"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1. 预决算公开：2021年，按照上级的要求，我委在资阳公众信息网进行了预决算公开。</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default"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2. “三公经费”控制情况：本着厉行节约的原则，严格控制“三公经费”支出，取得了良好效果。2021年度“三公”经费财政拨款支出预算为17.8万元（其中，经费拨款安排9.4万元，纳入公共预算管理的非税收入拨款8.4万元），支出决算为62.41万元。其中：公务用车购置及运行维护费支出预算为16.8万元，支出决算为62.41万元，（其中，公务用车购置费用46.36万元，公务用车运行维护费16.05万元）。主要原因：中心工作的监督任务加重及参办省、市纪委专案导致公务用车支出增加，且2021年新购置执法执勤公务用车2辆，价值46.36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3. 内部管理制度建设情况：我委</w:t>
      </w:r>
      <w:r>
        <w:rPr>
          <w:rFonts w:hint="eastAsia" w:ascii="仿宋_GB2312" w:hAnsi="仿宋" w:eastAsia="仿宋_GB2312" w:cs="仿宋"/>
          <w:b w:val="0"/>
          <w:bCs w:val="0"/>
          <w:sz w:val="32"/>
          <w:szCs w:val="32"/>
          <w:lang w:val="en-US" w:eastAsia="zh-CN"/>
        </w:rPr>
        <w:t>严格遵守“三重一大”规定，在原有相对健全的财务管理制度基础上，适时地、针对性的进行了相关制度的增补。制定出台《资阳区纪委监委财务审批与报账程序》，严格财务收支的会计核算和监督程序，规范管理，强化约束，保证财务开支的真实性、合法性、合规性，提高财政预算资金的支出进度和使用效率</w:t>
      </w:r>
      <w:r>
        <w:rPr>
          <w:rFonts w:hint="eastAsia" w:ascii="仿宋_GB2312" w:hAnsi="微软雅黑" w:eastAsia="仿宋_GB2312" w:cs="宋体"/>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75" w:firstLineChars="200"/>
        <w:jc w:val="left"/>
        <w:textAlignment w:val="auto"/>
        <w:outlineLvl w:val="9"/>
        <w:rPr>
          <w:rFonts w:hint="eastAsia" w:ascii="仿宋_GB2312" w:hAnsi="微软雅黑" w:eastAsia="仿宋_GB2312" w:cs="宋体"/>
          <w:kern w:val="0"/>
          <w:sz w:val="32"/>
          <w:szCs w:val="32"/>
          <w:lang w:val="en-US" w:eastAsia="zh-CN"/>
        </w:rPr>
      </w:pPr>
      <w:r>
        <w:rPr>
          <w:rFonts w:hint="eastAsia" w:ascii="楷体_GB2312" w:hAnsi="楷体_GB2312" w:eastAsia="楷体_GB2312" w:cs="楷体_GB2312"/>
          <w:b/>
          <w:bCs w:val="0"/>
          <w:spacing w:val="8"/>
          <w:sz w:val="32"/>
          <w:szCs w:val="32"/>
          <w:lang w:val="en-US" w:eastAsia="zh-CN"/>
        </w:rPr>
        <w:t>（三）部门整体支出情况分析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从整体情况来看，我委严格按照年初预算进行部门整体支出。在支出过程中，坚持“反对浪费、节约开支”的原则，尤其是在专项经费支出上，我们能专款专用，按项目实施计划的进度情况进行资金拨付，实行了先有预算、后有执行的新常态。</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三、绩效评价工作情况</w:t>
      </w:r>
    </w:p>
    <w:p>
      <w:pPr>
        <w:keepNext w:val="0"/>
        <w:keepLines w:val="0"/>
        <w:pageBreakBefore w:val="0"/>
        <w:widowControl/>
        <w:kinsoku/>
        <w:wordWrap/>
        <w:overflowPunct/>
        <w:topLinePunct w:val="0"/>
        <w:autoSpaceDE/>
        <w:autoSpaceDN/>
        <w:bidi w:val="0"/>
        <w:adjustRightInd/>
        <w:snapToGrid/>
        <w:spacing w:line="600" w:lineRule="exact"/>
        <w:ind w:firstLine="675" w:firstLineChars="200"/>
        <w:jc w:val="left"/>
        <w:textAlignment w:val="auto"/>
        <w:outlineLvl w:val="9"/>
        <w:rPr>
          <w:rFonts w:hint="eastAsia" w:ascii="楷体_GB2312" w:hAnsi="楷体_GB2312" w:eastAsia="楷体_GB2312" w:cs="楷体_GB2312"/>
          <w:b/>
          <w:bCs w:val="0"/>
          <w:spacing w:val="8"/>
          <w:sz w:val="32"/>
          <w:szCs w:val="32"/>
          <w:lang w:val="en-US" w:eastAsia="zh-CN"/>
        </w:rPr>
      </w:pPr>
      <w:r>
        <w:rPr>
          <w:rFonts w:hint="eastAsia" w:ascii="楷体_GB2312" w:hAnsi="楷体_GB2312" w:eastAsia="楷体_GB2312" w:cs="楷体_GB2312"/>
          <w:b/>
          <w:bCs w:val="0"/>
          <w:spacing w:val="8"/>
          <w:sz w:val="32"/>
          <w:szCs w:val="32"/>
          <w:lang w:val="en-US" w:eastAsia="zh-CN"/>
        </w:rPr>
        <w:t>（一）绩效评价目的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此次绩效评价的目的是：严格落实《预算法》及省、市、区绩效管理工作的有关规定，进一步规范财政资金管理，牢固树立预算绩效理念，通过预算绩效自评，完善制度、创新机制，提高财政资金使用的规范性、安全性和有效性，促进纪检监察事业的发展。</w:t>
      </w:r>
    </w:p>
    <w:p>
      <w:pPr>
        <w:keepNext w:val="0"/>
        <w:keepLines w:val="0"/>
        <w:pageBreakBefore w:val="0"/>
        <w:widowControl/>
        <w:kinsoku/>
        <w:wordWrap/>
        <w:overflowPunct/>
        <w:topLinePunct w:val="0"/>
        <w:autoSpaceDE/>
        <w:autoSpaceDN/>
        <w:bidi w:val="0"/>
        <w:adjustRightInd/>
        <w:snapToGrid/>
        <w:spacing w:line="600" w:lineRule="exact"/>
        <w:ind w:firstLine="675" w:firstLineChars="200"/>
        <w:jc w:val="left"/>
        <w:textAlignment w:val="auto"/>
        <w:outlineLvl w:val="9"/>
        <w:rPr>
          <w:rFonts w:hint="eastAsia" w:ascii="仿宋_GB2312" w:hAnsi="微软雅黑" w:eastAsia="仿宋_GB2312" w:cs="宋体"/>
          <w:kern w:val="0"/>
          <w:sz w:val="32"/>
          <w:szCs w:val="32"/>
          <w:lang w:val="en-US" w:eastAsia="zh-CN"/>
        </w:rPr>
      </w:pPr>
      <w:r>
        <w:rPr>
          <w:rFonts w:hint="eastAsia" w:ascii="楷体_GB2312" w:hAnsi="楷体_GB2312" w:eastAsia="楷体_GB2312" w:cs="楷体_GB2312"/>
          <w:b/>
          <w:bCs w:val="0"/>
          <w:spacing w:val="8"/>
          <w:sz w:val="32"/>
          <w:szCs w:val="32"/>
          <w:lang w:val="en-US" w:eastAsia="zh-CN"/>
        </w:rPr>
        <w:t>（二）绩效评价的主要过程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根据绩效评价的要求，我委严格进行自评自查。在自评过程中发现问题，查找原因，及时纠正偏差，为下一步工作夯实基础。</w:t>
      </w:r>
    </w:p>
    <w:p>
      <w:pPr>
        <w:keepNext w:val="0"/>
        <w:keepLines w:val="0"/>
        <w:pageBreakBefore w:val="0"/>
        <w:widowControl/>
        <w:kinsoku/>
        <w:wordWrap/>
        <w:overflowPunct/>
        <w:topLinePunct w:val="0"/>
        <w:autoSpaceDE/>
        <w:autoSpaceDN/>
        <w:bidi w:val="0"/>
        <w:adjustRightInd/>
        <w:snapToGrid/>
        <w:spacing w:line="600" w:lineRule="exact"/>
        <w:ind w:firstLine="675" w:firstLineChars="200"/>
        <w:jc w:val="left"/>
        <w:textAlignment w:val="auto"/>
        <w:outlineLvl w:val="9"/>
        <w:rPr>
          <w:rFonts w:hint="eastAsia" w:ascii="楷体_GB2312" w:hAnsi="楷体_GB2312" w:eastAsia="楷体_GB2312" w:cs="楷体_GB2312"/>
          <w:b/>
          <w:bCs w:val="0"/>
          <w:spacing w:val="8"/>
          <w:sz w:val="32"/>
          <w:szCs w:val="32"/>
          <w:lang w:val="en-US" w:eastAsia="zh-CN"/>
        </w:rPr>
      </w:pPr>
      <w:r>
        <w:rPr>
          <w:rFonts w:hint="eastAsia" w:ascii="楷体_GB2312" w:hAnsi="楷体_GB2312" w:eastAsia="楷体_GB2312" w:cs="楷体_GB2312"/>
          <w:b/>
          <w:bCs w:val="0"/>
          <w:spacing w:val="8"/>
          <w:sz w:val="32"/>
          <w:szCs w:val="32"/>
          <w:lang w:val="en-US" w:eastAsia="zh-CN"/>
        </w:rPr>
        <w:t>（三）主要绩效及评价结论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1. 精准开展政治监督，践行“两个维护”坚决有力。一是坚决贯彻“两个落到实处”。以强化政治监督为中心，确保习近平总书记重要指示批示落到实处，确保全面从严治党新要求落到实处。聚焦习近平总书记重要讲话、重要指示批示和考察湖南重要讲话精神加强监督检查，拉条挂账、专班推进，开展督查82次，立行立改问题42个。下沉一线开展疫情防控督查，监督整改问题286个，处理8人。深入推进“洞庭清波”专项行动及禁捕退捕专项监督，开展常态督查13次，立案3人，问责9人，守护好一江碧水。二是压实管党治党政治责任。协助区委出台加强对“一把手”和领导班子监督的主体责任和监督责任清单，细化分解任务，压实“两个责任”。对照清单加强监督检查，约谈14人，诫勉6人，谈话提醒15人。抓住“关键少数”牛鼻子，在全市创新开展科局级单位“一把手”向纪委委员述责述廉评议，强化成果运用，督促“一把手”切实履行“第一责任人”职责。以“廉政家访”为切入点，区级领导带头到各部门单位“一把手”家中上门进行家访，开展廉政家访154次，收集意见建议67条。三是用铁纪维护换届风气。把加强换届纪律监督作为检验政治监督效果的试金石，开展“拉关系、打招呼”等选人用人不正之风专项整治，派出10个现场督查组进行全方位全过程监督，及时发现和纠正换届中的各种偏差，廉政审查相关人员2530人，提出否决暂缓意见75人，确保了全区换届工作风清气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2. 一体推进“三不”，治理腐败效能不断增强。一是执纪执法从严。坚持“严”的主基调，对违纪违法问题“零容忍”。全年共处置问题线索396件，立案143件，党纪政务处分125人，其中区管干部17人，追缴违纪资金1150万元。运用“四种形态”处理401人次，其中第一、二种形态占比90%，实现监督执纪由“惩治极少数”向“管住大多数”拓展。办理留置案3件，协助省市纪委监委办理省体彩中心相关人员严重违纪违法案等。严守案件质量生命线和办案安全底线，全年开展走读式谈话225人次，确保办案安全“零”事故。二是政治巡察从紧。出台巡察与纪检监察监督贯通融合13项制度，开展巡察3轮，发现并反馈问题156个，高质量完成第五届区委任期内巡察全覆盖。对省委第十巡视组反馈意见的整改落实开展“回头看”，约谈整改落实不力单位主要负责人2人，确保反馈问题全面整改到位。三是以案促改从实。下发纪律检查建议书38份，督促相关单位建立健全制度6项。做实“后半篇文章”，拍摄《不可逾越的红线》，深刻剖析典型案例8个；组织观看《不可触碰的底线3》等廉政教育警示片，累计教育1.2万余人次。召开农口系统警示教育大会，通报案情，分析原因，堵塞漏洞，真正起到查处一案、警醒一片、治理一域的作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3. 突出人民至上，基层“微腐败”有效整治。一是全面护航乡村振兴。开展“一领域一专题”治理，抓实过渡期专项监督，巩固拓展脱贫攻坚成果，制定10个领域10项监督清单。开展督查8次，党纪政务处分27人，追缴资金45万余元。开展惠民惠农财政补贴资金专项监督，党纪政务处分7人，诫勉1人。二是开展社保、医保、粮食购销、工程建设领域招投标专项监督。起底社保问题线索15件，党纪政务处分8人。“清廉医保”专项监督查处25人，党纪政务处分12人，追缴违纪资金39万余元。粮食购销领域腐败问题专项整治处理问题线索7件，立案5人；高标准农田专项整治立案7人，党纪政务处分7人。工程建设领域招投标专项治理立案6人，党纪政务处分2人。三是破除“保护伞”。常态化开展扫黑除恶专项斗争，协同开展政法队伍教育整顿，受理问题线索18件，立案17人，党纪政务处分16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4. 坚持纠“四风”树新风并举，作风建设成果深化拓展。一是集中治理作风顽疾。严格执行中央八项规定及其实施细则精神，紧盯重要时间节点，严肃查处违规收送红包礼金、公车私用、私车公养、公款旅游等隐形变异问题。深入机关食堂、公共餐饮场所开展督查，推动治理餐饮浪费行为。部署开展“强政治、正作风、优环境、助振兴”四大专项行动，发现问题79个，党纪政务处分63人，组织处理23人。开展违规吃喝问题专项整治，查处问题8个，处理27人。靶向整治形式主义官僚主义，查处问题25个，党纪政务处分43人。二是持续优化营商环境。大力实施“亲清政商·活力资阳”主题活动，班子成员带头走访联系重点企业项目，推动解决问题14个，查处11人。严格落实“三个区分开来”，为4名受到不实举报的党员干部澄清正名，激励党员干部在现代化建设大局中担当作为。三是大力弘扬廉洁文化、清风正气。在全市率先开通“清廉资阳”视频号、抖音号，改版微信公众号，传播“红心向党、勇毅前行”主基调，全年累计推送信息148期544条；发布短视频8期，累计浏览量达5万余人。坚持精品、优品原则，在省级及以上媒体上稿116篇次，在市级媒体上稿472篇次，名列全市前茅。组织14个单位648人次前往廉政教育基地参观学习。《非遗里的清廉》《清风盈袖 明月入怀》等视频被中纪委网站首页推送。</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5. 加强自身建设，纪检监察铁军战斗力进一步提高。一是提升能力素养。以政治建设为统领，认真开展党史学习教育活动，区纪委监委理论中心组集中扩大学习12次。对标对表开展全员培训，跟进学习新法规新制度，举办“清风学堂·学思践悟”7期，累计参学人数3100余人次。突出岗位练兵，以案代训33人次。二是激发队伍活力。广泛开展谈心谈话、读书分享、廉政微宣讲等活动，积极参加市区文体竞赛，绽放资阳风采。开展办案一线干部家属走访慰问活动，强化对办案干部的关心关怀。加强干部培养选拔，提拔重用干部16人，交流使用17人，向省市输送年轻干部5人。三是严格内部管理。严格执行省纪委“十二条负面清单”，规范队伍“三化”建设，坚决做到“三防”“四慎”。全面落实日常监督和个人重大事项报告制度，经常打扫庭院、清除害群之马，严防“灯下黑”,涉及纪检监察干部信访件全部核实整改到位。</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75" w:firstLineChars="200"/>
        <w:jc w:val="left"/>
        <w:textAlignment w:val="auto"/>
        <w:outlineLvl w:val="9"/>
        <w:rPr>
          <w:rFonts w:hint="eastAsia" w:ascii="楷体_GB2312" w:hAnsi="楷体_GB2312" w:eastAsia="楷体_GB2312" w:cs="楷体_GB2312"/>
          <w:b/>
          <w:bCs w:val="0"/>
          <w:spacing w:val="8"/>
          <w:sz w:val="32"/>
          <w:szCs w:val="32"/>
          <w:lang w:val="en-US" w:eastAsia="zh-CN"/>
        </w:rPr>
      </w:pPr>
      <w:r>
        <w:rPr>
          <w:rFonts w:hint="eastAsia" w:ascii="楷体_GB2312" w:hAnsi="楷体_GB2312" w:eastAsia="楷体_GB2312" w:cs="楷体_GB2312"/>
          <w:b/>
          <w:bCs w:val="0"/>
          <w:spacing w:val="8"/>
          <w:sz w:val="32"/>
          <w:szCs w:val="32"/>
          <w:lang w:val="en-US" w:eastAsia="zh-CN"/>
        </w:rPr>
        <w:t>存在的主要问题</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政策学习有待加强，对《预算法》、《行政单位会计制度》等政策学习面不广、深入度不高。</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预算编制和预算管理还需进一步细化和加强，严格审核各项经费的支出，提高资金使用效率。</w:t>
      </w:r>
      <w:bookmarkStart w:id="0" w:name="_GoBack"/>
      <w:bookmarkEnd w:id="0"/>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60E4D6"/>
    <w:multiLevelType w:val="singleLevel"/>
    <w:tmpl w:val="DE60E4D6"/>
    <w:lvl w:ilvl="0" w:tentative="0">
      <w:start w:val="4"/>
      <w:numFmt w:val="chineseCounting"/>
      <w:suff w:val="nothing"/>
      <w:lvlText w:val="%1、"/>
      <w:lvlJc w:val="left"/>
      <w:rPr>
        <w:rFonts w:hint="eastAsia"/>
      </w:rPr>
    </w:lvl>
  </w:abstractNum>
  <w:abstractNum w:abstractNumId="1">
    <w:nsid w:val="EF91B943"/>
    <w:multiLevelType w:val="singleLevel"/>
    <w:tmpl w:val="EF91B94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Mzc1M2Y1ODRkMTExMGEwMDA0NDUzNTVmZmMyNzYifQ=="/>
  </w:docVars>
  <w:rsids>
    <w:rsidRoot w:val="00000000"/>
    <w:rsid w:val="27F80232"/>
    <w:rsid w:val="283B15B8"/>
    <w:rsid w:val="2FE766AD"/>
    <w:rsid w:val="3C547CF1"/>
    <w:rsid w:val="420B2D03"/>
    <w:rsid w:val="468B3DA5"/>
    <w:rsid w:val="56E80C87"/>
    <w:rsid w:val="5FA61AD0"/>
    <w:rsid w:val="600234B8"/>
    <w:rsid w:val="74D45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5279</Words>
  <Characters>5511</Characters>
  <Lines>0</Lines>
  <Paragraphs>0</Paragraphs>
  <TotalTime>1</TotalTime>
  <ScaleCrop>false</ScaleCrop>
  <LinksUpToDate>false</LinksUpToDate>
  <CharactersWithSpaces>5519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2022-09-09T08:03:17Z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12B709676ABF4C3498C711460703A1C3</vt:lpwstr>
  </property>
</Properties>
</file>