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2021年政协绩效报告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一）预决算编制情况。资阳区政协及时组织财务人员进行预决算的编制，对本年度相应用款进行及时清理和处理，做到账账相符、账实相符、账证相符,按先预算再支出的原则，及时处理相关事务；对年度绩效目标进行季度梳理和年度分析，及时上报相关报表；对专项预算提前细化，分科目上报，做到收支平衡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（二）执行管理情况。资阳区政协按照区财政的要求，及时分月、分季度上报相应计划，待区财政审核通过后，严格按计划执行，各季度执行情况良好。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基本支出2020年按月或季度进行申报，其中人员工资按月申报并直接支付，日常公用经费按季度进行申报并支付。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（三）支出绩效情况。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1、部门支出绩效。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（1）行政运转保障。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政协财政拨款支出主要用于保障部门机构正常运转、完成日常工作任务以及承担政协全会开展相关工作。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项目支出，是用于保障政府机关、事业单位等机构为完成特定的行政工作任务或事业发展目标，用于专项业务等基础设施建设与维护等工作经费支出。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（2）机关厉行节约。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区政协认真执行中央八项规定，秉承开源节流的宗旨，严格管控三公经费支出。我单位部门严遵守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hd w:val="clear" w:fill="auto"/>
          <w:lang w:val="en-US" w:eastAsia="zh-CN"/>
        </w:rPr>
        <w:t>中央</w:t>
      </w:r>
      <w:bookmarkStart w:id="0" w:name="_GoBack"/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hd w:val="clear" w:fill="auto"/>
          <w:lang w:val="en-US" w:eastAsia="zh-CN"/>
        </w:rPr>
        <w:t>八项规定</w:t>
      </w:r>
      <w:bookmarkEnd w:id="0"/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，严格公务接待标准。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2、专项预算项目支出绩效。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（1）项目申报情况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年初预算部分专项按月进行申报，其他项目待资金下达后一次性申报。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（2）项目资金管理情况。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项目资金管理严格按照用款计划，分月、季度执行，按照项目资金管理办法实行专款专用。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（3）绩效目标完成情况。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按照年初预算项目，达到预期经济、社会目标。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（四）财务管理情况。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政协按照岗位职责，严格执行机关财务管理制度，及时进行会计核算，对项目资金、政府采购进行公开公示，接受群众监督。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（五）绩效管理工作开展情况。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政协绩效管理严格按照上级部门要求，开展自评工作，对评价结果及时总结上报。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24E82FB8"/>
    <w:rsid w:val="4C6836E0"/>
    <w:rsid w:val="501C3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802</Words>
  <Characters>808</Characters>
  <TotalTime>2</TotalTime>
  <ScaleCrop>false</ScaleCrop>
  <LinksUpToDate>false</LinksUpToDate>
  <CharactersWithSpaces>808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2023-09-14T06:13:05Z</dcterms:created>
  <dc:creator>Administrator</dc:creator>
  <cp:lastModifiedBy>浪浪剑心</cp:lastModifiedBy>
  <dcterms:modified xsi:type="dcterms:W3CDTF">2023-09-14T06:15:52Z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11E37037B8414F47B63A0C9413737D0D</vt:lpwstr>
  </property>
</Properties>
</file>