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bookmarkStart w:id="0" w:name="_GoBack"/>
      <w:bookmarkEnd w:id="0"/>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jc w:val="center"/>
        <w:rPr>
          <w:rFonts w:eastAsia="隶书"/>
          <w:b/>
          <w:sz w:val="72"/>
          <w:szCs w:val="72"/>
          <w:lang w:val="en-US"/>
        </w:rPr>
      </w:pPr>
    </w:p>
    <w:p>
      <w:pPr>
        <w:jc w:val="center"/>
        <w:rPr>
          <w:rFonts w:eastAsia="隶书"/>
          <w:b/>
          <w:sz w:val="72"/>
          <w:szCs w:val="72"/>
          <w:lang w:val="en-US"/>
        </w:rPr>
      </w:pPr>
    </w:p>
    <w:p>
      <w:pPr>
        <w:jc w:val="center"/>
        <w:rPr>
          <w:rFonts w:ascii="楷体" w:hAnsi="楷体" w:eastAsia="楷体" w:cs="楷体"/>
          <w:b/>
          <w:sz w:val="96"/>
          <w:szCs w:val="96"/>
        </w:rPr>
      </w:pPr>
      <w:r>
        <w:rPr>
          <w:rFonts w:hint="eastAsia" w:ascii="楷体" w:hAnsi="楷体" w:eastAsia="楷体" w:cs="楷体"/>
          <w:b/>
          <w:sz w:val="72"/>
          <w:szCs w:val="72"/>
          <w:lang w:val="en-US"/>
        </w:rPr>
        <w:t>益阳市资阳区</w:t>
      </w:r>
      <w:r>
        <w:rPr>
          <w:rFonts w:hint="eastAsia" w:ascii="楷体" w:hAnsi="楷体" w:eastAsia="楷体" w:cs="楷体"/>
          <w:b/>
          <w:sz w:val="72"/>
          <w:szCs w:val="72"/>
        </w:rPr>
        <w:t>消防救援</w:t>
      </w:r>
      <w:r>
        <w:rPr>
          <w:rFonts w:hint="eastAsia" w:ascii="楷体" w:hAnsi="楷体" w:eastAsia="楷体" w:cs="楷体"/>
          <w:b/>
          <w:sz w:val="72"/>
          <w:szCs w:val="72"/>
          <w:lang w:val="en-US"/>
        </w:rPr>
        <w:t>大</w:t>
      </w:r>
      <w:r>
        <w:rPr>
          <w:rFonts w:hint="eastAsia" w:ascii="楷体" w:hAnsi="楷体" w:eastAsia="楷体" w:cs="楷体"/>
          <w:b/>
          <w:sz w:val="72"/>
          <w:szCs w:val="72"/>
        </w:rPr>
        <w:t>队</w:t>
      </w:r>
    </w:p>
    <w:p>
      <w:pPr>
        <w:jc w:val="center"/>
        <w:rPr>
          <w:rFonts w:ascii="楷体" w:hAnsi="楷体" w:eastAsia="楷体" w:cs="楷体"/>
          <w:b/>
          <w:sz w:val="72"/>
          <w:szCs w:val="72"/>
          <w:lang w:val="en-US"/>
        </w:rPr>
      </w:pPr>
      <w:r>
        <w:rPr>
          <w:rFonts w:hint="eastAsia" w:ascii="楷体" w:hAnsi="楷体" w:eastAsia="楷体" w:cs="楷体"/>
          <w:b/>
          <w:sz w:val="72"/>
          <w:szCs w:val="72"/>
        </w:rPr>
        <w:t>202</w:t>
      </w:r>
      <w:r>
        <w:rPr>
          <w:rFonts w:hint="eastAsia" w:ascii="楷体" w:hAnsi="楷体" w:eastAsia="楷体" w:cs="楷体"/>
          <w:b/>
          <w:sz w:val="72"/>
          <w:szCs w:val="72"/>
          <w:lang w:val="en-US"/>
        </w:rPr>
        <w:t>2年度部门决算</w:t>
      </w:r>
    </w:p>
    <w:p>
      <w:pPr>
        <w:pStyle w:val="2"/>
        <w:ind w:firstLine="1365"/>
        <w:rPr>
          <w:rFonts w:eastAsia="隶书"/>
          <w:b/>
          <w:sz w:val="68"/>
          <w:szCs w:val="68"/>
        </w:rPr>
      </w:pPr>
    </w:p>
    <w:p>
      <w:pPr>
        <w:pStyle w:val="5"/>
        <w:jc w:val="both"/>
        <w:rPr>
          <w:rFonts w:ascii="Microsoft JhengHei"/>
          <w:b/>
          <w:sz w:val="74"/>
        </w:rPr>
      </w:pPr>
    </w:p>
    <w:p>
      <w:pPr>
        <w:pStyle w:val="5"/>
        <w:rPr>
          <w:rFonts w:ascii="Microsoft JhengHei"/>
          <w:b/>
          <w:sz w:val="74"/>
        </w:rPr>
      </w:pPr>
    </w:p>
    <w:p>
      <w:pPr>
        <w:pStyle w:val="5"/>
        <w:rPr>
          <w:rFonts w:ascii="Microsoft JhengHei"/>
          <w:b/>
          <w:sz w:val="74"/>
        </w:rPr>
      </w:pPr>
    </w:p>
    <w:p>
      <w:pPr>
        <w:pStyle w:val="5"/>
        <w:spacing w:before="13"/>
        <w:rPr>
          <w:rFonts w:ascii="楷体" w:hAnsi="楷体" w:eastAsia="楷体" w:cs="楷体"/>
          <w:b/>
          <w:sz w:val="57"/>
        </w:rPr>
      </w:pPr>
    </w:p>
    <w:p>
      <w:pPr>
        <w:ind w:right="120"/>
        <w:jc w:val="center"/>
        <w:rPr>
          <w:rFonts w:ascii="楷体" w:hAnsi="楷体" w:eastAsia="楷体" w:cs="楷体"/>
          <w:b/>
          <w:sz w:val="36"/>
        </w:rPr>
      </w:pPr>
      <w:r>
        <w:rPr>
          <w:rFonts w:hint="eastAsia" w:ascii="楷体" w:hAnsi="楷体" w:eastAsia="楷体" w:cs="楷体"/>
          <w:b/>
          <w:sz w:val="36"/>
        </w:rPr>
        <w:t>二〇二三年</w:t>
      </w:r>
      <w:r>
        <w:rPr>
          <w:rFonts w:hint="eastAsia" w:ascii="楷体" w:hAnsi="楷体" w:eastAsia="楷体" w:cs="楷体"/>
          <w:b/>
          <w:sz w:val="36"/>
          <w:lang w:val="en-US"/>
        </w:rPr>
        <w:t>八</w:t>
      </w:r>
      <w:r>
        <w:rPr>
          <w:rFonts w:hint="eastAsia" w:ascii="楷体" w:hAnsi="楷体" w:eastAsia="楷体" w:cs="楷体"/>
          <w:b/>
          <w:sz w:val="36"/>
        </w:rPr>
        <w:t>月</w:t>
      </w:r>
    </w:p>
    <w:p>
      <w:pPr>
        <w:jc w:val="center"/>
        <w:rPr>
          <w:rFonts w:ascii="Microsoft JhengHei" w:eastAsia="Microsoft JhengHei"/>
          <w:sz w:val="36"/>
        </w:rPr>
        <w:sectPr>
          <w:headerReference r:id="rId5" w:type="first"/>
          <w:footerReference r:id="rId8" w:type="first"/>
          <w:headerReference r:id="rId3" w:type="default"/>
          <w:footerReference r:id="rId6" w:type="default"/>
          <w:headerReference r:id="rId4" w:type="even"/>
          <w:footerReference r:id="rId7" w:type="even"/>
          <w:pgSz w:w="11910" w:h="16840"/>
          <w:pgMar w:top="1580" w:right="80" w:bottom="1100" w:left="200" w:header="680" w:footer="964" w:gutter="0"/>
          <w:pgNumType w:start="1"/>
          <w:cols w:space="720" w:num="1"/>
        </w:sectPr>
      </w:pPr>
    </w:p>
    <w:p>
      <w:pPr>
        <w:tabs>
          <w:tab w:val="left" w:pos="1303"/>
        </w:tabs>
        <w:spacing w:before="14"/>
        <w:ind w:right="119"/>
        <w:jc w:val="center"/>
        <w:rPr>
          <w:rFonts w:ascii="仿宋" w:hAnsi="仿宋" w:eastAsia="仿宋" w:cs="仿宋"/>
          <w:b/>
          <w:sz w:val="52"/>
        </w:rPr>
      </w:pPr>
      <w:r>
        <w:rPr>
          <w:rFonts w:hint="eastAsia" w:ascii="仿宋" w:hAnsi="仿宋" w:eastAsia="仿宋" w:cs="仿宋"/>
          <w:b/>
          <w:sz w:val="52"/>
        </w:rPr>
        <w:t>目</w:t>
      </w:r>
      <w:r>
        <w:rPr>
          <w:rFonts w:hint="eastAsia" w:ascii="仿宋" w:hAnsi="仿宋" w:eastAsia="仿宋" w:cs="仿宋"/>
          <w:b/>
          <w:sz w:val="52"/>
        </w:rPr>
        <w:tab/>
      </w:r>
      <w:r>
        <w:rPr>
          <w:rFonts w:hint="eastAsia" w:ascii="仿宋" w:hAnsi="仿宋" w:eastAsia="仿宋" w:cs="仿宋"/>
          <w:b/>
          <w:sz w:val="52"/>
        </w:rPr>
        <w:t>录</w:t>
      </w:r>
    </w:p>
    <w:p>
      <w:pPr>
        <w:pStyle w:val="5"/>
        <w:spacing w:before="10"/>
        <w:rPr>
          <w:rFonts w:ascii="仿宋" w:hAnsi="仿宋" w:eastAsia="仿宋" w:cs="仿宋"/>
          <w:b/>
          <w:sz w:val="36"/>
          <w:szCs w:val="36"/>
        </w:rPr>
      </w:pPr>
    </w:p>
    <w:p>
      <w:pPr>
        <w:tabs>
          <w:tab w:val="left" w:pos="3738"/>
        </w:tabs>
        <w:ind w:left="1938"/>
        <w:rPr>
          <w:rFonts w:ascii="仿宋" w:hAnsi="仿宋" w:eastAsia="仿宋" w:cs="仿宋"/>
          <w:b/>
          <w:sz w:val="36"/>
          <w:szCs w:val="36"/>
        </w:rPr>
      </w:pPr>
      <w:r>
        <w:rPr>
          <w:rFonts w:hint="eastAsia" w:ascii="仿宋" w:hAnsi="仿宋" w:eastAsia="仿宋" w:cs="仿宋"/>
          <w:b/>
          <w:sz w:val="36"/>
          <w:szCs w:val="36"/>
        </w:rPr>
        <w:t>第一部分</w:t>
      </w:r>
      <w:r>
        <w:rPr>
          <w:rFonts w:hint="eastAsia" w:ascii="仿宋" w:hAnsi="仿宋" w:eastAsia="仿宋" w:cs="仿宋"/>
          <w:b/>
          <w:sz w:val="36"/>
          <w:szCs w:val="36"/>
        </w:rPr>
        <w:tab/>
      </w:r>
      <w:r>
        <w:rPr>
          <w:rFonts w:hint="eastAsia" w:ascii="仿宋" w:hAnsi="仿宋" w:eastAsia="仿宋" w:cs="仿宋"/>
          <w:b/>
          <w:sz w:val="36"/>
          <w:szCs w:val="36"/>
          <w:lang w:val="en-US"/>
        </w:rPr>
        <w:t>益阳市资阳区</w:t>
      </w:r>
      <w:r>
        <w:rPr>
          <w:rFonts w:hint="eastAsia" w:ascii="仿宋" w:hAnsi="仿宋" w:eastAsia="仿宋" w:cs="仿宋"/>
          <w:b/>
          <w:sz w:val="36"/>
          <w:szCs w:val="36"/>
        </w:rPr>
        <w:t>消防救援</w:t>
      </w:r>
      <w:r>
        <w:rPr>
          <w:rFonts w:hint="eastAsia" w:ascii="仿宋" w:hAnsi="仿宋" w:eastAsia="仿宋" w:cs="仿宋"/>
          <w:b/>
          <w:sz w:val="36"/>
          <w:szCs w:val="36"/>
          <w:lang w:val="en-US"/>
        </w:rPr>
        <w:t>大</w:t>
      </w:r>
      <w:r>
        <w:rPr>
          <w:rFonts w:hint="eastAsia" w:ascii="仿宋" w:hAnsi="仿宋" w:eastAsia="仿宋" w:cs="仿宋"/>
          <w:b/>
          <w:sz w:val="36"/>
          <w:szCs w:val="36"/>
        </w:rPr>
        <w:t>队概况</w:t>
      </w:r>
    </w:p>
    <w:p>
      <w:pPr>
        <w:pStyle w:val="5"/>
        <w:spacing w:before="186"/>
        <w:ind w:left="1856"/>
        <w:rPr>
          <w:rFonts w:ascii="仿宋" w:hAnsi="仿宋" w:eastAsia="仿宋" w:cs="仿宋"/>
        </w:rPr>
      </w:pPr>
      <w:r>
        <w:rPr>
          <w:rFonts w:hint="eastAsia" w:ascii="仿宋" w:hAnsi="仿宋" w:eastAsia="仿宋" w:cs="仿宋"/>
        </w:rPr>
        <w:t>一、主要职责</w:t>
      </w:r>
    </w:p>
    <w:p>
      <w:pPr>
        <w:pStyle w:val="5"/>
        <w:spacing w:before="186"/>
        <w:ind w:left="1856"/>
        <w:rPr>
          <w:rFonts w:ascii="仿宋" w:hAnsi="仿宋" w:eastAsia="仿宋" w:cs="仿宋"/>
          <w:lang w:val="en-US"/>
        </w:rPr>
      </w:pPr>
      <w:r>
        <w:rPr>
          <w:rFonts w:hint="eastAsia" w:ascii="仿宋" w:hAnsi="仿宋" w:eastAsia="仿宋" w:cs="仿宋"/>
        </w:rPr>
        <w:t>二、</w:t>
      </w:r>
      <w:r>
        <w:rPr>
          <w:rFonts w:hint="eastAsia" w:ascii="仿宋" w:hAnsi="仿宋" w:eastAsia="仿宋" w:cs="仿宋"/>
          <w:lang w:val="en-US"/>
        </w:rPr>
        <w:t>机构设置</w:t>
      </w:r>
    </w:p>
    <w:p>
      <w:pPr>
        <w:pStyle w:val="5"/>
        <w:spacing w:before="8"/>
        <w:rPr>
          <w:rFonts w:ascii="仿宋" w:hAnsi="仿宋" w:eastAsia="仿宋" w:cs="仿宋"/>
          <w:sz w:val="27"/>
        </w:rPr>
      </w:pPr>
    </w:p>
    <w:p>
      <w:pPr>
        <w:ind w:left="1938"/>
        <w:jc w:val="both"/>
        <w:rPr>
          <w:rFonts w:ascii="仿宋" w:hAnsi="仿宋" w:eastAsia="仿宋" w:cs="仿宋"/>
          <w:b/>
          <w:bCs/>
          <w:sz w:val="36"/>
          <w:lang w:val="en-US"/>
        </w:rPr>
      </w:pPr>
      <w:r>
        <w:rPr>
          <w:rFonts w:hint="eastAsia" w:ascii="仿宋" w:hAnsi="仿宋" w:eastAsia="仿宋" w:cs="仿宋"/>
          <w:b/>
          <w:bCs/>
          <w:sz w:val="36"/>
        </w:rPr>
        <w:t>第二部分</w:t>
      </w:r>
      <w:r>
        <w:rPr>
          <w:rFonts w:hint="eastAsia" w:ascii="仿宋" w:hAnsi="仿宋" w:eastAsia="仿宋" w:cs="仿宋"/>
          <w:b/>
          <w:bCs/>
          <w:sz w:val="36"/>
          <w:lang w:val="en-US"/>
        </w:rPr>
        <w:t xml:space="preserve">  2022年度部门决算表</w:t>
      </w:r>
    </w:p>
    <w:p>
      <w:pPr>
        <w:pStyle w:val="5"/>
        <w:spacing w:before="186"/>
        <w:ind w:left="1856"/>
        <w:rPr>
          <w:rFonts w:ascii="仿宋" w:hAnsi="仿宋" w:eastAsia="仿宋" w:cs="仿宋"/>
          <w:lang w:val="en-US"/>
        </w:rPr>
      </w:pPr>
      <w:r>
        <w:rPr>
          <w:rFonts w:hint="eastAsia" w:ascii="仿宋" w:hAnsi="仿宋" w:eastAsia="仿宋" w:cs="仿宋"/>
        </w:rPr>
        <w:t>一、</w:t>
      </w:r>
      <w:r>
        <w:rPr>
          <w:rFonts w:hint="eastAsia" w:ascii="仿宋" w:hAnsi="仿宋" w:eastAsia="仿宋" w:cs="仿宋"/>
          <w:lang w:val="en-US"/>
        </w:rPr>
        <w:t>收人支出决算总表</w:t>
      </w:r>
    </w:p>
    <w:p>
      <w:pPr>
        <w:pStyle w:val="5"/>
        <w:spacing w:before="186"/>
        <w:ind w:left="1856"/>
        <w:rPr>
          <w:rFonts w:ascii="仿宋" w:hAnsi="仿宋" w:eastAsia="仿宋" w:cs="仿宋"/>
          <w:lang w:val="en-US"/>
        </w:rPr>
      </w:pPr>
      <w:r>
        <w:rPr>
          <w:rFonts w:hint="eastAsia" w:ascii="仿宋" w:hAnsi="仿宋" w:eastAsia="仿宋" w:cs="仿宋"/>
        </w:rPr>
        <w:t>二、收入</w:t>
      </w:r>
      <w:r>
        <w:rPr>
          <w:rFonts w:hint="eastAsia" w:ascii="仿宋" w:hAnsi="仿宋" w:eastAsia="仿宋" w:cs="仿宋"/>
          <w:lang w:val="en-US"/>
        </w:rPr>
        <w:t>决算</w:t>
      </w:r>
      <w:r>
        <w:rPr>
          <w:rFonts w:hint="eastAsia" w:ascii="仿宋" w:hAnsi="仿宋" w:eastAsia="仿宋" w:cs="仿宋"/>
        </w:rPr>
        <w:t>表</w:t>
      </w:r>
    </w:p>
    <w:p>
      <w:pPr>
        <w:pStyle w:val="5"/>
        <w:spacing w:before="186"/>
        <w:ind w:left="1856"/>
        <w:rPr>
          <w:rFonts w:ascii="仿宋" w:hAnsi="仿宋" w:eastAsia="仿宋" w:cs="仿宋"/>
          <w:lang w:val="en-US"/>
        </w:rPr>
      </w:pPr>
      <w:r>
        <w:rPr>
          <w:rFonts w:hint="eastAsia" w:ascii="仿宋" w:hAnsi="仿宋" w:eastAsia="仿宋" w:cs="仿宋"/>
        </w:rPr>
        <w:t>三、支出</w:t>
      </w:r>
      <w:r>
        <w:rPr>
          <w:rFonts w:hint="eastAsia" w:ascii="仿宋" w:hAnsi="仿宋" w:eastAsia="仿宋" w:cs="仿宋"/>
          <w:lang w:val="en-US"/>
        </w:rPr>
        <w:t>决算</w:t>
      </w:r>
      <w:r>
        <w:rPr>
          <w:rFonts w:hint="eastAsia" w:ascii="仿宋" w:hAnsi="仿宋" w:eastAsia="仿宋" w:cs="仿宋"/>
        </w:rPr>
        <w:t>表</w:t>
      </w:r>
    </w:p>
    <w:p>
      <w:pPr>
        <w:pStyle w:val="5"/>
        <w:spacing w:before="186"/>
        <w:ind w:left="1856"/>
        <w:rPr>
          <w:rFonts w:ascii="仿宋" w:hAnsi="仿宋" w:eastAsia="仿宋" w:cs="仿宋"/>
          <w:lang w:val="en-US"/>
        </w:rPr>
      </w:pPr>
      <w:r>
        <w:rPr>
          <w:rFonts w:hint="eastAsia" w:ascii="仿宋" w:hAnsi="仿宋" w:eastAsia="仿宋" w:cs="仿宋"/>
        </w:rPr>
        <w:t>四、财政拨款</w:t>
      </w:r>
      <w:r>
        <w:rPr>
          <w:rFonts w:hint="eastAsia" w:ascii="仿宋" w:hAnsi="仿宋" w:eastAsia="仿宋" w:cs="仿宋"/>
          <w:lang w:val="en-US"/>
        </w:rPr>
        <w:t>收人支出决算总表</w:t>
      </w:r>
    </w:p>
    <w:p>
      <w:pPr>
        <w:pStyle w:val="5"/>
        <w:spacing w:before="186"/>
        <w:ind w:left="1856"/>
        <w:rPr>
          <w:rFonts w:ascii="仿宋" w:hAnsi="仿宋" w:eastAsia="仿宋" w:cs="仿宋"/>
          <w:lang w:val="en-US"/>
        </w:rPr>
      </w:pPr>
      <w:r>
        <w:rPr>
          <w:rFonts w:hint="eastAsia" w:ascii="仿宋" w:hAnsi="仿宋" w:eastAsia="仿宋" w:cs="仿宋"/>
        </w:rPr>
        <w:t>五、一般公共预算</w:t>
      </w:r>
      <w:r>
        <w:rPr>
          <w:rFonts w:hint="eastAsia" w:ascii="仿宋" w:hAnsi="仿宋" w:eastAsia="仿宋" w:cs="仿宋"/>
          <w:lang w:val="en-US"/>
        </w:rPr>
        <w:t>财政拨款</w:t>
      </w:r>
      <w:r>
        <w:rPr>
          <w:rFonts w:hint="eastAsia" w:ascii="仿宋" w:hAnsi="仿宋" w:eastAsia="仿宋" w:cs="仿宋"/>
        </w:rPr>
        <w:t>支出</w:t>
      </w:r>
      <w:r>
        <w:rPr>
          <w:rFonts w:hint="eastAsia" w:ascii="仿宋" w:hAnsi="仿宋" w:eastAsia="仿宋" w:cs="仿宋"/>
          <w:lang w:val="en-US"/>
        </w:rPr>
        <w:t>决算</w:t>
      </w:r>
      <w:r>
        <w:rPr>
          <w:rFonts w:hint="eastAsia" w:ascii="仿宋" w:hAnsi="仿宋" w:eastAsia="仿宋" w:cs="仿宋"/>
        </w:rPr>
        <w:t>表</w:t>
      </w:r>
    </w:p>
    <w:p>
      <w:pPr>
        <w:pStyle w:val="5"/>
        <w:spacing w:before="186"/>
        <w:ind w:left="1856"/>
        <w:rPr>
          <w:rFonts w:ascii="仿宋" w:hAnsi="仿宋" w:eastAsia="仿宋" w:cs="仿宋"/>
        </w:rPr>
      </w:pPr>
      <w:r>
        <w:rPr>
          <w:rFonts w:hint="eastAsia" w:ascii="仿宋" w:hAnsi="仿宋" w:eastAsia="仿宋" w:cs="仿宋"/>
        </w:rPr>
        <w:t>六、一般公共预算</w:t>
      </w:r>
      <w:r>
        <w:rPr>
          <w:rFonts w:hint="eastAsia" w:ascii="仿宋" w:hAnsi="仿宋" w:eastAsia="仿宋" w:cs="仿宋"/>
          <w:lang w:val="en-US"/>
        </w:rPr>
        <w:t>财政拨款</w:t>
      </w:r>
      <w:r>
        <w:rPr>
          <w:rFonts w:hint="eastAsia" w:ascii="仿宋" w:hAnsi="仿宋" w:eastAsia="仿宋" w:cs="仿宋"/>
        </w:rPr>
        <w:t>基本支出</w:t>
      </w:r>
      <w:r>
        <w:rPr>
          <w:rFonts w:hint="eastAsia" w:ascii="仿宋" w:hAnsi="仿宋" w:eastAsia="仿宋" w:cs="仿宋"/>
          <w:lang w:val="en-US"/>
        </w:rPr>
        <w:t>决算明细</w:t>
      </w:r>
      <w:r>
        <w:rPr>
          <w:rFonts w:hint="eastAsia" w:ascii="仿宋" w:hAnsi="仿宋" w:eastAsia="仿宋" w:cs="仿宋"/>
        </w:rPr>
        <w:t>表</w:t>
      </w:r>
    </w:p>
    <w:p>
      <w:pPr>
        <w:pStyle w:val="5"/>
        <w:spacing w:before="186"/>
        <w:ind w:left="1856"/>
        <w:rPr>
          <w:rFonts w:ascii="仿宋" w:hAnsi="仿宋" w:eastAsia="仿宋" w:cs="仿宋"/>
        </w:rPr>
      </w:pPr>
      <w:r>
        <w:rPr>
          <w:rFonts w:hint="eastAsia" w:ascii="仿宋" w:hAnsi="仿宋" w:eastAsia="仿宋" w:cs="仿宋"/>
          <w:lang w:val="en-US"/>
        </w:rPr>
        <w:t>七</w:t>
      </w:r>
      <w:r>
        <w:rPr>
          <w:rFonts w:hint="eastAsia" w:ascii="仿宋" w:hAnsi="仿宋" w:eastAsia="仿宋" w:cs="仿宋"/>
        </w:rPr>
        <w:t>、政府性基金预算</w:t>
      </w:r>
      <w:r>
        <w:rPr>
          <w:rFonts w:hint="eastAsia" w:ascii="仿宋" w:hAnsi="仿宋" w:eastAsia="仿宋" w:cs="仿宋"/>
          <w:lang w:val="en-US"/>
        </w:rPr>
        <w:t>财政拨款收入</w:t>
      </w:r>
      <w:r>
        <w:rPr>
          <w:rFonts w:hint="eastAsia" w:ascii="仿宋" w:hAnsi="仿宋" w:eastAsia="仿宋" w:cs="仿宋"/>
        </w:rPr>
        <w:t>支出</w:t>
      </w:r>
      <w:r>
        <w:rPr>
          <w:rFonts w:hint="eastAsia" w:ascii="仿宋" w:hAnsi="仿宋" w:eastAsia="仿宋" w:cs="仿宋"/>
          <w:lang w:val="en-US"/>
        </w:rPr>
        <w:t>决算</w:t>
      </w:r>
      <w:r>
        <w:rPr>
          <w:rFonts w:hint="eastAsia" w:ascii="仿宋" w:hAnsi="仿宋" w:eastAsia="仿宋" w:cs="仿宋"/>
        </w:rPr>
        <w:t>表</w:t>
      </w:r>
    </w:p>
    <w:p>
      <w:pPr>
        <w:pStyle w:val="5"/>
        <w:spacing w:before="186"/>
        <w:ind w:left="1856"/>
        <w:rPr>
          <w:rFonts w:ascii="仿宋" w:hAnsi="仿宋" w:eastAsia="仿宋" w:cs="仿宋"/>
        </w:rPr>
      </w:pPr>
      <w:r>
        <w:rPr>
          <w:rFonts w:hint="eastAsia" w:ascii="仿宋" w:hAnsi="仿宋" w:eastAsia="仿宋" w:cs="仿宋"/>
          <w:lang w:val="en-US"/>
        </w:rPr>
        <w:t>八</w:t>
      </w:r>
      <w:r>
        <w:rPr>
          <w:rFonts w:hint="eastAsia" w:ascii="仿宋" w:hAnsi="仿宋" w:eastAsia="仿宋" w:cs="仿宋"/>
        </w:rPr>
        <w:t>、国有资本经营预算</w:t>
      </w:r>
      <w:r>
        <w:rPr>
          <w:rFonts w:hint="eastAsia" w:ascii="仿宋" w:hAnsi="仿宋" w:eastAsia="仿宋" w:cs="仿宋"/>
          <w:lang w:val="en-US"/>
        </w:rPr>
        <w:t>财政拨款</w:t>
      </w:r>
      <w:r>
        <w:rPr>
          <w:rFonts w:hint="eastAsia" w:ascii="仿宋" w:hAnsi="仿宋" w:eastAsia="仿宋" w:cs="仿宋"/>
        </w:rPr>
        <w:t>支出</w:t>
      </w:r>
      <w:r>
        <w:rPr>
          <w:rFonts w:hint="eastAsia" w:ascii="仿宋" w:hAnsi="仿宋" w:eastAsia="仿宋" w:cs="仿宋"/>
          <w:lang w:val="en-US"/>
        </w:rPr>
        <w:t>决算</w:t>
      </w:r>
      <w:r>
        <w:rPr>
          <w:rFonts w:hint="eastAsia" w:ascii="仿宋" w:hAnsi="仿宋" w:eastAsia="仿宋" w:cs="仿宋"/>
        </w:rPr>
        <w:t>表</w:t>
      </w:r>
    </w:p>
    <w:p>
      <w:pPr>
        <w:pStyle w:val="5"/>
        <w:spacing w:before="186"/>
        <w:ind w:left="1856"/>
        <w:rPr>
          <w:rFonts w:ascii="仿宋" w:hAnsi="仿宋" w:eastAsia="仿宋" w:cs="仿宋"/>
          <w:lang w:val="en-US"/>
        </w:rPr>
      </w:pPr>
      <w:r>
        <w:rPr>
          <w:rFonts w:hint="eastAsia" w:ascii="仿宋" w:hAnsi="仿宋" w:eastAsia="仿宋" w:cs="仿宋"/>
          <w:lang w:val="en-US"/>
        </w:rPr>
        <w:t>九、</w:t>
      </w:r>
      <w:r>
        <w:rPr>
          <w:rFonts w:hint="eastAsia" w:ascii="仿宋" w:hAnsi="仿宋" w:eastAsia="仿宋" w:cs="仿宋"/>
        </w:rPr>
        <w:t>一般公共预算</w:t>
      </w:r>
      <w:r>
        <w:rPr>
          <w:rFonts w:hint="eastAsia" w:ascii="仿宋" w:hAnsi="仿宋" w:eastAsia="仿宋" w:cs="仿宋"/>
          <w:lang w:val="en-US"/>
        </w:rPr>
        <w:t>财政拨款“三公”经费支出决算表</w:t>
      </w:r>
    </w:p>
    <w:p>
      <w:pPr>
        <w:jc w:val="both"/>
        <w:rPr>
          <w:rFonts w:ascii="仿宋" w:hAnsi="仿宋" w:eastAsia="仿宋" w:cs="仿宋"/>
          <w:sz w:val="36"/>
        </w:rPr>
      </w:pPr>
    </w:p>
    <w:p>
      <w:pPr>
        <w:numPr>
          <w:ilvl w:val="0"/>
          <w:numId w:val="1"/>
        </w:numPr>
        <w:ind w:left="1938"/>
        <w:jc w:val="both"/>
        <w:rPr>
          <w:rFonts w:ascii="仿宋" w:hAnsi="仿宋" w:eastAsia="仿宋" w:cs="仿宋"/>
          <w:b/>
          <w:bCs/>
          <w:sz w:val="36"/>
          <w:lang w:val="en-US"/>
        </w:rPr>
      </w:pPr>
      <w:r>
        <w:rPr>
          <w:rFonts w:hint="eastAsia" w:ascii="仿宋" w:hAnsi="仿宋" w:eastAsia="仿宋" w:cs="仿宋"/>
          <w:b/>
          <w:bCs/>
          <w:sz w:val="36"/>
          <w:lang w:val="en-US"/>
        </w:rPr>
        <w:t xml:space="preserve"> 2022年度部门决算情况说明</w:t>
      </w:r>
    </w:p>
    <w:p>
      <w:pPr>
        <w:pStyle w:val="5"/>
        <w:spacing w:before="186"/>
        <w:ind w:left="1856"/>
        <w:rPr>
          <w:rFonts w:ascii="仿宋" w:hAnsi="仿宋" w:eastAsia="仿宋" w:cs="仿宋"/>
          <w:lang w:val="en-US"/>
        </w:rPr>
      </w:pPr>
      <w:r>
        <w:rPr>
          <w:rFonts w:hint="eastAsia" w:ascii="仿宋" w:hAnsi="仿宋" w:eastAsia="仿宋" w:cs="仿宋"/>
        </w:rPr>
        <w:t>一、</w:t>
      </w:r>
      <w:r>
        <w:rPr>
          <w:rFonts w:hint="eastAsia" w:ascii="仿宋" w:hAnsi="仿宋" w:eastAsia="仿宋" w:cs="仿宋"/>
          <w:lang w:val="en-US"/>
        </w:rPr>
        <w:t>收人支出决算总体情况说明</w:t>
      </w:r>
    </w:p>
    <w:p>
      <w:pPr>
        <w:pStyle w:val="5"/>
        <w:spacing w:before="186"/>
        <w:ind w:left="1856"/>
        <w:rPr>
          <w:rFonts w:ascii="仿宋" w:hAnsi="仿宋" w:eastAsia="仿宋" w:cs="仿宋"/>
          <w:lang w:val="en-US"/>
        </w:rPr>
      </w:pPr>
      <w:r>
        <w:rPr>
          <w:rFonts w:hint="eastAsia" w:ascii="仿宋" w:hAnsi="仿宋" w:eastAsia="仿宋" w:cs="仿宋"/>
        </w:rPr>
        <w:t>二、收入</w:t>
      </w:r>
      <w:r>
        <w:rPr>
          <w:rFonts w:hint="eastAsia" w:ascii="仿宋" w:hAnsi="仿宋" w:eastAsia="仿宋" w:cs="仿宋"/>
          <w:lang w:val="en-US"/>
        </w:rPr>
        <w:t>决算情况说明</w:t>
      </w:r>
    </w:p>
    <w:p>
      <w:pPr>
        <w:pStyle w:val="5"/>
        <w:spacing w:before="186"/>
        <w:ind w:left="1856"/>
        <w:rPr>
          <w:rFonts w:ascii="仿宋" w:hAnsi="仿宋" w:eastAsia="仿宋" w:cs="仿宋"/>
          <w:lang w:val="en-US"/>
        </w:rPr>
      </w:pPr>
      <w:r>
        <w:rPr>
          <w:rFonts w:hint="eastAsia" w:ascii="仿宋" w:hAnsi="仿宋" w:eastAsia="仿宋" w:cs="仿宋"/>
        </w:rPr>
        <w:t>三、支出</w:t>
      </w:r>
      <w:r>
        <w:rPr>
          <w:rFonts w:hint="eastAsia" w:ascii="仿宋" w:hAnsi="仿宋" w:eastAsia="仿宋" w:cs="仿宋"/>
          <w:lang w:val="en-US"/>
        </w:rPr>
        <w:t>决算情况说明</w:t>
      </w:r>
    </w:p>
    <w:p>
      <w:pPr>
        <w:pStyle w:val="5"/>
        <w:spacing w:before="186"/>
        <w:ind w:left="1856"/>
        <w:rPr>
          <w:rFonts w:ascii="仿宋" w:hAnsi="仿宋" w:eastAsia="仿宋" w:cs="仿宋"/>
          <w:lang w:val="en-US"/>
        </w:rPr>
      </w:pPr>
      <w:r>
        <w:rPr>
          <w:rFonts w:hint="eastAsia" w:ascii="仿宋" w:hAnsi="仿宋" w:eastAsia="仿宋" w:cs="仿宋"/>
        </w:rPr>
        <w:t>四、财政拨款</w:t>
      </w:r>
      <w:r>
        <w:rPr>
          <w:rFonts w:hint="eastAsia" w:ascii="仿宋" w:hAnsi="仿宋" w:eastAsia="仿宋" w:cs="仿宋"/>
          <w:lang w:val="en-US"/>
        </w:rPr>
        <w:t>收人支出决算总体情况说明</w:t>
      </w:r>
    </w:p>
    <w:p>
      <w:pPr>
        <w:pStyle w:val="5"/>
        <w:spacing w:before="186"/>
        <w:ind w:left="1856"/>
        <w:rPr>
          <w:rFonts w:ascii="仿宋" w:hAnsi="仿宋" w:eastAsia="仿宋" w:cs="仿宋"/>
          <w:lang w:val="en-US"/>
        </w:rPr>
      </w:pPr>
      <w:r>
        <w:rPr>
          <w:rFonts w:hint="eastAsia" w:ascii="仿宋" w:hAnsi="仿宋" w:eastAsia="仿宋" w:cs="仿宋"/>
        </w:rPr>
        <w:t>五、一般公共预算</w:t>
      </w:r>
      <w:r>
        <w:rPr>
          <w:rFonts w:hint="eastAsia" w:ascii="仿宋" w:hAnsi="仿宋" w:eastAsia="仿宋" w:cs="仿宋"/>
          <w:lang w:val="en-US"/>
        </w:rPr>
        <w:t>财政拨款</w:t>
      </w:r>
      <w:r>
        <w:rPr>
          <w:rFonts w:hint="eastAsia" w:ascii="仿宋" w:hAnsi="仿宋" w:eastAsia="仿宋" w:cs="仿宋"/>
        </w:rPr>
        <w:t>支出</w:t>
      </w:r>
      <w:r>
        <w:rPr>
          <w:rFonts w:hint="eastAsia" w:ascii="仿宋" w:hAnsi="仿宋" w:eastAsia="仿宋" w:cs="仿宋"/>
          <w:lang w:val="en-US"/>
        </w:rPr>
        <w:t>决算情况说明</w:t>
      </w:r>
    </w:p>
    <w:p>
      <w:pPr>
        <w:pStyle w:val="5"/>
        <w:spacing w:before="186"/>
        <w:ind w:left="1856"/>
        <w:rPr>
          <w:rFonts w:ascii="仿宋" w:hAnsi="仿宋" w:eastAsia="仿宋" w:cs="仿宋"/>
        </w:rPr>
      </w:pPr>
      <w:r>
        <w:rPr>
          <w:rFonts w:hint="eastAsia" w:ascii="仿宋" w:hAnsi="仿宋" w:eastAsia="仿宋" w:cs="仿宋"/>
        </w:rPr>
        <w:t>六、一般公共预算</w:t>
      </w:r>
      <w:r>
        <w:rPr>
          <w:rFonts w:hint="eastAsia" w:ascii="仿宋" w:hAnsi="仿宋" w:eastAsia="仿宋" w:cs="仿宋"/>
          <w:lang w:val="en-US"/>
        </w:rPr>
        <w:t>财政拨款</w:t>
      </w:r>
      <w:r>
        <w:rPr>
          <w:rFonts w:hint="eastAsia" w:ascii="仿宋" w:hAnsi="仿宋" w:eastAsia="仿宋" w:cs="仿宋"/>
        </w:rPr>
        <w:t>基本支出</w:t>
      </w:r>
      <w:r>
        <w:rPr>
          <w:rFonts w:hint="eastAsia" w:ascii="仿宋" w:hAnsi="仿宋" w:eastAsia="仿宋" w:cs="仿宋"/>
          <w:lang w:val="en-US"/>
        </w:rPr>
        <w:t>决算情况说明</w:t>
      </w:r>
    </w:p>
    <w:p>
      <w:pPr>
        <w:pStyle w:val="5"/>
        <w:spacing w:before="186"/>
        <w:ind w:left="1856"/>
        <w:rPr>
          <w:rFonts w:ascii="仿宋" w:hAnsi="仿宋" w:eastAsia="仿宋" w:cs="仿宋"/>
          <w:lang w:val="en-US"/>
        </w:rPr>
      </w:pPr>
      <w:r>
        <w:rPr>
          <w:rFonts w:hint="eastAsia" w:ascii="仿宋" w:hAnsi="仿宋" w:eastAsia="仿宋" w:cs="仿宋"/>
          <w:lang w:val="en-US"/>
        </w:rPr>
        <w:t>七</w:t>
      </w:r>
      <w:r>
        <w:rPr>
          <w:rFonts w:hint="eastAsia" w:ascii="仿宋" w:hAnsi="仿宋" w:eastAsia="仿宋" w:cs="仿宋"/>
        </w:rPr>
        <w:t>、一般公共预算</w:t>
      </w:r>
      <w:r>
        <w:rPr>
          <w:rFonts w:hint="eastAsia" w:ascii="仿宋" w:hAnsi="仿宋" w:eastAsia="仿宋" w:cs="仿宋"/>
          <w:lang w:val="en-US"/>
        </w:rPr>
        <w:t>财政拨款“三公”经费支出决算情况说明</w:t>
      </w:r>
    </w:p>
    <w:p>
      <w:pPr>
        <w:pStyle w:val="5"/>
        <w:spacing w:before="186"/>
        <w:ind w:left="1856"/>
        <w:rPr>
          <w:rFonts w:ascii="仿宋" w:hAnsi="仿宋" w:eastAsia="仿宋" w:cs="仿宋"/>
          <w:lang w:val="en-US"/>
        </w:rPr>
      </w:pPr>
      <w:r>
        <w:rPr>
          <w:rFonts w:hint="eastAsia" w:ascii="仿宋" w:hAnsi="仿宋" w:eastAsia="仿宋" w:cs="仿宋"/>
          <w:lang w:val="en-US"/>
        </w:rPr>
        <w:t>八</w:t>
      </w:r>
      <w:r>
        <w:rPr>
          <w:rFonts w:hint="eastAsia" w:ascii="仿宋" w:hAnsi="仿宋" w:eastAsia="仿宋" w:cs="仿宋"/>
        </w:rPr>
        <w:t>、</w:t>
      </w:r>
      <w:r>
        <w:rPr>
          <w:rFonts w:hint="eastAsia" w:ascii="仿宋" w:hAnsi="仿宋" w:eastAsia="仿宋" w:cs="仿宋"/>
          <w:lang w:val="en-US"/>
        </w:rPr>
        <w:t>机关运行经费支出说明</w:t>
      </w:r>
    </w:p>
    <w:p>
      <w:pPr>
        <w:pStyle w:val="5"/>
        <w:spacing w:before="186"/>
        <w:ind w:left="1856"/>
        <w:rPr>
          <w:rFonts w:ascii="仿宋" w:hAnsi="仿宋" w:eastAsia="仿宋" w:cs="仿宋"/>
          <w:lang w:val="en-US"/>
        </w:rPr>
      </w:pPr>
      <w:r>
        <w:rPr>
          <w:rFonts w:hint="eastAsia" w:ascii="仿宋" w:hAnsi="仿宋" w:eastAsia="仿宋" w:cs="仿宋"/>
          <w:lang w:val="en-US"/>
        </w:rPr>
        <w:t>九、政府采购支出说明</w:t>
      </w:r>
    </w:p>
    <w:p>
      <w:pPr>
        <w:pStyle w:val="5"/>
        <w:spacing w:before="186"/>
        <w:ind w:left="1856"/>
        <w:rPr>
          <w:rFonts w:ascii="仿宋" w:hAnsi="仿宋" w:eastAsia="仿宋" w:cs="仿宋"/>
          <w:lang w:val="en-US"/>
        </w:rPr>
      </w:pPr>
      <w:r>
        <w:rPr>
          <w:rFonts w:hint="eastAsia" w:ascii="仿宋" w:hAnsi="仿宋" w:eastAsia="仿宋" w:cs="仿宋"/>
          <w:lang w:val="en-US"/>
        </w:rPr>
        <w:t>十、国有资产占用情况说明</w:t>
      </w:r>
    </w:p>
    <w:p>
      <w:pPr>
        <w:pStyle w:val="5"/>
        <w:spacing w:before="186"/>
        <w:ind w:left="1856"/>
        <w:rPr>
          <w:rFonts w:ascii="仿宋" w:hAnsi="仿宋" w:eastAsia="仿宋" w:cs="仿宋"/>
          <w:lang w:val="en-US"/>
        </w:rPr>
      </w:pPr>
      <w:r>
        <w:rPr>
          <w:rFonts w:hint="eastAsia" w:ascii="仿宋" w:hAnsi="仿宋" w:eastAsia="仿宋" w:cs="仿宋"/>
          <w:lang w:val="en-US"/>
        </w:rPr>
        <w:t>十一、预算绩效情况说明</w:t>
      </w:r>
    </w:p>
    <w:p>
      <w:pPr>
        <w:pStyle w:val="2"/>
        <w:spacing w:line="240" w:lineRule="auto"/>
        <w:ind w:firstLine="0" w:firstLineChars="0"/>
        <w:rPr>
          <w:rFonts w:ascii="仿宋" w:hAnsi="仿宋" w:eastAsia="仿宋" w:cs="仿宋"/>
          <w:b/>
          <w:bCs/>
          <w:sz w:val="36"/>
          <w:szCs w:val="36"/>
          <w:lang w:val="en-US"/>
        </w:rPr>
      </w:pPr>
    </w:p>
    <w:p>
      <w:pPr>
        <w:ind w:left="1938"/>
        <w:jc w:val="both"/>
        <w:rPr>
          <w:rFonts w:ascii="仿宋" w:hAnsi="仿宋" w:eastAsia="仿宋" w:cs="仿宋"/>
          <w:b/>
          <w:bCs/>
          <w:sz w:val="36"/>
          <w:szCs w:val="36"/>
          <w:lang w:val="en-US"/>
        </w:rPr>
      </w:pPr>
      <w:r>
        <w:rPr>
          <w:rFonts w:hint="eastAsia" w:ascii="仿宋" w:hAnsi="仿宋" w:eastAsia="仿宋" w:cs="仿宋"/>
          <w:b/>
          <w:bCs/>
          <w:sz w:val="36"/>
          <w:szCs w:val="36"/>
        </w:rPr>
        <w:t>第四部分名词解释</w:t>
      </w:r>
    </w:p>
    <w:p>
      <w:pPr>
        <w:ind w:left="1938"/>
        <w:jc w:val="both"/>
        <w:rPr>
          <w:rFonts w:ascii="仿宋" w:hAnsi="仿宋" w:eastAsia="仿宋" w:cs="仿宋"/>
          <w:b/>
          <w:bCs/>
          <w:sz w:val="36"/>
          <w:szCs w:val="36"/>
        </w:rPr>
      </w:pPr>
    </w:p>
    <w:p>
      <w:pPr>
        <w:pStyle w:val="2"/>
        <w:ind w:firstLine="0" w:firstLineChars="0"/>
        <w:sectPr>
          <w:footerReference r:id="rId9" w:type="default"/>
          <w:pgSz w:w="11910" w:h="16840"/>
          <w:pgMar w:top="1520" w:right="80" w:bottom="1180" w:left="200" w:header="680" w:footer="850" w:gutter="0"/>
          <w:pgNumType w:start="1"/>
          <w:cols w:space="720" w:num="1"/>
        </w:sectPr>
      </w:pPr>
    </w:p>
    <w:p>
      <w:pPr>
        <w:pStyle w:val="5"/>
        <w:rPr>
          <w:sz w:val="20"/>
        </w:rPr>
      </w:pPr>
      <w:r>
        <mc:AlternateContent>
          <mc:Choice Requires="wpg">
            <w:drawing>
              <wp:anchor distT="0" distB="0" distL="114300" distR="114300" simplePos="0" relativeHeight="251659264" behindDoc="1" locked="0" layoutInCell="1" allowOverlap="1">
                <wp:simplePos x="0" y="0"/>
                <wp:positionH relativeFrom="page">
                  <wp:posOffset>9525</wp:posOffset>
                </wp:positionH>
                <wp:positionV relativeFrom="page">
                  <wp:posOffset>8890</wp:posOffset>
                </wp:positionV>
                <wp:extent cx="7574915" cy="10683240"/>
                <wp:effectExtent l="0" t="0" r="0" b="0"/>
                <wp:wrapNone/>
                <wp:docPr id="7" name="组合 23"/>
                <wp:cNvGraphicFramePr/>
                <a:graphic xmlns:a="http://schemas.openxmlformats.org/drawingml/2006/main">
                  <a:graphicData uri="http://schemas.microsoft.com/office/word/2010/wordprocessingGroup">
                    <wpg:wgp>
                      <wpg:cNvGrpSpPr/>
                      <wpg:grpSpPr>
                        <a:xfrm>
                          <a:off x="0" y="0"/>
                          <a:ext cx="7574915" cy="10683240"/>
                          <a:chOff x="0" y="14"/>
                          <a:chExt cx="11389" cy="0"/>
                        </a:xfrm>
                      </wpg:grpSpPr>
                      <wps:wsp>
                        <wps:cNvPr id="2" name="自选图形 2"/>
                        <wps:cNvSpPr/>
                        <wps:spPr>
                          <a:xfrm>
                            <a:off x="3374" y="14"/>
                            <a:ext cx="2" cy="16824"/>
                          </a:xfrm>
                          <a:custGeom>
                            <a:avLst/>
                            <a:gdLst>
                              <a:gd name="A1" fmla="val 0"/>
                              <a:gd name="A2" fmla="val 0"/>
                              <a:gd name="A3" fmla="val 0"/>
                            </a:gdLst>
                            <a:ahLst/>
                            <a:cxnLst/>
                            <a:pathLst>
                              <a:path w="1" h="16824">
                                <a:moveTo>
                                  <a:pt x="0" y="0"/>
                                </a:moveTo>
                                <a:lnTo>
                                  <a:pt x="0" y="6344"/>
                                </a:lnTo>
                                <a:moveTo>
                                  <a:pt x="0" y="9932"/>
                                </a:moveTo>
                                <a:lnTo>
                                  <a:pt x="0" y="16824"/>
                                </a:lnTo>
                              </a:path>
                            </a:pathLst>
                          </a:custGeom>
                          <a:solidFill>
                            <a:srgbClr val="0070C0"/>
                          </a:solidFill>
                          <a:ln w="13957" cap="flat" cmpd="sng">
                            <a:solidFill>
                              <a:srgbClr val="CCCC00"/>
                            </a:solidFill>
                            <a:prstDash val="solid"/>
                            <a:round/>
                            <a:headEnd type="none" w="med" len="med"/>
                            <a:tailEnd type="none" w="med" len="med"/>
                          </a:ln>
                        </wps:spPr>
                        <wps:bodyPr upright="1"/>
                      </wps:wsp>
                      <wps:wsp>
                        <wps:cNvPr id="3" name="自选图形 27"/>
                        <wps:cNvSpPr/>
                        <wps:spPr>
                          <a:xfrm>
                            <a:off x="3218" y="14"/>
                            <a:ext cx="420" cy="16824"/>
                          </a:xfrm>
                          <a:custGeom>
                            <a:avLst/>
                            <a:gdLst>
                              <a:gd name="A1" fmla="val 0"/>
                              <a:gd name="A2" fmla="val 0"/>
                              <a:gd name="A3" fmla="val 0"/>
                            </a:gdLst>
                            <a:ahLst/>
                            <a:cxnLst/>
                            <a:pathLst>
                              <a:path w="420" h="16824">
                                <a:moveTo>
                                  <a:pt x="420" y="0"/>
                                </a:moveTo>
                                <a:lnTo>
                                  <a:pt x="420" y="6344"/>
                                </a:lnTo>
                                <a:moveTo>
                                  <a:pt x="420" y="9932"/>
                                </a:moveTo>
                                <a:lnTo>
                                  <a:pt x="420" y="16824"/>
                                </a:lnTo>
                                <a:moveTo>
                                  <a:pt x="0" y="0"/>
                                </a:moveTo>
                                <a:lnTo>
                                  <a:pt x="0" y="6344"/>
                                </a:lnTo>
                                <a:moveTo>
                                  <a:pt x="0" y="9932"/>
                                </a:moveTo>
                                <a:lnTo>
                                  <a:pt x="0" y="16824"/>
                                </a:lnTo>
                              </a:path>
                            </a:pathLst>
                          </a:custGeom>
                          <a:solidFill>
                            <a:srgbClr val="0070C0"/>
                          </a:solidFill>
                          <a:ln w="13957" cap="flat" cmpd="sng">
                            <a:solidFill>
                              <a:srgbClr val="CCCC00"/>
                            </a:solidFill>
                            <a:prstDash val="solid"/>
                            <a:round/>
                            <a:headEnd type="none" w="med" len="med"/>
                            <a:tailEnd type="none" w="med" len="med"/>
                          </a:ln>
                        </wps:spPr>
                        <wps:bodyPr upright="1"/>
                      </wps:wsp>
                      <wps:wsp>
                        <wps:cNvPr id="4" name="自选图形 26"/>
                        <wps:cNvSpPr/>
                        <wps:spPr>
                          <a:xfrm>
                            <a:off x="3498" y="14"/>
                            <a:ext cx="2" cy="16824"/>
                          </a:xfrm>
                          <a:custGeom>
                            <a:avLst/>
                            <a:gdLst>
                              <a:gd name="A1" fmla="val 0"/>
                              <a:gd name="A2" fmla="val 0"/>
                              <a:gd name="A3" fmla="val 0"/>
                            </a:gdLst>
                            <a:ahLst/>
                            <a:cxnLst/>
                            <a:pathLst>
                              <a:path w="1" h="16824">
                                <a:moveTo>
                                  <a:pt x="0" y="0"/>
                                </a:moveTo>
                                <a:lnTo>
                                  <a:pt x="0" y="6344"/>
                                </a:lnTo>
                                <a:moveTo>
                                  <a:pt x="0" y="9932"/>
                                </a:moveTo>
                                <a:lnTo>
                                  <a:pt x="0" y="16824"/>
                                </a:lnTo>
                              </a:path>
                            </a:pathLst>
                          </a:custGeom>
                          <a:solidFill>
                            <a:srgbClr val="0070C0"/>
                          </a:solidFill>
                          <a:ln w="13328" cap="flat" cmpd="sng">
                            <a:solidFill>
                              <a:srgbClr val="CCCC00"/>
                            </a:solidFill>
                            <a:prstDash val="solid"/>
                            <a:round/>
                            <a:headEnd type="none" w="med" len="med"/>
                            <a:tailEnd type="none" w="med" len="med"/>
                          </a:ln>
                        </wps:spPr>
                        <wps:bodyPr upright="1"/>
                      </wps:wsp>
                      <wps:wsp>
                        <wps:cNvPr id="5" name="矩形 25"/>
                        <wps:cNvSpPr/>
                        <wps:spPr>
                          <a:xfrm>
                            <a:off x="0" y="6357"/>
                            <a:ext cx="11381" cy="3588"/>
                          </a:xfrm>
                          <a:prstGeom prst="rect">
                            <a:avLst/>
                          </a:prstGeom>
                          <a:solidFill>
                            <a:srgbClr val="0070C0"/>
                          </a:solidFill>
                          <a:ln>
                            <a:noFill/>
                          </a:ln>
                        </wps:spPr>
                        <wps:bodyPr upright="1"/>
                      </wps:wsp>
                      <wps:wsp>
                        <wps:cNvPr id="6" name="自选图形 24"/>
                        <wps:cNvSpPr/>
                        <wps:spPr>
                          <a:xfrm>
                            <a:off x="0" y="6350"/>
                            <a:ext cx="11389" cy="3603"/>
                          </a:xfrm>
                          <a:custGeom>
                            <a:avLst/>
                            <a:gdLst>
                              <a:gd name="A1" fmla="val 0"/>
                              <a:gd name="A2" fmla="val 0"/>
                              <a:gd name="A3" fmla="val 0"/>
                            </a:gdLst>
                            <a:ahLst/>
                            <a:cxnLst/>
                            <a:pathLst>
                              <a:path w="11389" h="3603">
                                <a:moveTo>
                                  <a:pt x="11374" y="15"/>
                                </a:moveTo>
                                <a:lnTo>
                                  <a:pt x="0" y="15"/>
                                </a:lnTo>
                                <a:lnTo>
                                  <a:pt x="0" y="0"/>
                                </a:lnTo>
                                <a:lnTo>
                                  <a:pt x="11389" y="0"/>
                                </a:lnTo>
                                <a:lnTo>
                                  <a:pt x="11389" y="7"/>
                                </a:lnTo>
                                <a:lnTo>
                                  <a:pt x="11374" y="7"/>
                                </a:lnTo>
                                <a:lnTo>
                                  <a:pt x="11374" y="15"/>
                                </a:lnTo>
                                <a:close/>
                                <a:moveTo>
                                  <a:pt x="11374" y="3595"/>
                                </a:moveTo>
                                <a:lnTo>
                                  <a:pt x="11374" y="7"/>
                                </a:lnTo>
                                <a:lnTo>
                                  <a:pt x="11381" y="15"/>
                                </a:lnTo>
                                <a:lnTo>
                                  <a:pt x="11389" y="15"/>
                                </a:lnTo>
                                <a:lnTo>
                                  <a:pt x="11389" y="3588"/>
                                </a:lnTo>
                                <a:lnTo>
                                  <a:pt x="11381" y="3588"/>
                                </a:lnTo>
                                <a:lnTo>
                                  <a:pt x="11374" y="3595"/>
                                </a:lnTo>
                                <a:close/>
                                <a:moveTo>
                                  <a:pt x="11389" y="15"/>
                                </a:moveTo>
                                <a:lnTo>
                                  <a:pt x="11381" y="15"/>
                                </a:lnTo>
                                <a:lnTo>
                                  <a:pt x="11374" y="7"/>
                                </a:lnTo>
                                <a:lnTo>
                                  <a:pt x="11389" y="7"/>
                                </a:lnTo>
                                <a:lnTo>
                                  <a:pt x="11389" y="15"/>
                                </a:lnTo>
                                <a:close/>
                                <a:moveTo>
                                  <a:pt x="11389" y="3603"/>
                                </a:moveTo>
                                <a:lnTo>
                                  <a:pt x="0" y="3603"/>
                                </a:lnTo>
                                <a:lnTo>
                                  <a:pt x="0" y="3588"/>
                                </a:lnTo>
                                <a:lnTo>
                                  <a:pt x="11374" y="3588"/>
                                </a:lnTo>
                                <a:lnTo>
                                  <a:pt x="11374" y="3595"/>
                                </a:lnTo>
                                <a:lnTo>
                                  <a:pt x="11389" y="3595"/>
                                </a:lnTo>
                                <a:lnTo>
                                  <a:pt x="11389" y="3603"/>
                                </a:lnTo>
                                <a:close/>
                                <a:moveTo>
                                  <a:pt x="11389" y="3595"/>
                                </a:moveTo>
                                <a:lnTo>
                                  <a:pt x="11374" y="3595"/>
                                </a:lnTo>
                                <a:lnTo>
                                  <a:pt x="11381" y="3588"/>
                                </a:lnTo>
                                <a:lnTo>
                                  <a:pt x="11389" y="3588"/>
                                </a:lnTo>
                                <a:lnTo>
                                  <a:pt x="11389" y="3595"/>
                                </a:lnTo>
                                <a:close/>
                              </a:path>
                            </a:pathLst>
                          </a:custGeom>
                          <a:solidFill>
                            <a:srgbClr val="0070C0"/>
                          </a:solidFill>
                          <a:ln>
                            <a:noFill/>
                          </a:ln>
                        </wps:spPr>
                        <wps:bodyPr upright="1"/>
                      </wps:wsp>
                    </wpg:wgp>
                  </a:graphicData>
                </a:graphic>
              </wp:anchor>
            </w:drawing>
          </mc:Choice>
          <mc:Fallback>
            <w:pict>
              <v:group id="组合 23" o:spid="_x0000_s1026" o:spt="203" style="position:absolute;left:0pt;margin-left:0.75pt;margin-top:0.7pt;height:841.2pt;width:596.45pt;mso-position-horizontal-relative:page;mso-position-vertical-relative:page;z-index:-251657216;mso-width-relative:page;mso-height-relative:page;" coordorigin="0,14" coordsize="11389,-2147483648" o:gfxdata="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P38x9cAAAAJAQAADwAAAAAAAAABACAAAAAiAAAAZHJzL2Rv&#10;d25yZXYueG1sUEsBAhQAFAAAAAgAh07iQA/SdF2uBAAA1hUAAA4AAAAAAAAAAQAgAAAAJgEAAGRy&#10;cy9lMm9Eb2MueG1sUEsFBgAAAAAGAAYAWQEAAEYIAAAAAA==&#10;">
                <o:lock v:ext="edit" aspectratio="f"/>
                <v:shape id="自选图形 2" o:spid="_x0000_s1026" o:spt="100" style="position:absolute;left:3374;top:14;height:16824;width:2;" fillcolor="#0070C0" filled="t" stroked="t" coordsize="1,16824" o:gfxdata="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lofivQAA&#10;ANsAAAAPAAAAAAAAAAEAIAAAACIAAABkcnMvZG93bnJldi54bWxQSwECFAAUAAAACACHTuJAMy8F&#10;njsAAAA5AAAAEAAAAAAAAAABACAAAAAMAQAAZHJzL3NoYXBleG1sLnhtbFBLBQYAAAAABgAGAFsB&#10;AAC2AwAAAAA=&#10;" path="m0,0l0,6344m0,9932l0,16824e">
                  <v:path o:connecttype="segments"/>
                  <v:fill on="t" focussize="0,0"/>
                  <v:stroke weight="1.09897637795276pt" color="#CCCC00" joinstyle="round"/>
                  <v:imagedata o:title=""/>
                  <o:lock v:ext="edit" aspectratio="f"/>
                </v:shape>
                <v:shape id="自选图形 27" o:spid="_x0000_s1026" o:spt="100" style="position:absolute;left:3218;top:14;height:16824;width:420;" fillcolor="#0070C0" filled="t" stroked="t" coordsize="420,16824" o:gfxdata="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tcx74A&#10;AADbAAAADwAAAAAAAAABACAAAAAiAAAAZHJzL2Rvd25yZXYueG1sUEsBAhQAFAAAAAgAh07iQDMv&#10;BZ47AAAAOQAAABAAAAAAAAAAAQAgAAAADQEAAGRycy9zaGFwZXhtbC54bWxQSwUGAAAAAAYABgBb&#10;AQAAtwMAAAAA&#10;" path="m420,0l420,6344m420,9932l420,16824m0,0l0,6344m0,9932l0,16824e">
                  <v:path o:connecttype="segments"/>
                  <v:fill on="t" focussize="0,0"/>
                  <v:stroke weight="1.09897637795276pt" color="#CCCC00" joinstyle="round"/>
                  <v:imagedata o:title=""/>
                  <o:lock v:ext="edit" aspectratio="f"/>
                </v:shape>
                <v:shape id="自选图形 26" o:spid="_x0000_s1026" o:spt="100" style="position:absolute;left:3498;top:14;height:16824;width:2;" fillcolor="#0070C0" filled="t" stroked="t" coordsize="1,16824" o:gfxdata="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JW87sAAADb&#10;AAAADwAAAAAAAAABACAAAAAiAAAAZHJzL2Rvd25yZXYueG1sUEsBAhQAFAAAAAgAh07iQDMvBZ47&#10;AAAAOQAAABAAAAAAAAAAAQAgAAAACgEAAGRycy9zaGFwZXhtbC54bWxQSwUGAAAAAAYABgBbAQAA&#10;tAMAAAAA&#10;" path="m0,0l0,6344m0,9932l0,16824e">
                  <v:path o:connecttype="segments"/>
                  <v:fill on="t" focussize="0,0"/>
                  <v:stroke weight="1.04944881889764pt" color="#CCCC00" joinstyle="round"/>
                  <v:imagedata o:title=""/>
                  <o:lock v:ext="edit" aspectratio="f"/>
                </v:shape>
                <v:rect id="矩形 25" o:spid="_x0000_s1026" o:spt="1" style="position:absolute;left:0;top:6357;height:3588;width:11381;" fillcolor="#0070C0" filled="t" stroked="f" coordsize="21600,21600" o:gfxdata="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J+xvQAA&#10;ANsAAAAPAAAAAAAAAAEAIAAAACIAAABkcnMvZG93bnJldi54bWxQSwECFAAUAAAACACHTuJAMy8F&#10;njsAAAA5AAAAEAAAAAAAAAABACAAAAAMAQAAZHJzL3NoYXBleG1sLnhtbFBLBQYAAAAABgAGAFsB&#10;AAC2AwAAAAA=&#10;">
                  <v:fill on="t" focussize="0,0"/>
                  <v:stroke on="f"/>
                  <v:imagedata o:title=""/>
                  <o:lock v:ext="edit" aspectratio="f"/>
                </v:rect>
                <v:shape id="自选图形 24" o:spid="_x0000_s1026" o:spt="100" style="position:absolute;left:0;top:6350;height:3603;width:11389;" fillcolor="#0070C0" filled="t" stroked="f" coordsize="11389,3603" o:gfxdata="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89DAvQAA&#10;ANsAAAAPAAAAAAAAAAEAIAAAACIAAABkcnMvZG93bnJldi54bWxQSwECFAAUAAAACACHTuJAMy8F&#10;njsAAAA5AAAAEAAAAAAAAAABACAAAAAMAQAAZHJzL3NoYXBleG1sLnhtbFBLBQYAAAAABgAGAFsB&#10;AAC2AwAAAAA=&#10;" path="m11374,15l0,15,0,0,11389,0,11389,7,11374,7,11374,15xm11374,3595l11374,7,11381,15,11389,15,11389,3588,11381,3588,11374,3595xm11389,15l11381,15,11374,7,11389,7,11389,15xm11389,3603l0,3603,0,3588,11374,3588,11374,3595,11389,3595,11389,3603xm11389,3595l11374,3595,11381,3588,11389,3588,11389,3595xe">
                  <v:path o:connecttype="segments"/>
                  <v:fill on="t" focussize="0,0"/>
                  <v:stroke on="f"/>
                  <v:imagedata o:title=""/>
                  <o:lock v:ext="edit" aspectratio="f"/>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29"/>
        </w:rPr>
      </w:pPr>
    </w:p>
    <w:p>
      <w:pPr>
        <w:pStyle w:val="3"/>
        <w:spacing w:before="28"/>
        <w:ind w:left="620"/>
      </w:pPr>
      <w:r>
        <w:t>第一部分</w:t>
      </w:r>
      <w:r>
        <w:rPr>
          <w:rFonts w:hint="eastAsia"/>
          <w:lang w:val="en-US"/>
        </w:rPr>
        <w:t>益阳市资阳区</w:t>
      </w:r>
      <w:r>
        <w:rPr>
          <w:rFonts w:hint="eastAsia"/>
        </w:rPr>
        <w:t>消防救援</w:t>
      </w:r>
      <w:r>
        <w:rPr>
          <w:rFonts w:hint="eastAsia"/>
          <w:lang w:val="en-US"/>
        </w:rPr>
        <w:t>大</w:t>
      </w:r>
      <w:r>
        <w:rPr>
          <w:rFonts w:hint="eastAsia"/>
        </w:rPr>
        <w:t>队概况</w:t>
      </w:r>
    </w:p>
    <w:p>
      <w:pPr>
        <w:rPr>
          <w:rFonts w:ascii="黑体" w:eastAsia="黑体"/>
          <w:sz w:val="52"/>
        </w:rPr>
        <w:sectPr>
          <w:footerReference r:id="rId10" w:type="default"/>
          <w:pgSz w:w="11910" w:h="16840"/>
          <w:pgMar w:top="0" w:right="80" w:bottom="1180" w:left="200" w:header="283" w:footer="850" w:gutter="0"/>
          <w:cols w:space="720" w:num="1"/>
        </w:sectPr>
      </w:pPr>
    </w:p>
    <w:p>
      <w:pPr>
        <w:pStyle w:val="5"/>
        <w:spacing w:before="39"/>
        <w:ind w:left="1856"/>
        <w:rPr>
          <w:rFonts w:ascii="仿宋" w:hAnsi="仿宋" w:eastAsia="仿宋" w:cs="仿宋"/>
          <w:b/>
          <w:bCs/>
        </w:rPr>
      </w:pPr>
      <w:r>
        <w:rPr>
          <w:rFonts w:hint="eastAsia" w:ascii="仿宋" w:hAnsi="仿宋" w:eastAsia="仿宋" w:cs="仿宋"/>
          <w:b/>
          <w:bCs/>
        </w:rPr>
        <w:t>一、主要职责</w:t>
      </w:r>
    </w:p>
    <w:p>
      <w:pPr>
        <w:pStyle w:val="5"/>
        <w:spacing w:before="130" w:line="316" w:lineRule="auto"/>
        <w:ind w:left="1218" w:right="1177" w:firstLine="638"/>
        <w:rPr>
          <w:rFonts w:ascii="仿宋" w:hAnsi="仿宋" w:eastAsia="仿宋" w:cs="仿宋"/>
        </w:rPr>
      </w:pPr>
      <w:r>
        <w:rPr>
          <w:rFonts w:hint="eastAsia" w:ascii="仿宋" w:hAnsi="仿宋" w:eastAsia="仿宋" w:cs="仿宋"/>
        </w:rPr>
        <w:t>国家综合性消防救援队伍承担防范化解重大安全风险、应对处置各类灾害事故的重要职责，是应急救援的主力军和国家队。湖南省消防救援总队隶属国家消防救援局，是全省消防救援队伍的领导指挥机关，依据有关法律法规履行下列职责：</w:t>
      </w:r>
    </w:p>
    <w:p>
      <w:pPr>
        <w:pStyle w:val="5"/>
        <w:spacing w:before="130" w:line="316" w:lineRule="auto"/>
        <w:ind w:left="1218" w:right="1177" w:firstLine="638"/>
        <w:rPr>
          <w:rFonts w:ascii="仿宋" w:hAnsi="仿宋" w:eastAsia="仿宋" w:cs="仿宋"/>
        </w:rPr>
      </w:pPr>
      <w:r>
        <w:rPr>
          <w:rFonts w:hint="eastAsia" w:ascii="仿宋" w:hAnsi="仿宋" w:eastAsia="仿宋" w:cs="仿宋"/>
        </w:rPr>
        <w:t>（一）承担城乡综合性消防救援工作，负责指挥调度相关灾害事故救援行动，承担重要会议、大型活动消防安全保卫工作</w:t>
      </w:r>
    </w:p>
    <w:p>
      <w:pPr>
        <w:pStyle w:val="5"/>
        <w:spacing w:before="130" w:line="316" w:lineRule="auto"/>
        <w:ind w:left="1218" w:right="1177" w:firstLine="638"/>
        <w:rPr>
          <w:rFonts w:ascii="仿宋" w:hAnsi="仿宋" w:eastAsia="仿宋" w:cs="仿宋"/>
        </w:rPr>
      </w:pPr>
      <w:r>
        <w:rPr>
          <w:rFonts w:hint="eastAsia" w:ascii="仿宋" w:hAnsi="仿宋" w:eastAsia="仿宋" w:cs="仿宋"/>
        </w:rPr>
        <w:t>（二）承担火灾预防、消防监督执法以及火灾事故调查处理相关工作，依法行使消防安全综合监管职能，推动落实消防安全责任制。</w:t>
      </w:r>
    </w:p>
    <w:p>
      <w:pPr>
        <w:pStyle w:val="5"/>
        <w:spacing w:before="130" w:line="316" w:lineRule="auto"/>
        <w:ind w:left="1218" w:right="1177" w:firstLine="638"/>
        <w:rPr>
          <w:rFonts w:ascii="仿宋" w:hAnsi="仿宋" w:eastAsia="仿宋" w:cs="仿宋"/>
        </w:rPr>
      </w:pPr>
      <w:r>
        <w:rPr>
          <w:rFonts w:hint="eastAsia" w:ascii="仿宋" w:hAnsi="仿宋" w:eastAsia="仿宋" w:cs="仿宋"/>
        </w:rPr>
        <w:t>（三）参与拟订消防专项规划，参与起草地方性消防法规、规章草案并监督实施。</w:t>
      </w:r>
    </w:p>
    <w:p>
      <w:pPr>
        <w:pStyle w:val="5"/>
        <w:spacing w:before="130" w:line="316" w:lineRule="auto"/>
        <w:ind w:left="1218" w:right="1177" w:firstLine="638"/>
        <w:rPr>
          <w:rFonts w:ascii="仿宋" w:hAnsi="仿宋" w:eastAsia="仿宋" w:cs="仿宋"/>
        </w:rPr>
      </w:pPr>
      <w:r>
        <w:rPr>
          <w:rFonts w:hint="eastAsia" w:ascii="仿宋" w:hAnsi="仿宋" w:eastAsia="仿宋" w:cs="仿宋"/>
        </w:rPr>
        <w:t>（四）负责消防救援队伍综合性消防救援预案编制、战术研究和执勤备战、训练演练等工作。</w:t>
      </w:r>
    </w:p>
    <w:p>
      <w:pPr>
        <w:pStyle w:val="5"/>
        <w:spacing w:before="130" w:line="316" w:lineRule="auto"/>
        <w:ind w:left="1218" w:right="1177" w:firstLine="638"/>
        <w:rPr>
          <w:rFonts w:ascii="仿宋" w:hAnsi="仿宋" w:eastAsia="仿宋" w:cs="仿宋"/>
        </w:rPr>
      </w:pPr>
      <w:r>
        <w:rPr>
          <w:rFonts w:hint="eastAsia" w:ascii="仿宋" w:hAnsi="仿宋" w:eastAsia="仿宋" w:cs="仿宋"/>
        </w:rPr>
        <w:t>（五）负责消防救援信息化和应急通信建设，承担综合性消防救援行动应急通信保障工作。</w:t>
      </w:r>
    </w:p>
    <w:p>
      <w:pPr>
        <w:pStyle w:val="5"/>
        <w:spacing w:before="130" w:line="316" w:lineRule="auto"/>
        <w:ind w:left="1218" w:right="1177" w:firstLine="638"/>
        <w:rPr>
          <w:rFonts w:ascii="仿宋" w:hAnsi="仿宋" w:eastAsia="仿宋" w:cs="仿宋"/>
        </w:rPr>
      </w:pPr>
      <w:r>
        <w:rPr>
          <w:rFonts w:hint="eastAsia" w:ascii="仿宋" w:hAnsi="仿宋" w:eastAsia="仿宋" w:cs="仿宋"/>
        </w:rPr>
        <w:t>（六）负责消防安全宣传教育，组织指导社会消防力量建设。</w:t>
      </w:r>
    </w:p>
    <w:p>
      <w:pPr>
        <w:pStyle w:val="5"/>
        <w:spacing w:before="130" w:line="316" w:lineRule="auto"/>
        <w:ind w:left="1218" w:right="1177" w:firstLine="638"/>
        <w:rPr>
          <w:rFonts w:ascii="仿宋" w:hAnsi="仿宋" w:eastAsia="仿宋" w:cs="仿宋"/>
        </w:rPr>
      </w:pPr>
      <w:r>
        <w:rPr>
          <w:rFonts w:hint="eastAsia" w:ascii="仿宋" w:hAnsi="仿宋" w:eastAsia="仿宋" w:cs="仿宋"/>
        </w:rPr>
        <w:t>（七）负责消防应急救援专业队伍规划、建设与调度指挥，参与组织协调动员各类社会救援力量参加救援任务。</w:t>
      </w:r>
    </w:p>
    <w:p>
      <w:pPr>
        <w:pStyle w:val="5"/>
        <w:spacing w:before="130" w:line="316" w:lineRule="auto"/>
        <w:ind w:left="1218" w:right="1177" w:firstLine="638"/>
        <w:rPr>
          <w:rFonts w:ascii="仿宋" w:hAnsi="仿宋" w:eastAsia="仿宋" w:cs="仿宋"/>
        </w:rPr>
      </w:pPr>
      <w:r>
        <w:rPr>
          <w:rFonts w:hint="eastAsia" w:ascii="仿宋" w:hAnsi="仿宋" w:eastAsia="仿宋" w:cs="仿宋"/>
        </w:rPr>
        <w:t>（八）负责消防救援队伍建设与管理。</w:t>
      </w:r>
    </w:p>
    <w:p>
      <w:pPr>
        <w:pStyle w:val="5"/>
        <w:spacing w:before="130" w:line="316" w:lineRule="auto"/>
        <w:ind w:left="1218" w:right="1177" w:firstLine="638"/>
        <w:rPr>
          <w:rFonts w:ascii="仿宋" w:hAnsi="仿宋" w:eastAsia="仿宋" w:cs="仿宋"/>
        </w:rPr>
      </w:pPr>
      <w:r>
        <w:rPr>
          <w:rFonts w:hint="eastAsia" w:ascii="仿宋" w:hAnsi="仿宋" w:eastAsia="仿宋" w:cs="仿宋"/>
        </w:rPr>
        <w:t>（九）完成应急管理部和省委省政府交办的相关任务。</w:t>
      </w:r>
    </w:p>
    <w:p>
      <w:pPr>
        <w:pStyle w:val="5"/>
        <w:spacing w:before="128"/>
        <w:ind w:left="1856"/>
        <w:rPr>
          <w:rFonts w:ascii="仿宋" w:hAnsi="仿宋" w:eastAsia="仿宋" w:cs="仿宋"/>
          <w:b/>
          <w:bCs/>
          <w:lang w:val="en-US"/>
        </w:rPr>
      </w:pPr>
      <w:r>
        <w:rPr>
          <w:rFonts w:hint="eastAsia" w:ascii="仿宋" w:hAnsi="仿宋" w:eastAsia="仿宋" w:cs="仿宋"/>
          <w:b/>
          <w:bCs/>
        </w:rPr>
        <w:t>二、</w:t>
      </w:r>
      <w:r>
        <w:rPr>
          <w:rFonts w:hint="eastAsia" w:ascii="仿宋" w:hAnsi="仿宋" w:eastAsia="仿宋" w:cs="仿宋"/>
          <w:b/>
          <w:bCs/>
          <w:lang w:val="en-US"/>
        </w:rPr>
        <w:t>机构设置</w:t>
      </w:r>
    </w:p>
    <w:p>
      <w:pPr>
        <w:pStyle w:val="5"/>
        <w:spacing w:before="128"/>
        <w:ind w:left="1856"/>
        <w:rPr>
          <w:rFonts w:ascii="仿宋" w:hAnsi="仿宋" w:eastAsia="仿宋" w:cs="仿宋"/>
          <w:lang w:val="en-US"/>
        </w:rPr>
      </w:pPr>
      <w:r>
        <w:rPr>
          <w:rFonts w:hint="eastAsia" w:ascii="仿宋" w:hAnsi="仿宋" w:eastAsia="仿宋" w:cs="仿宋"/>
          <w:lang w:val="en-US"/>
        </w:rPr>
        <w:t>益阳市资阳区</w:t>
      </w:r>
      <w:r>
        <w:rPr>
          <w:rFonts w:hint="eastAsia" w:ascii="仿宋" w:hAnsi="仿宋" w:eastAsia="仿宋" w:cs="仿宋"/>
        </w:rPr>
        <w:t>消防救援</w:t>
      </w:r>
      <w:r>
        <w:rPr>
          <w:rFonts w:hint="eastAsia" w:ascii="仿宋" w:hAnsi="仿宋" w:eastAsia="仿宋" w:cs="仿宋"/>
          <w:lang w:val="en-US"/>
        </w:rPr>
        <w:t>大</w:t>
      </w:r>
      <w:r>
        <w:rPr>
          <w:rFonts w:hint="eastAsia" w:ascii="仿宋" w:hAnsi="仿宋" w:eastAsia="仿宋" w:cs="仿宋"/>
        </w:rPr>
        <w:t>队</w:t>
      </w:r>
      <w:r>
        <w:rPr>
          <w:rFonts w:hint="eastAsia" w:ascii="仿宋" w:hAnsi="仿宋" w:eastAsia="仿宋" w:cs="仿宋"/>
          <w:lang w:val="en-US"/>
        </w:rPr>
        <w:t>为四级预算单位。</w:t>
      </w:r>
    </w:p>
    <w:p>
      <w:pPr>
        <w:pStyle w:val="5"/>
        <w:spacing w:before="130" w:line="316" w:lineRule="auto"/>
        <w:ind w:right="1177"/>
        <w:rPr>
          <w:rFonts w:ascii="仿宋" w:hAnsi="仿宋" w:eastAsia="仿宋" w:cs="仿宋"/>
        </w:rPr>
        <w:sectPr>
          <w:footerReference r:id="rId11" w:type="default"/>
          <w:pgSz w:w="11910" w:h="16840"/>
          <w:pgMar w:top="1400" w:right="80" w:bottom="1100" w:left="200" w:header="510" w:footer="850" w:gutter="0"/>
          <w:cols w:space="720" w:num="1"/>
        </w:sectPr>
      </w:pPr>
    </w:p>
    <w:p>
      <w:pPr>
        <w:pStyle w:val="5"/>
        <w:rPr>
          <w:sz w:val="20"/>
        </w:rPr>
      </w:pPr>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611745" cy="10669270"/>
                <wp:effectExtent l="0" t="0" r="0" b="0"/>
                <wp:wrapNone/>
                <wp:docPr id="12" name="组合 18"/>
                <wp:cNvGraphicFramePr/>
                <a:graphic xmlns:a="http://schemas.openxmlformats.org/drawingml/2006/main">
                  <a:graphicData uri="http://schemas.microsoft.com/office/word/2010/wordprocessingGroup">
                    <wpg:wgp>
                      <wpg:cNvGrpSpPr/>
                      <wpg:grpSpPr>
                        <a:xfrm>
                          <a:off x="0" y="0"/>
                          <a:ext cx="7611745" cy="10669270"/>
                          <a:chOff x="0" y="0"/>
                          <a:chExt cx="11477" cy="0"/>
                        </a:xfrm>
                      </wpg:grpSpPr>
                      <wps:wsp>
                        <wps:cNvPr id="8" name="自选图形 22"/>
                        <wps:cNvSpPr/>
                        <wps:spPr>
                          <a:xfrm>
                            <a:off x="3249" y="0"/>
                            <a:ext cx="420" cy="16802"/>
                          </a:xfrm>
                          <a:custGeom>
                            <a:avLst/>
                            <a:gdLst>
                              <a:gd name="A1" fmla="val 0"/>
                              <a:gd name="A2" fmla="val 0"/>
                              <a:gd name="A3" fmla="val 0"/>
                            </a:gdLst>
                            <a:ahLst/>
                            <a:cxnLst/>
                            <a:pathLst>
                              <a:path w="420" h="16802">
                                <a:moveTo>
                                  <a:pt x="156" y="0"/>
                                </a:moveTo>
                                <a:lnTo>
                                  <a:pt x="156" y="6350"/>
                                </a:lnTo>
                                <a:moveTo>
                                  <a:pt x="156" y="9938"/>
                                </a:moveTo>
                                <a:lnTo>
                                  <a:pt x="156" y="16802"/>
                                </a:lnTo>
                                <a:moveTo>
                                  <a:pt x="420" y="0"/>
                                </a:moveTo>
                                <a:lnTo>
                                  <a:pt x="420" y="6350"/>
                                </a:lnTo>
                                <a:moveTo>
                                  <a:pt x="420" y="9938"/>
                                </a:moveTo>
                                <a:lnTo>
                                  <a:pt x="420" y="16802"/>
                                </a:lnTo>
                                <a:moveTo>
                                  <a:pt x="0" y="0"/>
                                </a:moveTo>
                                <a:lnTo>
                                  <a:pt x="0" y="6350"/>
                                </a:lnTo>
                                <a:moveTo>
                                  <a:pt x="0" y="9938"/>
                                </a:moveTo>
                                <a:lnTo>
                                  <a:pt x="0" y="16802"/>
                                </a:lnTo>
                              </a:path>
                            </a:pathLst>
                          </a:custGeom>
                          <a:solidFill>
                            <a:srgbClr val="0070C0"/>
                          </a:solidFill>
                          <a:ln w="13967" cap="flat" cmpd="sng">
                            <a:solidFill>
                              <a:srgbClr val="CCCC00"/>
                            </a:solidFill>
                            <a:prstDash val="solid"/>
                            <a:round/>
                            <a:headEnd type="none" w="med" len="med"/>
                            <a:tailEnd type="none" w="med" len="med"/>
                          </a:ln>
                        </wps:spPr>
                        <wps:bodyPr upright="1"/>
                      </wps:wsp>
                      <wps:wsp>
                        <wps:cNvPr id="9" name="自选图形 21"/>
                        <wps:cNvSpPr/>
                        <wps:spPr>
                          <a:xfrm>
                            <a:off x="3528" y="0"/>
                            <a:ext cx="2" cy="16802"/>
                          </a:xfrm>
                          <a:custGeom>
                            <a:avLst/>
                            <a:gdLst>
                              <a:gd name="A1" fmla="val 0"/>
                              <a:gd name="A2" fmla="val 0"/>
                              <a:gd name="A3" fmla="val 0"/>
                            </a:gdLst>
                            <a:ahLst/>
                            <a:cxnLst/>
                            <a:pathLst>
                              <a:path w="1" h="16802">
                                <a:moveTo>
                                  <a:pt x="0" y="0"/>
                                </a:moveTo>
                                <a:lnTo>
                                  <a:pt x="0" y="6350"/>
                                </a:lnTo>
                                <a:moveTo>
                                  <a:pt x="0" y="9938"/>
                                </a:moveTo>
                                <a:lnTo>
                                  <a:pt x="0" y="16802"/>
                                </a:lnTo>
                              </a:path>
                            </a:pathLst>
                          </a:custGeom>
                          <a:solidFill>
                            <a:srgbClr val="0070C0"/>
                          </a:solidFill>
                          <a:ln w="13333" cap="flat" cmpd="sng">
                            <a:solidFill>
                              <a:srgbClr val="CCCC00"/>
                            </a:solidFill>
                            <a:prstDash val="solid"/>
                            <a:round/>
                            <a:headEnd type="none" w="med" len="med"/>
                            <a:tailEnd type="none" w="med" len="med"/>
                          </a:ln>
                        </wps:spPr>
                        <wps:bodyPr upright="1"/>
                      </wps:wsp>
                      <wps:wsp>
                        <wps:cNvPr id="10" name="矩形 20"/>
                        <wps:cNvSpPr/>
                        <wps:spPr>
                          <a:xfrm>
                            <a:off x="0" y="6350"/>
                            <a:ext cx="11470" cy="3588"/>
                          </a:xfrm>
                          <a:prstGeom prst="rect">
                            <a:avLst/>
                          </a:prstGeom>
                          <a:solidFill>
                            <a:srgbClr val="0070C0"/>
                          </a:solidFill>
                          <a:ln>
                            <a:noFill/>
                          </a:ln>
                        </wps:spPr>
                        <wps:bodyPr upright="1"/>
                      </wps:wsp>
                      <wps:wsp>
                        <wps:cNvPr id="11" name="自选图形 19"/>
                        <wps:cNvSpPr/>
                        <wps:spPr>
                          <a:xfrm>
                            <a:off x="0" y="6342"/>
                            <a:ext cx="11477" cy="3603"/>
                          </a:xfrm>
                          <a:custGeom>
                            <a:avLst/>
                            <a:gdLst>
                              <a:gd name="A1" fmla="val 0"/>
                              <a:gd name="A2" fmla="val 0"/>
                              <a:gd name="A3" fmla="val 0"/>
                            </a:gdLst>
                            <a:ahLst/>
                            <a:cxnLst/>
                            <a:pathLst>
                              <a:path w="11477" h="3603">
                                <a:moveTo>
                                  <a:pt x="11462" y="15"/>
                                </a:moveTo>
                                <a:lnTo>
                                  <a:pt x="0" y="15"/>
                                </a:lnTo>
                                <a:lnTo>
                                  <a:pt x="0" y="0"/>
                                </a:lnTo>
                                <a:lnTo>
                                  <a:pt x="11477" y="0"/>
                                </a:lnTo>
                                <a:lnTo>
                                  <a:pt x="11477" y="7"/>
                                </a:lnTo>
                                <a:lnTo>
                                  <a:pt x="11462" y="7"/>
                                </a:lnTo>
                                <a:lnTo>
                                  <a:pt x="11462" y="15"/>
                                </a:lnTo>
                                <a:close/>
                                <a:moveTo>
                                  <a:pt x="11462" y="3595"/>
                                </a:moveTo>
                                <a:lnTo>
                                  <a:pt x="11462" y="7"/>
                                </a:lnTo>
                                <a:lnTo>
                                  <a:pt x="11469" y="15"/>
                                </a:lnTo>
                                <a:lnTo>
                                  <a:pt x="11477" y="15"/>
                                </a:lnTo>
                                <a:lnTo>
                                  <a:pt x="11477" y="3588"/>
                                </a:lnTo>
                                <a:lnTo>
                                  <a:pt x="11469" y="3588"/>
                                </a:lnTo>
                                <a:lnTo>
                                  <a:pt x="11462" y="3595"/>
                                </a:lnTo>
                                <a:close/>
                                <a:moveTo>
                                  <a:pt x="11477" y="15"/>
                                </a:moveTo>
                                <a:lnTo>
                                  <a:pt x="11469" y="15"/>
                                </a:lnTo>
                                <a:lnTo>
                                  <a:pt x="11462" y="7"/>
                                </a:lnTo>
                                <a:lnTo>
                                  <a:pt x="11477" y="7"/>
                                </a:lnTo>
                                <a:lnTo>
                                  <a:pt x="11477" y="15"/>
                                </a:lnTo>
                                <a:close/>
                                <a:moveTo>
                                  <a:pt x="11477" y="3603"/>
                                </a:moveTo>
                                <a:lnTo>
                                  <a:pt x="0" y="3603"/>
                                </a:lnTo>
                                <a:lnTo>
                                  <a:pt x="0" y="3588"/>
                                </a:lnTo>
                                <a:lnTo>
                                  <a:pt x="11462" y="3588"/>
                                </a:lnTo>
                                <a:lnTo>
                                  <a:pt x="11462" y="3595"/>
                                </a:lnTo>
                                <a:lnTo>
                                  <a:pt x="11477" y="3595"/>
                                </a:lnTo>
                                <a:lnTo>
                                  <a:pt x="11477" y="3603"/>
                                </a:lnTo>
                                <a:close/>
                                <a:moveTo>
                                  <a:pt x="11477" y="3595"/>
                                </a:moveTo>
                                <a:lnTo>
                                  <a:pt x="11462" y="3595"/>
                                </a:lnTo>
                                <a:lnTo>
                                  <a:pt x="11469" y="3588"/>
                                </a:lnTo>
                                <a:lnTo>
                                  <a:pt x="11477" y="3588"/>
                                </a:lnTo>
                                <a:lnTo>
                                  <a:pt x="11477" y="3595"/>
                                </a:lnTo>
                                <a:close/>
                              </a:path>
                            </a:pathLst>
                          </a:custGeom>
                          <a:solidFill>
                            <a:srgbClr val="0070C0"/>
                          </a:solidFill>
                          <a:ln>
                            <a:noFill/>
                          </a:ln>
                        </wps:spPr>
                        <wps:bodyPr upright="1"/>
                      </wps:wsp>
                    </wpg:wgp>
                  </a:graphicData>
                </a:graphic>
              </wp:anchor>
            </w:drawing>
          </mc:Choice>
          <mc:Fallback>
            <w:pict>
              <v:group id="组合 18" o:spid="_x0000_s1026" o:spt="203" style="position:absolute;left:0pt;margin-left:0pt;margin-top:0pt;height:840.1pt;width:599.35pt;mso-position-horizontal-relative:page;mso-position-vertical-relative:page;z-index:-251656192;mso-width-relative:page;mso-height-relative:page;" coordsize="11477,-2147483648" o:gfxdata="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T20wAtcAAAAHAQAADwAA&#10;AAAAAAABACAAAAAiAAAAZHJzL2Rvd25yZXYueG1sUEsBAhQAFAAAAAgAh07iQESS1xmKBAAAVxMA&#10;AA4AAAAAAAAAAQAgAAAAJgEAAGRycy9lMm9Eb2MueG1sUEsFBgAAAAAGAAYAWQEAACIIAAAAAA==&#10;">
                <o:lock v:ext="edit" aspectratio="f"/>
                <v:shape id="自选图形 22" o:spid="_x0000_s1026" o:spt="100" style="position:absolute;left:3249;top:0;height:16802;width:420;" fillcolor="#0070C0" filled="t" stroked="t" coordsize="420,16802" o:gfxdata="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hsnL4A&#10;AADbAAAADwAAAAAAAAABACAAAAAiAAAAZHJzL2Rvd25yZXYueG1sUEsBAhQAFAAAAAgAh07iQDMv&#10;BZ47AAAAOQAAABAAAAAAAAAAAQAgAAAADQEAAGRycy9zaGFwZXhtbC54bWxQSwUGAAAAAAYABgBb&#10;AQAAtwMAAAAA&#10;" path="m156,0l156,6350m156,9938l156,16802m420,0l420,6350m420,9938l420,16802m0,0l0,6350m0,9938l0,16802e">
                  <v:path o:connecttype="segments"/>
                  <v:fill on="t" focussize="0,0"/>
                  <v:stroke weight="1.09976377952756pt" color="#CCCC00" joinstyle="round"/>
                  <v:imagedata o:title=""/>
                  <o:lock v:ext="edit" aspectratio="f"/>
                </v:shape>
                <v:shape id="自选图形 21" o:spid="_x0000_s1026" o:spt="100" style="position:absolute;left:3528;top:0;height:16802;width:2;" fillcolor="#0070C0" filled="t" stroked="t" coordsize="1,16802" o:gfxdata="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R+Qu8AAAA&#10;2wAAAA8AAAAAAAAAAQAgAAAAIgAAAGRycy9kb3ducmV2LnhtbFBLAQIUABQAAAAIAIdO4kAzLwWe&#10;OwAAADkAAAAQAAAAAAAAAAEAIAAAAAsBAABkcnMvc2hhcGV4bWwueG1sUEsFBgAAAAAGAAYAWwEA&#10;ALUDAAAAAA==&#10;" path="m0,0l0,6350m0,9938l0,16802e">
                  <v:path o:connecttype="segments"/>
                  <v:fill on="t" focussize="0,0"/>
                  <v:stroke weight="1.04984251968504pt" color="#CCCC00" joinstyle="round"/>
                  <v:imagedata o:title=""/>
                  <o:lock v:ext="edit" aspectratio="f"/>
                </v:shape>
                <v:rect id="矩形 20" o:spid="_x0000_s1026" o:spt="1" style="position:absolute;left:0;top:6350;height:3588;width:11470;" fillcolor="#0070C0" filled="t" stroked="f" coordsize="21600,21600" o:gfxdata="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KJEYvQAA&#10;ANsAAAAPAAAAAAAAAAEAIAAAACIAAABkcnMvZG93bnJldi54bWxQSwECFAAUAAAACACHTuJAMy8F&#10;njsAAAA5AAAAEAAAAAAAAAABACAAAAAMAQAAZHJzL3NoYXBleG1sLnhtbFBLBQYAAAAABgAGAFsB&#10;AAC2AwAAAAA=&#10;">
                  <v:fill on="t" focussize="0,0"/>
                  <v:stroke on="f"/>
                  <v:imagedata o:title=""/>
                  <o:lock v:ext="edit" aspectratio="f"/>
                </v:rect>
                <v:shape id="自选图形 19" o:spid="_x0000_s1026" o:spt="100" style="position:absolute;left:0;top:6342;height:3603;width:11477;" fillcolor="#0070C0" filled="t" stroked="f" coordsize="11477,3603" o:gfxdata="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mWs25AAAA2wAA&#10;AA8AAAAAAAAAAQAgAAAAIgAAAGRycy9kb3ducmV2LnhtbFBLAQIUABQAAAAIAIdO4kAzLwWeOwAA&#10;ADkAAAAQAAAAAAAAAAEAIAAAAAgBAABkcnMvc2hhcGV4bWwueG1sUEsFBgAAAAAGAAYAWwEAALID&#10;AAAAAA==&#10;" path="m11462,15l0,15,0,0,11477,0,11477,7,11462,7,11462,15xm11462,3595l11462,7,11469,15,11477,15,11477,3588,11469,3588,11462,3595xm11477,15l11469,15,11462,7,11477,7,11477,15xm11477,3603l0,3603,0,3588,11462,3588,11462,3595,11477,3595,11477,3603xm11477,3595l11462,3595,11469,3588,11477,3588,11477,3595xe">
                  <v:path o:connecttype="segments"/>
                  <v:fill on="t" focussize="0,0"/>
                  <v:stroke on="f"/>
                  <v:imagedata o:title=""/>
                  <o:lock v:ext="edit" aspectratio="f"/>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28"/>
        </w:rPr>
      </w:pPr>
    </w:p>
    <w:p>
      <w:pPr>
        <w:pStyle w:val="3"/>
        <w:spacing w:before="28"/>
        <w:ind w:left="2729" w:leftChars="54" w:hanging="2610" w:hangingChars="500"/>
        <w:rPr>
          <w:rFonts w:hint="eastAsia"/>
        </w:rPr>
      </w:pPr>
      <w:r>
        <w:t>第二部分</w:t>
      </w:r>
    </w:p>
    <w:p>
      <w:pPr>
        <w:pStyle w:val="3"/>
        <w:spacing w:before="28"/>
        <w:ind w:left="2729" w:leftChars="54" w:hanging="2610" w:hangingChars="500"/>
        <w:rPr>
          <w:lang w:val="en-US"/>
        </w:rPr>
        <w:sectPr>
          <w:footerReference r:id="rId12" w:type="default"/>
          <w:pgSz w:w="11910" w:h="16840"/>
          <w:pgMar w:top="0" w:right="80" w:bottom="380" w:left="200" w:header="283" w:footer="850" w:gutter="0"/>
          <w:cols w:space="720" w:num="1"/>
        </w:sectPr>
      </w:pPr>
      <w:r>
        <w:rPr>
          <w:rFonts w:hint="eastAsia"/>
          <w:lang w:val="en-US"/>
        </w:rPr>
        <w:t>益阳市资阳区</w:t>
      </w:r>
      <w:r>
        <w:rPr>
          <w:rFonts w:hint="eastAsia"/>
        </w:rPr>
        <w:t>消防救援</w:t>
      </w:r>
      <w:r>
        <w:rPr>
          <w:rFonts w:hint="eastAsia"/>
          <w:lang w:val="en-US"/>
        </w:rPr>
        <w:t>大</w:t>
      </w:r>
      <w:r>
        <w:rPr>
          <w:rFonts w:hint="eastAsia"/>
        </w:rPr>
        <w:t>队202</w:t>
      </w:r>
      <w:r>
        <w:rPr>
          <w:rFonts w:hint="eastAsia"/>
          <w:lang w:val="en-US"/>
        </w:rPr>
        <w:t>2</w:t>
      </w:r>
      <w:r>
        <w:rPr>
          <w:rFonts w:hint="eastAsia"/>
        </w:rPr>
        <w:t>年</w:t>
      </w:r>
      <w:r>
        <w:rPr>
          <w:rFonts w:hint="eastAsia"/>
          <w:lang w:val="en-US"/>
        </w:rPr>
        <w:t>度决算表</w:t>
      </w:r>
    </w:p>
    <w:tbl>
      <w:tblPr>
        <w:tblStyle w:val="10"/>
        <w:tblW w:w="10840" w:type="dxa"/>
        <w:tblInd w:w="366" w:type="dxa"/>
        <w:tblLayout w:type="fixed"/>
        <w:tblCellMar>
          <w:top w:w="0" w:type="dxa"/>
          <w:left w:w="108" w:type="dxa"/>
          <w:bottom w:w="0" w:type="dxa"/>
          <w:right w:w="108" w:type="dxa"/>
        </w:tblCellMar>
      </w:tblPr>
      <w:tblGrid>
        <w:gridCol w:w="3343"/>
        <w:gridCol w:w="880"/>
        <w:gridCol w:w="1161"/>
        <w:gridCol w:w="3206"/>
        <w:gridCol w:w="961"/>
        <w:gridCol w:w="1289"/>
      </w:tblGrid>
      <w:tr>
        <w:tblPrEx>
          <w:tblCellMar>
            <w:top w:w="0" w:type="dxa"/>
            <w:left w:w="108" w:type="dxa"/>
            <w:bottom w:w="0" w:type="dxa"/>
            <w:right w:w="108" w:type="dxa"/>
          </w:tblCellMar>
        </w:tblPrEx>
        <w:trPr>
          <w:trHeight w:val="356" w:hRule="atLeast"/>
        </w:trPr>
        <w:tc>
          <w:tcPr>
            <w:tcW w:w="10840" w:type="dxa"/>
            <w:gridSpan w:val="6"/>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收入支出决算总表</w:t>
            </w:r>
          </w:p>
        </w:tc>
      </w:tr>
      <w:tr>
        <w:tblPrEx>
          <w:tblCellMar>
            <w:top w:w="0" w:type="dxa"/>
            <w:left w:w="108" w:type="dxa"/>
            <w:bottom w:w="0" w:type="dxa"/>
            <w:right w:w="108" w:type="dxa"/>
          </w:tblCellMar>
        </w:tblPrEx>
        <w:trPr>
          <w:trHeight w:val="234" w:hRule="atLeast"/>
        </w:trPr>
        <w:tc>
          <w:tcPr>
            <w:tcW w:w="334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8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320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28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公开01表</w:t>
            </w:r>
          </w:p>
        </w:tc>
      </w:tr>
      <w:tr>
        <w:tblPrEx>
          <w:tblCellMar>
            <w:top w:w="0" w:type="dxa"/>
            <w:left w:w="108" w:type="dxa"/>
            <w:bottom w:w="0" w:type="dxa"/>
            <w:right w:w="108" w:type="dxa"/>
          </w:tblCellMar>
        </w:tblPrEx>
        <w:trPr>
          <w:trHeight w:val="234" w:hRule="atLeast"/>
        </w:trPr>
        <w:tc>
          <w:tcPr>
            <w:tcW w:w="3343"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88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320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6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28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20" w:hRule="atLeast"/>
        </w:trPr>
        <w:tc>
          <w:tcPr>
            <w:tcW w:w="53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收入</w:t>
            </w:r>
          </w:p>
        </w:tc>
        <w:tc>
          <w:tcPr>
            <w:tcW w:w="5456"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支出</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行次</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金额</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行次</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金额</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8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961"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28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37.4</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一、一般公共服务支出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二、政府性基金预算财政拨款收入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二、外交支出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三、国有资本经营预算财政拨款收入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三、国防支出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四、上级补助收入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四、公共安全支出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五、事业收入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五、教育支出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六、经营收入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六、科学技术支出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七、附属单位上缴收入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7</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七、文化旅游体育与传媒支出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八、其他收入</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8</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535.92</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八、社会保障和就业支出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9</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九、卫生健康支出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十、节能环保支出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11</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十一、城乡社区支出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12</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十二、农林水支出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13</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十三、交通运输支出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14</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十四、资源勘探工业信息等支出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15</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十五、商业服务业等支出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16</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十六、金融支出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17</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十七、援助其他地区支出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18</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十八、自然资源海洋气象等支出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19</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十九、住房保障支出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二十、粮油物资储备支出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21</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二十一、国有资本经营预算支出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22</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二十二、灾害防治及应急管理支出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645.23</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23</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二十三、其他支出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jc w:val="center"/>
              <w:rPr>
                <w:b/>
                <w:bCs/>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24</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二十四、债务还本支出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25</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二十五、债务付息支出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5"/>
                <w:szCs w:val="15"/>
              </w:rPr>
            </w:pPr>
            <w:r>
              <w:rPr>
                <w:rFonts w:hint="eastAsia"/>
                <w:color w:val="000000"/>
                <w:sz w:val="15"/>
                <w:szCs w:val="15"/>
                <w:lang w:val="en-US"/>
              </w:rPr>
              <w:t>26</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5"/>
                <w:szCs w:val="15"/>
              </w:rPr>
            </w:pP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二十六、抗疫特别国债安排的支出</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本年收入合计</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27</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573.32</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本年支出合计</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645.23</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使用非财政拨款结余</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28</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结余分配</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年初结转和结余</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29</w:t>
            </w:r>
          </w:p>
        </w:tc>
        <w:tc>
          <w:tcPr>
            <w:tcW w:w="1161" w:type="dxa"/>
            <w:tcBorders>
              <w:top w:val="nil"/>
              <w:left w:val="nil"/>
              <w:bottom w:val="single" w:color="000000" w:sz="4" w:space="0"/>
              <w:right w:val="single" w:color="000000" w:sz="4" w:space="0"/>
            </w:tcBorders>
            <w:shd w:val="clear" w:color="auto" w:fill="auto"/>
            <w:noWrap/>
            <w:vAlign w:val="center"/>
          </w:tcPr>
          <w:p>
            <w:pPr>
              <w:widowControl/>
              <w:ind w:right="90"/>
              <w:jc w:val="right"/>
              <w:textAlignment w:val="center"/>
              <w:rPr>
                <w:color w:val="000000"/>
                <w:sz w:val="18"/>
                <w:szCs w:val="18"/>
              </w:rPr>
            </w:pPr>
            <w:r>
              <w:rPr>
                <w:rFonts w:hint="eastAsia"/>
                <w:color w:val="000000"/>
                <w:sz w:val="18"/>
                <w:szCs w:val="18"/>
                <w:lang w:val="en-US"/>
              </w:rPr>
              <w:t>79.84</w:t>
            </w:r>
          </w:p>
        </w:tc>
        <w:tc>
          <w:tcPr>
            <w:tcW w:w="320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年末结转和结余</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7.93</w:t>
            </w: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0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61</w:t>
            </w:r>
          </w:p>
        </w:tc>
        <w:tc>
          <w:tcPr>
            <w:tcW w:w="128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r>
      <w:tr>
        <w:tblPrEx>
          <w:tblCellMar>
            <w:top w:w="0" w:type="dxa"/>
            <w:left w:w="108" w:type="dxa"/>
            <w:bottom w:w="0" w:type="dxa"/>
            <w:right w:w="108" w:type="dxa"/>
          </w:tblCellMar>
        </w:tblPrEx>
        <w:trPr>
          <w:trHeight w:val="320" w:hRule="atLeast"/>
        </w:trPr>
        <w:tc>
          <w:tcPr>
            <w:tcW w:w="33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31</w:t>
            </w:r>
          </w:p>
        </w:tc>
        <w:tc>
          <w:tcPr>
            <w:tcW w:w="116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653.16</w:t>
            </w:r>
          </w:p>
        </w:tc>
        <w:tc>
          <w:tcPr>
            <w:tcW w:w="320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653.16</w:t>
            </w:r>
          </w:p>
        </w:tc>
      </w:tr>
      <w:tr>
        <w:tblPrEx>
          <w:tblCellMar>
            <w:top w:w="0" w:type="dxa"/>
            <w:left w:w="108" w:type="dxa"/>
            <w:bottom w:w="0" w:type="dxa"/>
            <w:right w:w="108" w:type="dxa"/>
          </w:tblCellMar>
        </w:tblPrEx>
        <w:trPr>
          <w:trHeight w:val="320" w:hRule="atLeast"/>
        </w:trPr>
        <w:tc>
          <w:tcPr>
            <w:tcW w:w="10840" w:type="dxa"/>
            <w:gridSpan w:val="6"/>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注：1.本表反映部门本年度的总收支和年末结转结余情况。</w:t>
            </w:r>
          </w:p>
        </w:tc>
      </w:tr>
      <w:tr>
        <w:tblPrEx>
          <w:tblCellMar>
            <w:top w:w="0" w:type="dxa"/>
            <w:left w:w="108" w:type="dxa"/>
            <w:bottom w:w="0" w:type="dxa"/>
            <w:right w:w="108" w:type="dxa"/>
          </w:tblCellMar>
        </w:tblPrEx>
        <w:trPr>
          <w:trHeight w:val="281" w:hRule="atLeast"/>
        </w:trPr>
        <w:tc>
          <w:tcPr>
            <w:tcW w:w="10840" w:type="dxa"/>
            <w:gridSpan w:val="6"/>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2.本套报表金额单位转换时可能存在尾数误差。</w:t>
            </w:r>
          </w:p>
        </w:tc>
      </w:tr>
    </w:tbl>
    <w:p>
      <w:pPr>
        <w:rPr>
          <w:rFonts w:ascii="黑体"/>
          <w:sz w:val="20"/>
        </w:rPr>
        <w:sectPr>
          <w:pgSz w:w="11910" w:h="16840"/>
          <w:pgMar w:top="1480" w:right="1150" w:bottom="380" w:left="200" w:header="0" w:footer="850" w:gutter="0"/>
          <w:cols w:space="720" w:num="1"/>
        </w:sectPr>
      </w:pPr>
    </w:p>
    <w:p>
      <w:pPr>
        <w:pStyle w:val="5"/>
        <w:ind w:left="1218"/>
        <w:rPr>
          <w:rFonts w:ascii="黑体"/>
          <w:sz w:val="20"/>
        </w:rPr>
      </w:pPr>
    </w:p>
    <w:tbl>
      <w:tblPr>
        <w:tblStyle w:val="10"/>
        <w:tblpPr w:leftFromText="180" w:rightFromText="180" w:vertAnchor="text" w:horzAnchor="page" w:tblpXSpec="center" w:tblpY="408"/>
        <w:tblOverlap w:val="never"/>
        <w:tblW w:w="11488" w:type="dxa"/>
        <w:jc w:val="center"/>
        <w:tblLayout w:type="fixed"/>
        <w:tblCellMar>
          <w:top w:w="0" w:type="dxa"/>
          <w:left w:w="108" w:type="dxa"/>
          <w:bottom w:w="0" w:type="dxa"/>
          <w:right w:w="108" w:type="dxa"/>
        </w:tblCellMar>
      </w:tblPr>
      <w:tblGrid>
        <w:gridCol w:w="3027"/>
        <w:gridCol w:w="236"/>
        <w:gridCol w:w="236"/>
        <w:gridCol w:w="2339"/>
        <w:gridCol w:w="828"/>
        <w:gridCol w:w="844"/>
        <w:gridCol w:w="669"/>
        <w:gridCol w:w="621"/>
        <w:gridCol w:w="621"/>
        <w:gridCol w:w="622"/>
        <w:gridCol w:w="1445"/>
      </w:tblGrid>
      <w:tr>
        <w:tblPrEx>
          <w:tblCellMar>
            <w:top w:w="0" w:type="dxa"/>
            <w:left w:w="108" w:type="dxa"/>
            <w:bottom w:w="0" w:type="dxa"/>
            <w:right w:w="108" w:type="dxa"/>
          </w:tblCellMar>
        </w:tblPrEx>
        <w:trPr>
          <w:trHeight w:val="358" w:hRule="atLeast"/>
          <w:jc w:val="center"/>
        </w:trPr>
        <w:tc>
          <w:tcPr>
            <w:tcW w:w="11488" w:type="dxa"/>
            <w:gridSpan w:val="11"/>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收入决算表</w:t>
            </w:r>
          </w:p>
        </w:tc>
      </w:tr>
      <w:tr>
        <w:tblPrEx>
          <w:tblCellMar>
            <w:top w:w="0" w:type="dxa"/>
            <w:left w:w="108" w:type="dxa"/>
            <w:bottom w:w="0" w:type="dxa"/>
            <w:right w:w="108" w:type="dxa"/>
          </w:tblCellMar>
        </w:tblPrEx>
        <w:trPr>
          <w:trHeight w:val="239" w:hRule="atLeast"/>
          <w:jc w:val="center"/>
        </w:trPr>
        <w:tc>
          <w:tcPr>
            <w:tcW w:w="303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4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7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4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公开02表</w:t>
            </w:r>
          </w:p>
        </w:tc>
      </w:tr>
      <w:tr>
        <w:tblPrEx>
          <w:tblCellMar>
            <w:top w:w="0" w:type="dxa"/>
            <w:left w:w="108" w:type="dxa"/>
            <w:bottom w:w="0" w:type="dxa"/>
            <w:right w:w="108" w:type="dxa"/>
          </w:tblCellMar>
        </w:tblPrEx>
        <w:trPr>
          <w:trHeight w:val="477" w:hRule="atLeast"/>
          <w:jc w:val="center"/>
        </w:trPr>
        <w:tc>
          <w:tcPr>
            <w:tcW w:w="3036"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4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7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2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49"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272" w:hRule="atLeast"/>
          <w:jc w:val="center"/>
        </w:trPr>
        <w:tc>
          <w:tcPr>
            <w:tcW w:w="58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3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本年收入合计</w:t>
            </w:r>
          </w:p>
        </w:tc>
        <w:tc>
          <w:tcPr>
            <w:tcW w:w="84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财政拨款收入</w:t>
            </w:r>
          </w:p>
        </w:tc>
        <w:tc>
          <w:tcPr>
            <w:tcW w:w="67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上级补助收入</w:t>
            </w:r>
          </w:p>
        </w:tc>
        <w:tc>
          <w:tcPr>
            <w:tcW w:w="6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事业收入</w:t>
            </w:r>
          </w:p>
        </w:tc>
        <w:tc>
          <w:tcPr>
            <w:tcW w:w="6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经营收入</w:t>
            </w:r>
          </w:p>
        </w:tc>
        <w:tc>
          <w:tcPr>
            <w:tcW w:w="6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附属单位上缴收入</w:t>
            </w:r>
          </w:p>
        </w:tc>
        <w:tc>
          <w:tcPr>
            <w:tcW w:w="144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其他收入</w:t>
            </w:r>
          </w:p>
        </w:tc>
      </w:tr>
      <w:tr>
        <w:tblPrEx>
          <w:tblCellMar>
            <w:top w:w="0" w:type="dxa"/>
            <w:left w:w="108" w:type="dxa"/>
            <w:bottom w:w="0" w:type="dxa"/>
            <w:right w:w="108" w:type="dxa"/>
          </w:tblCellMar>
        </w:tblPrEx>
        <w:trPr>
          <w:trHeight w:val="312" w:hRule="atLeast"/>
          <w:jc w:val="center"/>
        </w:trPr>
        <w:tc>
          <w:tcPr>
            <w:tcW w:w="348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346"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4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46"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245" w:hRule="atLeast"/>
          <w:jc w:val="center"/>
        </w:trPr>
        <w:tc>
          <w:tcPr>
            <w:tcW w:w="34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46"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72" w:hRule="atLeast"/>
          <w:jc w:val="center"/>
        </w:trPr>
        <w:tc>
          <w:tcPr>
            <w:tcW w:w="582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3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1</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2</w:t>
            </w:r>
          </w:p>
        </w:tc>
        <w:tc>
          <w:tcPr>
            <w:tcW w:w="6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3</w:t>
            </w:r>
          </w:p>
        </w:tc>
        <w:tc>
          <w:tcPr>
            <w:tcW w:w="6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4</w:t>
            </w:r>
          </w:p>
        </w:tc>
        <w:tc>
          <w:tcPr>
            <w:tcW w:w="6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5</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6</w:t>
            </w:r>
          </w:p>
        </w:tc>
        <w:tc>
          <w:tcPr>
            <w:tcW w:w="1449"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7</w:t>
            </w:r>
          </w:p>
        </w:tc>
      </w:tr>
      <w:tr>
        <w:tblPrEx>
          <w:tblCellMar>
            <w:top w:w="0" w:type="dxa"/>
            <w:left w:w="108" w:type="dxa"/>
            <w:bottom w:w="0" w:type="dxa"/>
            <w:right w:w="108" w:type="dxa"/>
          </w:tblCellMar>
        </w:tblPrEx>
        <w:trPr>
          <w:trHeight w:val="534" w:hRule="atLeast"/>
          <w:jc w:val="center"/>
        </w:trPr>
        <w:tc>
          <w:tcPr>
            <w:tcW w:w="582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573.32</w:t>
            </w: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37.4</w:t>
            </w:r>
          </w:p>
        </w:tc>
        <w:tc>
          <w:tcPr>
            <w:tcW w:w="6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535.92</w:t>
            </w:r>
          </w:p>
        </w:tc>
      </w:tr>
      <w:tr>
        <w:tblPrEx>
          <w:tblCellMar>
            <w:top w:w="0" w:type="dxa"/>
            <w:left w:w="108" w:type="dxa"/>
            <w:bottom w:w="0" w:type="dxa"/>
            <w:right w:w="108" w:type="dxa"/>
          </w:tblCellMar>
        </w:tblPrEx>
        <w:trPr>
          <w:trHeight w:val="534"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34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573.32</w:t>
            </w: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535.92</w:t>
            </w:r>
          </w:p>
        </w:tc>
      </w:tr>
      <w:tr>
        <w:tblPrEx>
          <w:tblCellMar>
            <w:top w:w="0" w:type="dxa"/>
            <w:left w:w="108" w:type="dxa"/>
            <w:bottom w:w="0" w:type="dxa"/>
            <w:right w:w="108" w:type="dxa"/>
          </w:tblCellMar>
        </w:tblPrEx>
        <w:trPr>
          <w:trHeight w:val="534"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34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573.32</w:t>
            </w: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535.92</w:t>
            </w:r>
          </w:p>
        </w:tc>
      </w:tr>
      <w:tr>
        <w:tblPrEx>
          <w:tblCellMar>
            <w:top w:w="0" w:type="dxa"/>
            <w:left w:w="108" w:type="dxa"/>
            <w:bottom w:w="0" w:type="dxa"/>
            <w:right w:w="108" w:type="dxa"/>
          </w:tblCellMar>
        </w:tblPrEx>
        <w:trPr>
          <w:trHeight w:val="534"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34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lang w:val="en-US"/>
              </w:rPr>
            </w:pPr>
            <w:r>
              <w:rPr>
                <w:rFonts w:hint="eastAsia"/>
                <w:color w:val="000000"/>
                <w:sz w:val="18"/>
                <w:szCs w:val="18"/>
                <w:lang w:val="en-US"/>
              </w:rPr>
              <w:t>549.32</w:t>
            </w: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535.92</w:t>
            </w:r>
          </w:p>
        </w:tc>
      </w:tr>
      <w:tr>
        <w:tblPrEx>
          <w:tblCellMar>
            <w:top w:w="0" w:type="dxa"/>
            <w:left w:w="108" w:type="dxa"/>
            <w:bottom w:w="0" w:type="dxa"/>
            <w:right w:w="108" w:type="dxa"/>
          </w:tblCellMar>
        </w:tblPrEx>
        <w:trPr>
          <w:trHeight w:val="534"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346"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lang w:val="en-US"/>
              </w:rPr>
            </w:pPr>
            <w:r>
              <w:rPr>
                <w:rFonts w:hint="eastAsia"/>
                <w:color w:val="000000"/>
                <w:sz w:val="18"/>
                <w:szCs w:val="18"/>
                <w:lang w:val="en-US"/>
              </w:rPr>
              <w:t>24</w:t>
            </w: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272"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4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3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7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4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4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3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7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4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4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3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7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4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3480"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4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3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7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2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4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72" w:hRule="atLeast"/>
          <w:jc w:val="center"/>
        </w:trPr>
        <w:tc>
          <w:tcPr>
            <w:tcW w:w="11488" w:type="dxa"/>
            <w:gridSpan w:val="11"/>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注：本表反映部门本年度取得的各项收入情况。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sectPr>
          <w:pgSz w:w="11910" w:h="16840"/>
          <w:pgMar w:top="1500" w:right="80" w:bottom="380" w:left="200" w:header="0" w:footer="850" w:gutter="0"/>
          <w:cols w:space="720" w:num="1"/>
        </w:sectPr>
      </w:pPr>
    </w:p>
    <w:tbl>
      <w:tblPr>
        <w:tblStyle w:val="10"/>
        <w:tblpPr w:leftFromText="180" w:rightFromText="180" w:vertAnchor="text" w:horzAnchor="page" w:tblpXSpec="center" w:tblpY="124"/>
        <w:tblOverlap w:val="never"/>
        <w:tblW w:w="11080" w:type="dxa"/>
        <w:jc w:val="center"/>
        <w:tblLayout w:type="fixed"/>
        <w:tblCellMar>
          <w:top w:w="0" w:type="dxa"/>
          <w:left w:w="108" w:type="dxa"/>
          <w:bottom w:w="0" w:type="dxa"/>
          <w:right w:w="108" w:type="dxa"/>
        </w:tblCellMar>
      </w:tblPr>
      <w:tblGrid>
        <w:gridCol w:w="3076"/>
        <w:gridCol w:w="236"/>
        <w:gridCol w:w="236"/>
        <w:gridCol w:w="2375"/>
        <w:gridCol w:w="820"/>
        <w:gridCol w:w="820"/>
        <w:gridCol w:w="820"/>
        <w:gridCol w:w="615"/>
        <w:gridCol w:w="615"/>
        <w:gridCol w:w="1467"/>
      </w:tblGrid>
      <w:tr>
        <w:tblPrEx>
          <w:tblCellMar>
            <w:top w:w="0" w:type="dxa"/>
            <w:left w:w="108" w:type="dxa"/>
            <w:bottom w:w="0" w:type="dxa"/>
            <w:right w:w="108" w:type="dxa"/>
          </w:tblCellMar>
        </w:tblPrEx>
        <w:trPr>
          <w:trHeight w:val="341" w:hRule="atLeast"/>
          <w:jc w:val="center"/>
        </w:trPr>
        <w:tc>
          <w:tcPr>
            <w:tcW w:w="11080" w:type="dxa"/>
            <w:gridSpan w:val="10"/>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支出决算表</w:t>
            </w:r>
          </w:p>
        </w:tc>
      </w:tr>
      <w:tr>
        <w:tblPrEx>
          <w:tblCellMar>
            <w:top w:w="0" w:type="dxa"/>
            <w:left w:w="108" w:type="dxa"/>
            <w:bottom w:w="0" w:type="dxa"/>
            <w:right w:w="108" w:type="dxa"/>
          </w:tblCellMar>
        </w:tblPrEx>
        <w:trPr>
          <w:trHeight w:val="227" w:hRule="atLeast"/>
          <w:jc w:val="center"/>
        </w:trPr>
        <w:tc>
          <w:tcPr>
            <w:tcW w:w="3085"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8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71"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公开03表</w:t>
            </w:r>
          </w:p>
        </w:tc>
      </w:tr>
      <w:tr>
        <w:tblPrEx>
          <w:tblCellMar>
            <w:top w:w="0" w:type="dxa"/>
            <w:left w:w="108" w:type="dxa"/>
            <w:bottom w:w="0" w:type="dxa"/>
            <w:right w:w="108" w:type="dxa"/>
          </w:tblCellMar>
        </w:tblPrEx>
        <w:trPr>
          <w:trHeight w:val="454" w:hRule="atLeast"/>
          <w:jc w:val="center"/>
        </w:trPr>
        <w:tc>
          <w:tcPr>
            <w:tcW w:w="3085"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38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6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471"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259" w:hRule="atLeast"/>
          <w:jc w:val="center"/>
        </w:trPr>
        <w:tc>
          <w:tcPr>
            <w:tcW w:w="59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8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本年支出合计</w:t>
            </w:r>
          </w:p>
        </w:tc>
        <w:tc>
          <w:tcPr>
            <w:tcW w:w="8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8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c>
          <w:tcPr>
            <w:tcW w:w="61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上缴上级支出</w:t>
            </w:r>
          </w:p>
        </w:tc>
        <w:tc>
          <w:tcPr>
            <w:tcW w:w="61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经营支出</w:t>
            </w:r>
          </w:p>
        </w:tc>
        <w:tc>
          <w:tcPr>
            <w:tcW w:w="147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对附属单位补助支出</w:t>
            </w:r>
          </w:p>
        </w:tc>
      </w:tr>
      <w:tr>
        <w:tblPrEx>
          <w:tblCellMar>
            <w:top w:w="0" w:type="dxa"/>
            <w:left w:w="108" w:type="dxa"/>
            <w:bottom w:w="0" w:type="dxa"/>
            <w:right w:w="108" w:type="dxa"/>
          </w:tblCellMar>
        </w:tblPrEx>
        <w:trPr>
          <w:trHeight w:val="312" w:hRule="atLeast"/>
          <w:jc w:val="center"/>
        </w:trPr>
        <w:tc>
          <w:tcPr>
            <w:tcW w:w="352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38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52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8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575" w:hRule="atLeast"/>
          <w:jc w:val="center"/>
        </w:trPr>
        <w:tc>
          <w:tcPr>
            <w:tcW w:w="352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38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2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4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59" w:hRule="atLeast"/>
          <w:jc w:val="center"/>
        </w:trPr>
        <w:tc>
          <w:tcPr>
            <w:tcW w:w="591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1</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2</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3</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4</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5</w:t>
            </w:r>
          </w:p>
        </w:tc>
        <w:tc>
          <w:tcPr>
            <w:tcW w:w="147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6</w:t>
            </w:r>
          </w:p>
        </w:tc>
      </w:tr>
      <w:tr>
        <w:tblPrEx>
          <w:tblCellMar>
            <w:top w:w="0" w:type="dxa"/>
            <w:left w:w="108" w:type="dxa"/>
            <w:bottom w:w="0" w:type="dxa"/>
            <w:right w:w="108" w:type="dxa"/>
          </w:tblCellMar>
        </w:tblPrEx>
        <w:trPr>
          <w:trHeight w:val="429" w:hRule="atLeast"/>
          <w:jc w:val="center"/>
        </w:trPr>
        <w:tc>
          <w:tcPr>
            <w:tcW w:w="591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645.23</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color w:val="000000"/>
                <w:sz w:val="18"/>
                <w:szCs w:val="18"/>
              </w:rPr>
            </w:pPr>
            <w:r>
              <w:rPr>
                <w:rFonts w:hint="eastAsia"/>
                <w:b/>
                <w:color w:val="000000"/>
                <w:sz w:val="18"/>
                <w:szCs w:val="18"/>
                <w:lang w:val="en-US"/>
              </w:rPr>
              <w:t>624.82</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20.41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c>
          <w:tcPr>
            <w:tcW w:w="14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0.00</w:t>
            </w:r>
          </w:p>
        </w:tc>
      </w:tr>
      <w:tr>
        <w:tblPrEx>
          <w:tblCellMar>
            <w:top w:w="0" w:type="dxa"/>
            <w:left w:w="108" w:type="dxa"/>
            <w:bottom w:w="0" w:type="dxa"/>
            <w:right w:w="108" w:type="dxa"/>
          </w:tblCellMar>
        </w:tblPrEx>
        <w:trPr>
          <w:trHeight w:val="50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382"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645.23</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624.82</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42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382"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645.23</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624.82</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42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382"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624.82</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624.82</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42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382"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47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25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8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7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8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7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8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7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3529"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38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22"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61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47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259" w:hRule="atLeast"/>
          <w:jc w:val="center"/>
        </w:trPr>
        <w:tc>
          <w:tcPr>
            <w:tcW w:w="11080" w:type="dxa"/>
            <w:gridSpan w:val="10"/>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注：本表反映部门本年度各项支出情况。</w:t>
            </w:r>
          </w:p>
        </w:tc>
      </w:tr>
    </w:tbl>
    <w:p>
      <w:pPr>
        <w:pStyle w:val="5"/>
        <w:ind w:left="1218"/>
        <w:rPr>
          <w:rFonts w:ascii="黑体"/>
          <w:sz w:val="20"/>
        </w:rPr>
      </w:pPr>
    </w:p>
    <w:p>
      <w:pPr>
        <w:pStyle w:val="2"/>
        <w:ind w:firstLine="440"/>
      </w:pPr>
    </w:p>
    <w:p>
      <w:pPr>
        <w:pStyle w:val="2"/>
        <w:ind w:firstLine="440"/>
      </w:pPr>
    </w:p>
    <w:p>
      <w:pPr>
        <w:pStyle w:val="2"/>
        <w:ind w:firstLine="0" w:firstLineChars="0"/>
        <w:sectPr>
          <w:footerReference r:id="rId13" w:type="default"/>
          <w:pgSz w:w="11910" w:h="16840"/>
          <w:pgMar w:top="1560" w:right="80" w:bottom="380" w:left="200" w:header="0" w:footer="850" w:gutter="0"/>
          <w:cols w:space="720" w:num="1"/>
        </w:sectPr>
      </w:pPr>
    </w:p>
    <w:tbl>
      <w:tblPr>
        <w:tblStyle w:val="10"/>
        <w:tblpPr w:leftFromText="180" w:rightFromText="180" w:vertAnchor="text" w:horzAnchor="page" w:tblpXSpec="center" w:tblpY="157"/>
        <w:tblOverlap w:val="never"/>
        <w:tblW w:w="10820" w:type="dxa"/>
        <w:jc w:val="center"/>
        <w:tblLayout w:type="fixed"/>
        <w:tblCellMar>
          <w:top w:w="0" w:type="dxa"/>
          <w:left w:w="108" w:type="dxa"/>
          <w:bottom w:w="0" w:type="dxa"/>
          <w:right w:w="108" w:type="dxa"/>
        </w:tblCellMar>
      </w:tblPr>
      <w:tblGrid>
        <w:gridCol w:w="2418"/>
        <w:gridCol w:w="530"/>
        <w:gridCol w:w="938"/>
        <w:gridCol w:w="2539"/>
        <w:gridCol w:w="530"/>
        <w:gridCol w:w="938"/>
        <w:gridCol w:w="938"/>
        <w:gridCol w:w="801"/>
        <w:gridCol w:w="1188"/>
      </w:tblGrid>
      <w:tr>
        <w:tblPrEx>
          <w:tblCellMar>
            <w:top w:w="0" w:type="dxa"/>
            <w:left w:w="108" w:type="dxa"/>
            <w:bottom w:w="0" w:type="dxa"/>
            <w:right w:w="108" w:type="dxa"/>
          </w:tblCellMar>
        </w:tblPrEx>
        <w:trPr>
          <w:trHeight w:val="90" w:hRule="atLeast"/>
          <w:jc w:val="center"/>
        </w:trPr>
        <w:tc>
          <w:tcPr>
            <w:tcW w:w="10820" w:type="dxa"/>
            <w:gridSpan w:val="9"/>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财政拨款收入支出决算总表</w:t>
            </w:r>
          </w:p>
        </w:tc>
      </w:tr>
      <w:tr>
        <w:tblPrEx>
          <w:tblCellMar>
            <w:top w:w="0" w:type="dxa"/>
            <w:left w:w="108" w:type="dxa"/>
            <w:bottom w:w="0" w:type="dxa"/>
            <w:right w:w="108" w:type="dxa"/>
          </w:tblCellMar>
        </w:tblPrEx>
        <w:trPr>
          <w:trHeight w:val="90" w:hRule="atLeast"/>
          <w:jc w:val="center"/>
        </w:trPr>
        <w:tc>
          <w:tcPr>
            <w:tcW w:w="241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5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公开04表</w:t>
            </w:r>
          </w:p>
        </w:tc>
      </w:tr>
      <w:tr>
        <w:tblPrEx>
          <w:tblCellMar>
            <w:top w:w="0" w:type="dxa"/>
            <w:left w:w="108" w:type="dxa"/>
            <w:bottom w:w="0" w:type="dxa"/>
            <w:right w:w="108" w:type="dxa"/>
          </w:tblCellMar>
        </w:tblPrEx>
        <w:trPr>
          <w:trHeight w:val="90" w:hRule="atLeast"/>
          <w:jc w:val="center"/>
        </w:trPr>
        <w:tc>
          <w:tcPr>
            <w:tcW w:w="2418"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53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53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9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1"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88"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90" w:hRule="atLeast"/>
          <w:jc w:val="center"/>
        </w:trPr>
        <w:tc>
          <w:tcPr>
            <w:tcW w:w="38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收     入</w:t>
            </w:r>
          </w:p>
        </w:tc>
        <w:tc>
          <w:tcPr>
            <w:tcW w:w="693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支     出</w:t>
            </w:r>
          </w:p>
        </w:tc>
      </w:tr>
      <w:tr>
        <w:tblPrEx>
          <w:tblCellMar>
            <w:top w:w="0" w:type="dxa"/>
            <w:left w:w="108" w:type="dxa"/>
            <w:bottom w:w="0" w:type="dxa"/>
            <w:right w:w="108" w:type="dxa"/>
          </w:tblCellMar>
        </w:tblPrEx>
        <w:trPr>
          <w:trHeight w:val="312" w:hRule="atLeast"/>
          <w:jc w:val="center"/>
        </w:trPr>
        <w:tc>
          <w:tcPr>
            <w:tcW w:w="24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w:t>
            </w:r>
          </w:p>
        </w:tc>
        <w:tc>
          <w:tcPr>
            <w:tcW w:w="5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行次</w:t>
            </w:r>
          </w:p>
        </w:tc>
        <w:tc>
          <w:tcPr>
            <w:tcW w:w="9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金额</w:t>
            </w:r>
          </w:p>
        </w:tc>
        <w:tc>
          <w:tcPr>
            <w:tcW w:w="253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w:t>
            </w:r>
          </w:p>
        </w:tc>
        <w:tc>
          <w:tcPr>
            <w:tcW w:w="5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行次</w:t>
            </w:r>
          </w:p>
        </w:tc>
        <w:tc>
          <w:tcPr>
            <w:tcW w:w="93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9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一般公共预算财政拨款</w:t>
            </w:r>
          </w:p>
        </w:tc>
        <w:tc>
          <w:tcPr>
            <w:tcW w:w="80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政府性基金预算财政拨款</w:t>
            </w:r>
          </w:p>
        </w:tc>
        <w:tc>
          <w:tcPr>
            <w:tcW w:w="118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国有资本经营预算财政拨款</w:t>
            </w:r>
          </w:p>
        </w:tc>
      </w:tr>
      <w:tr>
        <w:tblPrEx>
          <w:tblCellMar>
            <w:top w:w="0" w:type="dxa"/>
            <w:left w:w="108" w:type="dxa"/>
            <w:bottom w:w="0" w:type="dxa"/>
            <w:right w:w="108" w:type="dxa"/>
          </w:tblCellMar>
        </w:tblPrEx>
        <w:trPr>
          <w:trHeight w:val="312" w:hRule="atLeast"/>
          <w:jc w:val="center"/>
        </w:trPr>
        <w:tc>
          <w:tcPr>
            <w:tcW w:w="24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530"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253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530"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1"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1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53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530" w:type="dxa"/>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37.4</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一、一般公共服务支出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二、外交支出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三、国防支出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四、公共安全支出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五、教育支出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六、科学技术支出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7</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七、文化旅游体育与传媒支出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8</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八、社会保障和就业支出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9</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九、卫生健康支出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10</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十、节能环保支出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十一、城乡社区支出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十二、农林水支出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十三、交通运输支出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十四、资源勘探工业信息等支出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十五、商业服务业等支出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十六、金融支出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17</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十七、援助其他地区支出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18</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十八、自然资源海洋气象等支出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19</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十九、住房保障支出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20</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二十、粮油物资储备支出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二十一、国有资本经营预算支出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53</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二十二、灾害防治及应急管理支出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二十三、其他支出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55</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jc w:val="center"/>
              <w:rPr>
                <w:b/>
                <w:bCs/>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24</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二十四、债务还本支出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56</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25</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二十五、债务付息支出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5"/>
                <w:szCs w:val="15"/>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26</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二十六、抗疫特别国债安排的支出</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本年收入合计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27</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37.4</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本年支出合计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年初财政拨款结转和结余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28</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2.41</w:t>
            </w:r>
          </w:p>
        </w:tc>
        <w:tc>
          <w:tcPr>
            <w:tcW w:w="253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年末财政拨款结转和结余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6.02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6.02</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29</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2.41</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61</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30</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62</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253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63</w:t>
            </w: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1"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90" w:hRule="atLeast"/>
          <w:jc w:val="center"/>
        </w:trPr>
        <w:tc>
          <w:tcPr>
            <w:tcW w:w="241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32</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39.81</w:t>
            </w:r>
          </w:p>
        </w:tc>
        <w:tc>
          <w:tcPr>
            <w:tcW w:w="253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b/>
                <w:bCs/>
                <w:color w:val="000000"/>
                <w:sz w:val="18"/>
                <w:szCs w:val="18"/>
              </w:rPr>
            </w:pPr>
            <w:r>
              <w:rPr>
                <w:rFonts w:hint="eastAsia"/>
                <w:b/>
                <w:bCs/>
                <w:color w:val="000000"/>
                <w:sz w:val="18"/>
                <w:szCs w:val="18"/>
                <w:lang w:val="en-US"/>
              </w:rPr>
              <w:t>总计</w:t>
            </w:r>
          </w:p>
        </w:tc>
        <w:tc>
          <w:tcPr>
            <w:tcW w:w="5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64</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39.81</w:t>
            </w:r>
          </w:p>
        </w:tc>
        <w:tc>
          <w:tcPr>
            <w:tcW w:w="9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39.81</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18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90" w:hRule="atLeast"/>
          <w:jc w:val="center"/>
        </w:trPr>
        <w:tc>
          <w:tcPr>
            <w:tcW w:w="9632" w:type="dxa"/>
            <w:gridSpan w:val="8"/>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注：本表反映部门本年度一般公共预算财政拨款、政府性基金预算财政拨款和国有资本经营预算财政拨款的总收支和年末结转结余情况。</w:t>
            </w:r>
          </w:p>
        </w:tc>
        <w:tc>
          <w:tcPr>
            <w:tcW w:w="1188" w:type="dxa"/>
            <w:tcBorders>
              <w:top w:val="nil"/>
              <w:left w:val="nil"/>
              <w:bottom w:val="nil"/>
              <w:right w:val="nil"/>
            </w:tcBorders>
            <w:shd w:val="clear" w:color="auto" w:fill="auto"/>
            <w:noWrap/>
            <w:vAlign w:val="center"/>
          </w:tcPr>
          <w:p>
            <w:pPr>
              <w:rPr>
                <w:color w:val="000000"/>
                <w:sz w:val="15"/>
                <w:szCs w:val="15"/>
              </w:rPr>
            </w:pPr>
          </w:p>
        </w:tc>
      </w:tr>
    </w:tbl>
    <w:p>
      <w:pPr>
        <w:pStyle w:val="5"/>
        <w:ind w:left="1218"/>
        <w:rPr>
          <w:rFonts w:ascii="黑体"/>
          <w:sz w:val="20"/>
        </w:rPr>
      </w:pPr>
    </w:p>
    <w:p>
      <w:pPr>
        <w:rPr>
          <w:rFonts w:ascii="黑体"/>
          <w:sz w:val="20"/>
        </w:rPr>
      </w:pPr>
    </w:p>
    <w:p>
      <w:pPr>
        <w:pStyle w:val="2"/>
        <w:ind w:firstLine="440"/>
      </w:pPr>
    </w:p>
    <w:p>
      <w:pPr>
        <w:pStyle w:val="2"/>
        <w:ind w:firstLine="440"/>
      </w:pPr>
    </w:p>
    <w:p>
      <w:pPr>
        <w:rPr>
          <w:rFonts w:ascii="黑体"/>
          <w:sz w:val="20"/>
        </w:rPr>
        <w:sectPr>
          <w:pgSz w:w="11910" w:h="16840"/>
          <w:pgMar w:top="1440" w:right="80" w:bottom="380" w:left="200" w:header="0" w:footer="850" w:gutter="0"/>
          <w:cols w:space="720" w:num="1"/>
        </w:sectPr>
      </w:pPr>
    </w:p>
    <w:p>
      <w:pPr>
        <w:pStyle w:val="5"/>
        <w:ind w:left="1206"/>
        <w:rPr>
          <w:rFonts w:ascii="黑体"/>
          <w:sz w:val="20"/>
        </w:rPr>
      </w:pPr>
    </w:p>
    <w:tbl>
      <w:tblPr>
        <w:tblStyle w:val="10"/>
        <w:tblpPr w:leftFromText="180" w:rightFromText="180" w:vertAnchor="text" w:horzAnchor="page" w:tblpX="778" w:tblpY="372"/>
        <w:tblOverlap w:val="never"/>
        <w:tblW w:w="10620" w:type="dxa"/>
        <w:tblInd w:w="0" w:type="dxa"/>
        <w:tblLayout w:type="fixed"/>
        <w:tblCellMar>
          <w:top w:w="0" w:type="dxa"/>
          <w:left w:w="108" w:type="dxa"/>
          <w:bottom w:w="0" w:type="dxa"/>
          <w:right w:w="108" w:type="dxa"/>
        </w:tblCellMar>
      </w:tblPr>
      <w:tblGrid>
        <w:gridCol w:w="3756"/>
        <w:gridCol w:w="244"/>
        <w:gridCol w:w="244"/>
        <w:gridCol w:w="2899"/>
        <w:gridCol w:w="847"/>
        <w:gridCol w:w="847"/>
        <w:gridCol w:w="1783"/>
      </w:tblGrid>
      <w:tr>
        <w:tblPrEx>
          <w:tblCellMar>
            <w:top w:w="0" w:type="dxa"/>
            <w:left w:w="108" w:type="dxa"/>
            <w:bottom w:w="0" w:type="dxa"/>
            <w:right w:w="108" w:type="dxa"/>
          </w:tblCellMar>
        </w:tblPrEx>
        <w:trPr>
          <w:trHeight w:val="447" w:hRule="atLeast"/>
        </w:trPr>
        <w:tc>
          <w:tcPr>
            <w:tcW w:w="10620" w:type="dxa"/>
            <w:gridSpan w:val="7"/>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一般公共预算财政拨款支出决算表</w:t>
            </w:r>
          </w:p>
        </w:tc>
      </w:tr>
      <w:tr>
        <w:tblPrEx>
          <w:tblCellMar>
            <w:top w:w="0" w:type="dxa"/>
            <w:left w:w="108" w:type="dxa"/>
            <w:bottom w:w="0" w:type="dxa"/>
            <w:right w:w="108" w:type="dxa"/>
          </w:tblCellMar>
        </w:tblPrEx>
        <w:trPr>
          <w:trHeight w:val="297" w:hRule="atLeast"/>
        </w:trPr>
        <w:tc>
          <w:tcPr>
            <w:tcW w:w="375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89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3"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公开05表</w:t>
            </w:r>
          </w:p>
        </w:tc>
      </w:tr>
      <w:tr>
        <w:tblPrEx>
          <w:tblCellMar>
            <w:top w:w="0" w:type="dxa"/>
            <w:left w:w="108" w:type="dxa"/>
            <w:bottom w:w="0" w:type="dxa"/>
            <w:right w:w="108" w:type="dxa"/>
          </w:tblCellMar>
        </w:tblPrEx>
        <w:trPr>
          <w:trHeight w:val="297" w:hRule="atLeast"/>
        </w:trPr>
        <w:tc>
          <w:tcPr>
            <w:tcW w:w="3756"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89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4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3"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75" w:hRule="atLeast"/>
        </w:trPr>
        <w:tc>
          <w:tcPr>
            <w:tcW w:w="71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347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r>
      <w:tr>
        <w:tblPrEx>
          <w:tblCellMar>
            <w:top w:w="0" w:type="dxa"/>
            <w:left w:w="108" w:type="dxa"/>
            <w:bottom w:w="0" w:type="dxa"/>
            <w:right w:w="108" w:type="dxa"/>
          </w:tblCellMar>
        </w:tblPrEx>
        <w:trPr>
          <w:trHeight w:val="375" w:hRule="atLeast"/>
        </w:trPr>
        <w:tc>
          <w:tcPr>
            <w:tcW w:w="424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2899"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84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小计</w:t>
            </w:r>
          </w:p>
        </w:tc>
        <w:tc>
          <w:tcPr>
            <w:tcW w:w="84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78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r>
      <w:tr>
        <w:tblPrEx>
          <w:tblCellMar>
            <w:top w:w="0" w:type="dxa"/>
            <w:left w:w="108" w:type="dxa"/>
            <w:bottom w:w="0" w:type="dxa"/>
            <w:right w:w="108" w:type="dxa"/>
          </w:tblCellMar>
        </w:tblPrEx>
        <w:trPr>
          <w:trHeight w:val="340" w:hRule="atLeast"/>
        </w:trPr>
        <w:tc>
          <w:tcPr>
            <w:tcW w:w="424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89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3"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89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4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3"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75" w:hRule="atLeast"/>
        </w:trPr>
        <w:tc>
          <w:tcPr>
            <w:tcW w:w="71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r>
      <w:tr>
        <w:tblPrEx>
          <w:tblCellMar>
            <w:top w:w="0" w:type="dxa"/>
            <w:left w:w="108" w:type="dxa"/>
            <w:bottom w:w="0" w:type="dxa"/>
            <w:right w:w="108" w:type="dxa"/>
          </w:tblCellMar>
        </w:tblPrEx>
        <w:trPr>
          <w:trHeight w:val="375" w:hRule="atLeast"/>
        </w:trPr>
        <w:tc>
          <w:tcPr>
            <w:tcW w:w="71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33.78</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13.38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color w:val="000000"/>
                <w:sz w:val="18"/>
                <w:szCs w:val="18"/>
              </w:rPr>
            </w:pPr>
            <w:r>
              <w:rPr>
                <w:rFonts w:hint="eastAsia"/>
                <w:b/>
                <w:bCs/>
                <w:color w:val="000000"/>
                <w:sz w:val="18"/>
                <w:szCs w:val="18"/>
                <w:lang w:val="en-US"/>
              </w:rPr>
              <w:t>20.41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灾害防治及应急管理支出</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13.38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消防救援事务</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33.78</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13.38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2240201</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行政运行</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13.38</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13.38</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2240204</w:t>
            </w:r>
          </w:p>
        </w:tc>
        <w:tc>
          <w:tcPr>
            <w:tcW w:w="289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 xml:space="preserve">  消防应急救援</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c>
          <w:tcPr>
            <w:tcW w:w="84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0.00</w:t>
            </w:r>
          </w:p>
        </w:tc>
        <w:tc>
          <w:tcPr>
            <w:tcW w:w="17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8"/>
                <w:szCs w:val="18"/>
              </w:rPr>
            </w:pPr>
            <w:r>
              <w:rPr>
                <w:rFonts w:hint="eastAsia"/>
                <w:color w:val="000000"/>
                <w:sz w:val="18"/>
                <w:szCs w:val="18"/>
                <w:lang w:val="en-US"/>
              </w:rPr>
              <w:t>20.41</w:t>
            </w: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4244"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289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75" w:hRule="atLeast"/>
        </w:trPr>
        <w:tc>
          <w:tcPr>
            <w:tcW w:w="10620" w:type="dxa"/>
            <w:gridSpan w:val="7"/>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注：本表反映部门本年度一般公共预算财政拨款支出情况。</w:t>
            </w:r>
          </w:p>
        </w:tc>
      </w:tr>
    </w:tbl>
    <w:p>
      <w:pPr>
        <w:pStyle w:val="2"/>
        <w:ind w:firstLine="0" w:firstLineChars="0"/>
        <w:sectPr>
          <w:pgSz w:w="11910" w:h="16840"/>
          <w:pgMar w:top="1380" w:right="80" w:bottom="380" w:left="200" w:header="0" w:footer="850" w:gutter="0"/>
          <w:cols w:space="720" w:num="1"/>
        </w:sectPr>
      </w:pPr>
    </w:p>
    <w:tbl>
      <w:tblPr>
        <w:tblStyle w:val="10"/>
        <w:tblW w:w="10740" w:type="dxa"/>
        <w:jc w:val="center"/>
        <w:tblLayout w:type="fixed"/>
        <w:tblCellMar>
          <w:top w:w="0" w:type="dxa"/>
          <w:left w:w="108" w:type="dxa"/>
          <w:bottom w:w="0" w:type="dxa"/>
          <w:right w:w="108" w:type="dxa"/>
        </w:tblCellMar>
      </w:tblPr>
      <w:tblGrid>
        <w:gridCol w:w="1285"/>
        <w:gridCol w:w="2098"/>
        <w:gridCol w:w="708"/>
        <w:gridCol w:w="709"/>
        <w:gridCol w:w="1418"/>
        <w:gridCol w:w="719"/>
        <w:gridCol w:w="537"/>
        <w:gridCol w:w="2035"/>
        <w:gridCol w:w="1231"/>
      </w:tblGrid>
      <w:tr>
        <w:tblPrEx>
          <w:tblCellMar>
            <w:top w:w="0" w:type="dxa"/>
            <w:left w:w="108" w:type="dxa"/>
            <w:bottom w:w="0" w:type="dxa"/>
            <w:right w:w="108" w:type="dxa"/>
          </w:tblCellMar>
        </w:tblPrEx>
        <w:trPr>
          <w:trHeight w:val="260" w:hRule="atLeast"/>
          <w:jc w:val="center"/>
        </w:trPr>
        <w:tc>
          <w:tcPr>
            <w:tcW w:w="10740" w:type="dxa"/>
            <w:gridSpan w:val="9"/>
            <w:tcBorders>
              <w:top w:val="nil"/>
              <w:left w:val="nil"/>
              <w:bottom w:val="nil"/>
              <w:right w:val="nil"/>
            </w:tcBorders>
            <w:shd w:val="clear" w:color="auto" w:fill="auto"/>
            <w:noWrap/>
            <w:vAlign w:val="bottom"/>
          </w:tcPr>
          <w:p>
            <w:pPr>
              <w:widowControl/>
              <w:jc w:val="center"/>
              <w:textAlignment w:val="bottom"/>
              <w:rPr>
                <w:color w:val="000000"/>
                <w:sz w:val="21"/>
                <w:szCs w:val="21"/>
              </w:rPr>
            </w:pPr>
            <w:r>
              <w:rPr>
                <w:rFonts w:hint="eastAsia"/>
                <w:color w:val="000000"/>
                <w:sz w:val="21"/>
                <w:szCs w:val="21"/>
                <w:lang w:val="en-US"/>
              </w:rPr>
              <w:t>一般公共预算财政拨款基本支出决算明细表</w:t>
            </w:r>
          </w:p>
        </w:tc>
      </w:tr>
      <w:tr>
        <w:tblPrEx>
          <w:tblCellMar>
            <w:top w:w="0" w:type="dxa"/>
            <w:left w:w="108" w:type="dxa"/>
            <w:bottom w:w="0" w:type="dxa"/>
            <w:right w:w="108" w:type="dxa"/>
          </w:tblCellMar>
        </w:tblPrEx>
        <w:trPr>
          <w:trHeight w:val="256" w:hRule="atLeast"/>
          <w:jc w:val="center"/>
        </w:trPr>
        <w:tc>
          <w:tcPr>
            <w:tcW w:w="128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9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41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1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3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231" w:type="dxa"/>
            <w:tcBorders>
              <w:top w:val="nil"/>
              <w:left w:val="nil"/>
              <w:bottom w:val="nil"/>
              <w:right w:val="nil"/>
            </w:tcBorders>
            <w:shd w:val="clear" w:color="auto" w:fill="auto"/>
            <w:noWrap/>
            <w:vAlign w:val="bottom"/>
          </w:tcPr>
          <w:p>
            <w:pPr>
              <w:widowControl/>
              <w:jc w:val="right"/>
              <w:textAlignment w:val="bottom"/>
              <w:rPr>
                <w:color w:val="000000"/>
                <w:sz w:val="11"/>
                <w:szCs w:val="11"/>
              </w:rPr>
            </w:pPr>
            <w:r>
              <w:rPr>
                <w:rFonts w:hint="eastAsia"/>
                <w:color w:val="000000"/>
                <w:sz w:val="11"/>
                <w:szCs w:val="11"/>
                <w:lang w:val="en-US"/>
              </w:rPr>
              <w:t>公开06表</w:t>
            </w:r>
          </w:p>
        </w:tc>
      </w:tr>
      <w:tr>
        <w:tblPrEx>
          <w:tblCellMar>
            <w:top w:w="0" w:type="dxa"/>
            <w:left w:w="108" w:type="dxa"/>
            <w:bottom w:w="0" w:type="dxa"/>
            <w:right w:w="108" w:type="dxa"/>
          </w:tblCellMar>
        </w:tblPrEx>
        <w:trPr>
          <w:trHeight w:val="322" w:hRule="atLeast"/>
          <w:jc w:val="center"/>
        </w:trPr>
        <w:tc>
          <w:tcPr>
            <w:tcW w:w="1285" w:type="dxa"/>
            <w:tcBorders>
              <w:top w:val="nil"/>
              <w:left w:val="nil"/>
              <w:bottom w:val="nil"/>
              <w:right w:val="nil"/>
            </w:tcBorders>
            <w:shd w:val="clear" w:color="auto" w:fill="auto"/>
            <w:noWrap/>
            <w:vAlign w:val="bottom"/>
          </w:tcPr>
          <w:p>
            <w:pPr>
              <w:widowControl/>
              <w:textAlignment w:val="bottom"/>
              <w:rPr>
                <w:color w:val="000000"/>
                <w:sz w:val="13"/>
                <w:szCs w:val="13"/>
              </w:rPr>
            </w:pPr>
            <w:r>
              <w:rPr>
                <w:rFonts w:hint="eastAsia"/>
                <w:color w:val="000000"/>
                <w:sz w:val="13"/>
                <w:szCs w:val="13"/>
                <w:lang w:val="en-US"/>
              </w:rPr>
              <w:t>部门：益阳市资阳区消防救援大队</w:t>
            </w:r>
          </w:p>
        </w:tc>
        <w:tc>
          <w:tcPr>
            <w:tcW w:w="209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0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418"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719"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2035"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231" w:type="dxa"/>
            <w:tcBorders>
              <w:top w:val="nil"/>
              <w:left w:val="nil"/>
              <w:bottom w:val="nil"/>
              <w:right w:val="nil"/>
            </w:tcBorders>
            <w:shd w:val="clear" w:color="auto" w:fill="auto"/>
            <w:noWrap/>
            <w:vAlign w:val="bottom"/>
          </w:tcPr>
          <w:p>
            <w:pPr>
              <w:widowControl/>
              <w:jc w:val="right"/>
              <w:textAlignment w:val="bottom"/>
              <w:rPr>
                <w:color w:val="000000"/>
                <w:sz w:val="11"/>
                <w:szCs w:val="11"/>
              </w:rPr>
            </w:pPr>
            <w:r>
              <w:rPr>
                <w:rFonts w:hint="eastAsia"/>
                <w:color w:val="000000"/>
                <w:sz w:val="11"/>
                <w:szCs w:val="11"/>
                <w:lang w:val="en-US"/>
              </w:rPr>
              <w:t>金额单位：万元</w:t>
            </w:r>
          </w:p>
        </w:tc>
      </w:tr>
      <w:tr>
        <w:tblPrEx>
          <w:tblCellMar>
            <w:top w:w="0" w:type="dxa"/>
            <w:left w:w="108" w:type="dxa"/>
            <w:bottom w:w="0" w:type="dxa"/>
            <w:right w:w="108" w:type="dxa"/>
          </w:tblCellMar>
        </w:tblPrEx>
        <w:trPr>
          <w:trHeight w:val="282" w:hRule="atLeast"/>
          <w:jc w:val="center"/>
        </w:trPr>
        <w:tc>
          <w:tcPr>
            <w:tcW w:w="4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人员经费</w:t>
            </w:r>
          </w:p>
        </w:tc>
        <w:tc>
          <w:tcPr>
            <w:tcW w:w="6649"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公用经费</w:t>
            </w:r>
          </w:p>
        </w:tc>
      </w:tr>
      <w:tr>
        <w:tblPrEx>
          <w:tblCellMar>
            <w:top w:w="0" w:type="dxa"/>
            <w:left w:w="108" w:type="dxa"/>
            <w:bottom w:w="0" w:type="dxa"/>
            <w:right w:w="108" w:type="dxa"/>
          </w:tblCellMar>
        </w:tblPrEx>
        <w:trPr>
          <w:trHeight w:val="313" w:hRule="atLeast"/>
          <w:jc w:val="center"/>
        </w:trPr>
        <w:tc>
          <w:tcPr>
            <w:tcW w:w="12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209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14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71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c>
          <w:tcPr>
            <w:tcW w:w="5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科目代码</w:t>
            </w:r>
          </w:p>
        </w:tc>
        <w:tc>
          <w:tcPr>
            <w:tcW w:w="2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科目名称</w:t>
            </w:r>
          </w:p>
        </w:tc>
        <w:tc>
          <w:tcPr>
            <w:tcW w:w="123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r>
      <w:tr>
        <w:tblPrEx>
          <w:tblCellMar>
            <w:top w:w="0" w:type="dxa"/>
            <w:left w:w="108" w:type="dxa"/>
            <w:bottom w:w="0" w:type="dxa"/>
            <w:right w:w="108" w:type="dxa"/>
          </w:tblCellMar>
        </w:tblPrEx>
        <w:trPr>
          <w:trHeight w:val="313" w:hRule="atLeast"/>
          <w:jc w:val="center"/>
        </w:trPr>
        <w:tc>
          <w:tcPr>
            <w:tcW w:w="12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p>
        </w:tc>
        <w:tc>
          <w:tcPr>
            <w:tcW w:w="209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0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0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141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71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3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2035"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1231"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工资福利支出</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商品和服务支出</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13.38</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债务利息及费用支出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基本工资</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办公费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7.05</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30701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国内债务付息</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津贴补贴</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印刷费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30702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国外债务付息</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奖金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30203</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咨询费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资本性支出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30106</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伙食补助费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手续费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房屋建筑物购建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30107</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绩效工资</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水费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办公设备购置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30108</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机关事业单位基本养老保险缴费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电费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31003</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专用设备购置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30109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职业年金缴费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邮电费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31005</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基础设施建设</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30110</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职工基本医疗保险缴费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取暖费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31006</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大型修缮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公务员医疗补助缴费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30209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物业管理费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信息网络及软件购置更新</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其他社会保障缴费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差旅费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31008</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物资储备</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住房公积金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30212</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因公出国（境）费用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31009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土地补偿</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30114</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医疗费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30213</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维修（护）费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安置补助</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30199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其他工资福利支出</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租赁费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地上附着物和青苗补偿</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对个人和家庭的补助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会议费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拆迁补偿</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离休费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培训费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31013</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公务用车购置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30302</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退休费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公务接待费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31019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其他交通工具购置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30303</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退职（役）费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30218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专用材料费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31021</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文物和陈列品购置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30304</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抚恤金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30224</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被装购置费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31022</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无形资产购置</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30305</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生活补助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30225</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专用燃料费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31099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其他资本性支出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30306</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救济费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30226</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劳务费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其他支出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30307</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医疗费补助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30227</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委托业务费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39907</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国家赔偿费用支出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30308</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助学金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30228</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工会经费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39908</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对民间非营利组织和群众性自治组织补贴</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30309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奖励金</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30229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福利费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39909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经常性赠与</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30310</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个人农业生产补贴</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30231</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公务用车运行维护费</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39910</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资本性赠与</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30311</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代缴社会保险费</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30239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其他交通费用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39999</w:t>
            </w:r>
          </w:p>
        </w:tc>
        <w:tc>
          <w:tcPr>
            <w:tcW w:w="2035"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其他支出</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30399</w:t>
            </w:r>
          </w:p>
        </w:tc>
        <w:tc>
          <w:tcPr>
            <w:tcW w:w="209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其他对个人和家庭的补助</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30240</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税金及附加费用</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37"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2035"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1231"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409" w:hRule="atLeast"/>
          <w:jc w:val="center"/>
        </w:trPr>
        <w:tc>
          <w:tcPr>
            <w:tcW w:w="1285"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6"/>
                <w:szCs w:val="16"/>
              </w:rPr>
            </w:pPr>
          </w:p>
        </w:tc>
        <w:tc>
          <w:tcPr>
            <w:tcW w:w="2098"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708"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709"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30299</w:t>
            </w:r>
          </w:p>
        </w:tc>
        <w:tc>
          <w:tcPr>
            <w:tcW w:w="1418" w:type="dxa"/>
            <w:tcBorders>
              <w:top w:val="nil"/>
              <w:left w:val="nil"/>
              <w:bottom w:val="single" w:color="000000" w:sz="4" w:space="0"/>
              <w:right w:val="single" w:color="000000" w:sz="4" w:space="0"/>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 xml:space="preserve">  其他商品和服务支出</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6.33</w:t>
            </w:r>
          </w:p>
        </w:tc>
        <w:tc>
          <w:tcPr>
            <w:tcW w:w="537"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2035" w:type="dxa"/>
            <w:tcBorders>
              <w:top w:val="nil"/>
              <w:left w:val="nil"/>
              <w:bottom w:val="single" w:color="000000" w:sz="4" w:space="0"/>
              <w:right w:val="single" w:color="000000" w:sz="4" w:space="0"/>
            </w:tcBorders>
            <w:shd w:val="clear" w:color="auto" w:fill="auto"/>
            <w:noWrap/>
            <w:vAlign w:val="center"/>
          </w:tcPr>
          <w:p>
            <w:pPr>
              <w:rPr>
                <w:color w:val="000000"/>
                <w:sz w:val="16"/>
                <w:szCs w:val="16"/>
              </w:rPr>
            </w:pPr>
          </w:p>
        </w:tc>
        <w:tc>
          <w:tcPr>
            <w:tcW w:w="1231"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282" w:hRule="atLeast"/>
          <w:jc w:val="center"/>
        </w:trPr>
        <w:tc>
          <w:tcPr>
            <w:tcW w:w="338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人员经费合计</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0.00</w:t>
            </w:r>
          </w:p>
        </w:tc>
        <w:tc>
          <w:tcPr>
            <w:tcW w:w="5418"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6"/>
                <w:szCs w:val="16"/>
              </w:rPr>
            </w:pPr>
            <w:r>
              <w:rPr>
                <w:rFonts w:hint="eastAsia"/>
                <w:color w:val="000000"/>
                <w:sz w:val="16"/>
                <w:szCs w:val="16"/>
                <w:lang w:val="en-US"/>
              </w:rPr>
              <w:t>公用经费合计</w:t>
            </w:r>
          </w:p>
        </w:tc>
        <w:tc>
          <w:tcPr>
            <w:tcW w:w="12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color w:val="000000"/>
                <w:sz w:val="16"/>
                <w:szCs w:val="16"/>
              </w:rPr>
            </w:pPr>
            <w:r>
              <w:rPr>
                <w:rFonts w:hint="eastAsia"/>
                <w:color w:val="000000"/>
                <w:sz w:val="16"/>
                <w:szCs w:val="16"/>
                <w:lang w:val="en-US"/>
              </w:rPr>
              <w:t>13.38</w:t>
            </w:r>
          </w:p>
        </w:tc>
      </w:tr>
      <w:tr>
        <w:tblPrEx>
          <w:tblCellMar>
            <w:top w:w="0" w:type="dxa"/>
            <w:left w:w="108" w:type="dxa"/>
            <w:bottom w:w="0" w:type="dxa"/>
            <w:right w:w="108" w:type="dxa"/>
          </w:tblCellMar>
        </w:tblPrEx>
        <w:trPr>
          <w:trHeight w:val="282" w:hRule="atLeast"/>
          <w:jc w:val="center"/>
        </w:trPr>
        <w:tc>
          <w:tcPr>
            <w:tcW w:w="10740" w:type="dxa"/>
            <w:gridSpan w:val="9"/>
            <w:tcBorders>
              <w:top w:val="nil"/>
              <w:left w:val="nil"/>
              <w:bottom w:val="nil"/>
              <w:right w:val="nil"/>
            </w:tcBorders>
            <w:shd w:val="clear" w:color="auto" w:fill="auto"/>
            <w:noWrap/>
            <w:vAlign w:val="center"/>
          </w:tcPr>
          <w:p>
            <w:pPr>
              <w:widowControl/>
              <w:textAlignment w:val="center"/>
              <w:rPr>
                <w:color w:val="000000"/>
                <w:sz w:val="16"/>
                <w:szCs w:val="16"/>
              </w:rPr>
            </w:pPr>
            <w:r>
              <w:rPr>
                <w:rFonts w:hint="eastAsia"/>
                <w:color w:val="000000"/>
                <w:sz w:val="16"/>
                <w:szCs w:val="16"/>
                <w:lang w:val="en-US"/>
              </w:rPr>
              <w:t>注：本表反映部门本年度一般公共预算财政拨款基本支出明细情况。</w:t>
            </w:r>
          </w:p>
        </w:tc>
      </w:tr>
    </w:tbl>
    <w:p>
      <w:pPr>
        <w:pStyle w:val="5"/>
        <w:ind w:left="1228"/>
        <w:rPr>
          <w:rFonts w:ascii="黑体"/>
          <w:sz w:val="20"/>
        </w:rPr>
      </w:pPr>
    </w:p>
    <w:p>
      <w:pPr>
        <w:rPr>
          <w:rFonts w:ascii="黑体"/>
          <w:sz w:val="20"/>
        </w:rPr>
      </w:pPr>
    </w:p>
    <w:p>
      <w:pPr>
        <w:pStyle w:val="2"/>
        <w:ind w:firstLine="400"/>
        <w:rPr>
          <w:rFonts w:ascii="黑体"/>
          <w:sz w:val="20"/>
        </w:rPr>
      </w:pPr>
    </w:p>
    <w:tbl>
      <w:tblPr>
        <w:tblStyle w:val="10"/>
        <w:tblpPr w:leftFromText="180" w:rightFromText="180" w:vertAnchor="text" w:horzAnchor="page" w:tblpXSpec="center" w:tblpY="347"/>
        <w:tblOverlap w:val="never"/>
        <w:tblW w:w="11280" w:type="dxa"/>
        <w:jc w:val="center"/>
        <w:tblLayout w:type="fixed"/>
        <w:tblCellMar>
          <w:top w:w="0" w:type="dxa"/>
          <w:left w:w="108" w:type="dxa"/>
          <w:bottom w:w="0" w:type="dxa"/>
          <w:right w:w="108" w:type="dxa"/>
        </w:tblCellMar>
      </w:tblPr>
      <w:tblGrid>
        <w:gridCol w:w="3169"/>
        <w:gridCol w:w="236"/>
        <w:gridCol w:w="236"/>
        <w:gridCol w:w="1017"/>
        <w:gridCol w:w="1111"/>
        <w:gridCol w:w="1050"/>
        <w:gridCol w:w="807"/>
        <w:gridCol w:w="1056"/>
        <w:gridCol w:w="1035"/>
        <w:gridCol w:w="1563"/>
      </w:tblGrid>
      <w:tr>
        <w:tblPrEx>
          <w:tblCellMar>
            <w:top w:w="0" w:type="dxa"/>
            <w:left w:w="108" w:type="dxa"/>
            <w:bottom w:w="0" w:type="dxa"/>
            <w:right w:w="108" w:type="dxa"/>
          </w:tblCellMar>
        </w:tblPrEx>
        <w:trPr>
          <w:trHeight w:val="371" w:hRule="atLeast"/>
          <w:jc w:val="center"/>
        </w:trPr>
        <w:tc>
          <w:tcPr>
            <w:tcW w:w="11280" w:type="dxa"/>
            <w:gridSpan w:val="10"/>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政府性基金预算财政拨款收入支出决算表</w:t>
            </w:r>
          </w:p>
        </w:tc>
      </w:tr>
      <w:tr>
        <w:tblPrEx>
          <w:tblCellMar>
            <w:top w:w="0" w:type="dxa"/>
            <w:left w:w="108" w:type="dxa"/>
            <w:bottom w:w="0" w:type="dxa"/>
            <w:right w:w="108" w:type="dxa"/>
          </w:tblCellMar>
        </w:tblPrEx>
        <w:trPr>
          <w:trHeight w:val="243" w:hRule="atLeast"/>
          <w:jc w:val="center"/>
        </w:trPr>
        <w:tc>
          <w:tcPr>
            <w:tcW w:w="3177"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1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1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567"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公开07表</w:t>
            </w:r>
          </w:p>
        </w:tc>
      </w:tr>
      <w:tr>
        <w:tblPrEx>
          <w:tblCellMar>
            <w:top w:w="0" w:type="dxa"/>
            <w:left w:w="108" w:type="dxa"/>
            <w:bottom w:w="0" w:type="dxa"/>
            <w:right w:w="108" w:type="dxa"/>
          </w:tblCellMar>
        </w:tblPrEx>
        <w:trPr>
          <w:trHeight w:val="243" w:hRule="atLeast"/>
          <w:jc w:val="center"/>
        </w:trPr>
        <w:tc>
          <w:tcPr>
            <w:tcW w:w="3177"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2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1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14"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3"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80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59"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03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567"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03" w:hRule="atLeast"/>
          <w:jc w:val="center"/>
        </w:trPr>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111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年初结转和结余</w:t>
            </w: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本年收入</w:t>
            </w:r>
          </w:p>
        </w:tc>
        <w:tc>
          <w:tcPr>
            <w:tcW w:w="290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c>
          <w:tcPr>
            <w:tcW w:w="15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年末结转和结余</w:t>
            </w:r>
          </w:p>
        </w:tc>
      </w:tr>
      <w:tr>
        <w:tblPrEx>
          <w:tblCellMar>
            <w:top w:w="0" w:type="dxa"/>
            <w:left w:w="108" w:type="dxa"/>
            <w:bottom w:w="0" w:type="dxa"/>
            <w:right w:w="108" w:type="dxa"/>
          </w:tblCellMar>
        </w:tblPrEx>
        <w:trPr>
          <w:trHeight w:val="312" w:hRule="atLeast"/>
          <w:jc w:val="center"/>
        </w:trPr>
        <w:tc>
          <w:tcPr>
            <w:tcW w:w="362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1019"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小计</w:t>
            </w:r>
          </w:p>
        </w:tc>
        <w:tc>
          <w:tcPr>
            <w:tcW w:w="105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0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62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01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12" w:hRule="atLeast"/>
          <w:jc w:val="center"/>
        </w:trPr>
        <w:tc>
          <w:tcPr>
            <w:tcW w:w="362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019"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80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59"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03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03" w:hRule="atLeast"/>
          <w:jc w:val="center"/>
        </w:trPr>
        <w:tc>
          <w:tcPr>
            <w:tcW w:w="46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05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8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c>
          <w:tcPr>
            <w:tcW w:w="105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4</w:t>
            </w:r>
          </w:p>
        </w:tc>
        <w:tc>
          <w:tcPr>
            <w:tcW w:w="10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5</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6</w:t>
            </w:r>
          </w:p>
        </w:tc>
      </w:tr>
      <w:tr>
        <w:tblPrEx>
          <w:tblCellMar>
            <w:top w:w="0" w:type="dxa"/>
            <w:left w:w="108" w:type="dxa"/>
            <w:bottom w:w="0" w:type="dxa"/>
            <w:right w:w="108" w:type="dxa"/>
          </w:tblCellMar>
        </w:tblPrEx>
        <w:trPr>
          <w:trHeight w:val="303" w:hRule="atLeast"/>
          <w:jc w:val="center"/>
        </w:trPr>
        <w:tc>
          <w:tcPr>
            <w:tcW w:w="46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1114"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019"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114"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0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59"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3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567"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03" w:hRule="atLeast"/>
          <w:jc w:val="center"/>
        </w:trPr>
        <w:tc>
          <w:tcPr>
            <w:tcW w:w="11280" w:type="dxa"/>
            <w:gridSpan w:val="10"/>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注：本表反映部门本年度政府性基金预算财政拨款收入、支出及结转和结余情况。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tbl>
      <w:tblPr>
        <w:tblStyle w:val="10"/>
        <w:tblpPr w:leftFromText="180" w:rightFromText="180" w:vertAnchor="text" w:horzAnchor="page" w:tblpX="603" w:tblpY="259"/>
        <w:tblOverlap w:val="never"/>
        <w:tblW w:w="10840" w:type="dxa"/>
        <w:tblInd w:w="0" w:type="dxa"/>
        <w:tblLayout w:type="fixed"/>
        <w:tblCellMar>
          <w:top w:w="0" w:type="dxa"/>
          <w:left w:w="108" w:type="dxa"/>
          <w:bottom w:w="0" w:type="dxa"/>
          <w:right w:w="108" w:type="dxa"/>
        </w:tblCellMar>
      </w:tblPr>
      <w:tblGrid>
        <w:gridCol w:w="3716"/>
        <w:gridCol w:w="240"/>
        <w:gridCol w:w="240"/>
        <w:gridCol w:w="1192"/>
        <w:gridCol w:w="1828"/>
        <w:gridCol w:w="1788"/>
        <w:gridCol w:w="1836"/>
      </w:tblGrid>
      <w:tr>
        <w:tblPrEx>
          <w:tblCellMar>
            <w:top w:w="0" w:type="dxa"/>
            <w:left w:w="108" w:type="dxa"/>
            <w:bottom w:w="0" w:type="dxa"/>
            <w:right w:w="108" w:type="dxa"/>
          </w:tblCellMar>
        </w:tblPrEx>
        <w:trPr>
          <w:trHeight w:val="387" w:hRule="atLeast"/>
        </w:trPr>
        <w:tc>
          <w:tcPr>
            <w:tcW w:w="10840" w:type="dxa"/>
            <w:gridSpan w:val="7"/>
            <w:tcBorders>
              <w:top w:val="nil"/>
              <w:left w:val="nil"/>
              <w:bottom w:val="nil"/>
              <w:right w:val="nil"/>
            </w:tcBorders>
            <w:shd w:val="clear" w:color="auto" w:fill="auto"/>
            <w:noWrap/>
            <w:vAlign w:val="bottom"/>
          </w:tcPr>
          <w:p>
            <w:pPr>
              <w:widowControl/>
              <w:jc w:val="center"/>
              <w:textAlignment w:val="bottom"/>
              <w:rPr>
                <w:color w:val="000000"/>
              </w:rPr>
            </w:pPr>
            <w:r>
              <w:rPr>
                <w:rFonts w:hint="eastAsia"/>
                <w:color w:val="000000"/>
                <w:lang w:val="en-US"/>
              </w:rPr>
              <w:t>国有资本经营预算财政拨款支出决算表</w:t>
            </w:r>
          </w:p>
        </w:tc>
      </w:tr>
      <w:tr>
        <w:tblPrEx>
          <w:tblCellMar>
            <w:top w:w="0" w:type="dxa"/>
            <w:left w:w="108" w:type="dxa"/>
            <w:bottom w:w="0" w:type="dxa"/>
            <w:right w:w="108" w:type="dxa"/>
          </w:tblCellMar>
        </w:tblPrEx>
        <w:trPr>
          <w:trHeight w:val="253" w:hRule="atLeast"/>
        </w:trPr>
        <w:tc>
          <w:tcPr>
            <w:tcW w:w="3716"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9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3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公开08表</w:t>
            </w:r>
          </w:p>
        </w:tc>
      </w:tr>
      <w:tr>
        <w:tblPrEx>
          <w:tblCellMar>
            <w:top w:w="0" w:type="dxa"/>
            <w:left w:w="108" w:type="dxa"/>
            <w:bottom w:w="0" w:type="dxa"/>
            <w:right w:w="108" w:type="dxa"/>
          </w:tblCellMar>
        </w:tblPrEx>
        <w:trPr>
          <w:trHeight w:val="253" w:hRule="atLeast"/>
        </w:trPr>
        <w:tc>
          <w:tcPr>
            <w:tcW w:w="3716" w:type="dxa"/>
            <w:tcBorders>
              <w:top w:val="nil"/>
              <w:left w:val="nil"/>
              <w:bottom w:val="nil"/>
              <w:right w:val="nil"/>
            </w:tcBorders>
            <w:shd w:val="clear" w:color="auto" w:fill="auto"/>
            <w:noWrap/>
            <w:vAlign w:val="bottom"/>
          </w:tcPr>
          <w:p>
            <w:pPr>
              <w:widowControl/>
              <w:textAlignment w:val="bottom"/>
              <w:rPr>
                <w:color w:val="000000"/>
                <w:sz w:val="15"/>
                <w:szCs w:val="15"/>
              </w:rPr>
            </w:pPr>
            <w:r>
              <w:rPr>
                <w:rFonts w:hint="eastAsia"/>
                <w:color w:val="000000"/>
                <w:sz w:val="15"/>
                <w:szCs w:val="15"/>
                <w:lang w:val="en-US"/>
              </w:rPr>
              <w:t>部门：益阳市资阳区消防救援大队</w:t>
            </w: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240"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192"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2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788" w:type="dxa"/>
            <w:tcBorders>
              <w:top w:val="nil"/>
              <w:left w:val="nil"/>
              <w:bottom w:val="nil"/>
              <w:right w:val="nil"/>
            </w:tcBorders>
            <w:shd w:val="clear" w:color="auto" w:fill="auto"/>
            <w:noWrap/>
            <w:vAlign w:val="bottom"/>
          </w:tcPr>
          <w:p>
            <w:pPr>
              <w:rPr>
                <w:rFonts w:ascii="Arial" w:hAnsi="Arial" w:cs="Arial"/>
                <w:color w:val="000000"/>
                <w:sz w:val="15"/>
                <w:szCs w:val="15"/>
              </w:rPr>
            </w:pPr>
          </w:p>
        </w:tc>
        <w:tc>
          <w:tcPr>
            <w:tcW w:w="1836" w:type="dxa"/>
            <w:tcBorders>
              <w:top w:val="nil"/>
              <w:left w:val="nil"/>
              <w:bottom w:val="nil"/>
              <w:right w:val="nil"/>
            </w:tcBorders>
            <w:shd w:val="clear" w:color="auto" w:fill="auto"/>
            <w:noWrap/>
            <w:vAlign w:val="bottom"/>
          </w:tcPr>
          <w:p>
            <w:pPr>
              <w:widowControl/>
              <w:jc w:val="right"/>
              <w:textAlignment w:val="bottom"/>
              <w:rPr>
                <w:color w:val="000000"/>
                <w:sz w:val="15"/>
                <w:szCs w:val="15"/>
              </w:rPr>
            </w:pPr>
            <w:r>
              <w:rPr>
                <w:rFonts w:hint="eastAsia"/>
                <w:color w:val="000000"/>
                <w:sz w:val="15"/>
                <w:szCs w:val="15"/>
                <w:lang w:val="en-US"/>
              </w:rPr>
              <w:t>金额单位：万元</w:t>
            </w:r>
          </w:p>
        </w:tc>
      </w:tr>
      <w:tr>
        <w:tblPrEx>
          <w:tblCellMar>
            <w:top w:w="0" w:type="dxa"/>
            <w:left w:w="108" w:type="dxa"/>
            <w:bottom w:w="0" w:type="dxa"/>
            <w:right w:w="108" w:type="dxa"/>
          </w:tblCellMar>
        </w:tblPrEx>
        <w:trPr>
          <w:trHeight w:val="325" w:hRule="atLeast"/>
        </w:trPr>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项目</w:t>
            </w:r>
          </w:p>
        </w:tc>
        <w:tc>
          <w:tcPr>
            <w:tcW w:w="545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本年支出</w:t>
            </w:r>
          </w:p>
        </w:tc>
      </w:tr>
      <w:tr>
        <w:tblPrEx>
          <w:tblCellMar>
            <w:top w:w="0" w:type="dxa"/>
            <w:left w:w="108" w:type="dxa"/>
            <w:bottom w:w="0" w:type="dxa"/>
            <w:right w:w="108" w:type="dxa"/>
          </w:tblCellMar>
        </w:tblPrEx>
        <w:trPr>
          <w:trHeight w:val="325" w:hRule="atLeast"/>
        </w:trPr>
        <w:tc>
          <w:tcPr>
            <w:tcW w:w="41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科目代码</w:t>
            </w:r>
          </w:p>
        </w:tc>
        <w:tc>
          <w:tcPr>
            <w:tcW w:w="119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科目名称</w:t>
            </w:r>
          </w:p>
        </w:tc>
        <w:tc>
          <w:tcPr>
            <w:tcW w:w="182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合计</w:t>
            </w:r>
          </w:p>
        </w:tc>
        <w:tc>
          <w:tcPr>
            <w:tcW w:w="178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基本支出</w:t>
            </w:r>
          </w:p>
        </w:tc>
        <w:tc>
          <w:tcPr>
            <w:tcW w:w="18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rPr>
              <w:t>项目支出</w:t>
            </w:r>
          </w:p>
        </w:tc>
      </w:tr>
      <w:tr>
        <w:tblPrEx>
          <w:tblCellMar>
            <w:top w:w="0" w:type="dxa"/>
            <w:left w:w="108" w:type="dxa"/>
            <w:bottom w:w="0" w:type="dxa"/>
            <w:right w:w="108" w:type="dxa"/>
          </w:tblCellMar>
        </w:tblPrEx>
        <w:trPr>
          <w:trHeight w:val="32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82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83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pPr>
              <w:jc w:val="center"/>
              <w:rPr>
                <w:color w:val="000000"/>
                <w:sz w:val="18"/>
                <w:szCs w:val="18"/>
              </w:rPr>
            </w:pPr>
          </w:p>
        </w:tc>
        <w:tc>
          <w:tcPr>
            <w:tcW w:w="182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788"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c>
          <w:tcPr>
            <w:tcW w:w="183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栏次</w:t>
            </w:r>
          </w:p>
        </w:tc>
        <w:tc>
          <w:tcPr>
            <w:tcW w:w="182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1</w:t>
            </w:r>
          </w:p>
        </w:tc>
        <w:tc>
          <w:tcPr>
            <w:tcW w:w="178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2</w:t>
            </w:r>
          </w:p>
        </w:tc>
        <w:tc>
          <w:tcPr>
            <w:tcW w:w="183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3</w:t>
            </w:r>
          </w:p>
        </w:tc>
      </w:tr>
      <w:tr>
        <w:tblPrEx>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18"/>
                <w:szCs w:val="18"/>
              </w:rPr>
            </w:pPr>
            <w:r>
              <w:rPr>
                <w:rFonts w:hint="eastAsia"/>
                <w:color w:val="000000"/>
                <w:sz w:val="18"/>
                <w:szCs w:val="18"/>
                <w:lang w:val="en-US"/>
              </w:rPr>
              <w:t>合计</w:t>
            </w:r>
          </w:p>
        </w:tc>
        <w:tc>
          <w:tcPr>
            <w:tcW w:w="182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b/>
                <w:bCs/>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92"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82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78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8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CellMar>
            <w:top w:w="0" w:type="dxa"/>
            <w:left w:w="108" w:type="dxa"/>
            <w:bottom w:w="0" w:type="dxa"/>
            <w:right w:w="108" w:type="dxa"/>
          </w:tblCellMar>
        </w:tblPrEx>
        <w:trPr>
          <w:trHeight w:val="325" w:hRule="atLeast"/>
        </w:trPr>
        <w:tc>
          <w:tcPr>
            <w:tcW w:w="10840" w:type="dxa"/>
            <w:gridSpan w:val="7"/>
            <w:tcBorders>
              <w:top w:val="nil"/>
              <w:left w:val="nil"/>
              <w:bottom w:val="nil"/>
              <w:right w:val="nil"/>
            </w:tcBorders>
            <w:shd w:val="clear" w:color="auto" w:fill="auto"/>
            <w:noWrap/>
            <w:vAlign w:val="center"/>
          </w:tcPr>
          <w:p>
            <w:pPr>
              <w:widowControl/>
              <w:textAlignment w:val="center"/>
              <w:rPr>
                <w:color w:val="000000"/>
                <w:sz w:val="18"/>
                <w:szCs w:val="18"/>
              </w:rPr>
            </w:pPr>
            <w:r>
              <w:rPr>
                <w:rFonts w:hint="eastAsia"/>
                <w:color w:val="000000"/>
                <w:sz w:val="18"/>
                <w:szCs w:val="18"/>
                <w:lang w:val="en-US"/>
              </w:rPr>
              <w:t>注：本表反映部门本年度国有资本经营预算财政拨款支出情况。</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tbl>
      <w:tblPr>
        <w:tblStyle w:val="10"/>
        <w:tblpPr w:leftFromText="180" w:rightFromText="180" w:vertAnchor="text" w:horzAnchor="page" w:tblpXSpec="center" w:tblpY="371"/>
        <w:tblOverlap w:val="never"/>
        <w:tblW w:w="10940" w:type="dxa"/>
        <w:jc w:val="center"/>
        <w:tblLayout w:type="fixed"/>
        <w:tblCellMar>
          <w:top w:w="0" w:type="dxa"/>
          <w:left w:w="108" w:type="dxa"/>
          <w:bottom w:w="0" w:type="dxa"/>
          <w:right w:w="108" w:type="dxa"/>
        </w:tblCellMar>
      </w:tblPr>
      <w:tblGrid>
        <w:gridCol w:w="2653"/>
        <w:gridCol w:w="1037"/>
        <w:gridCol w:w="554"/>
        <w:gridCol w:w="682"/>
        <w:gridCol w:w="682"/>
        <w:gridCol w:w="626"/>
        <w:gridCol w:w="551"/>
        <w:gridCol w:w="967"/>
        <w:gridCol w:w="554"/>
        <w:gridCol w:w="682"/>
        <w:gridCol w:w="682"/>
        <w:gridCol w:w="1270"/>
      </w:tblGrid>
      <w:tr>
        <w:tblPrEx>
          <w:tblCellMar>
            <w:top w:w="0" w:type="dxa"/>
            <w:left w:w="108" w:type="dxa"/>
            <w:bottom w:w="0" w:type="dxa"/>
            <w:right w:w="108" w:type="dxa"/>
          </w:tblCellMar>
        </w:tblPrEx>
        <w:trPr>
          <w:trHeight w:val="466" w:hRule="atLeast"/>
          <w:jc w:val="center"/>
        </w:trPr>
        <w:tc>
          <w:tcPr>
            <w:tcW w:w="10940" w:type="dxa"/>
            <w:gridSpan w:val="12"/>
            <w:tcBorders>
              <w:top w:val="nil"/>
              <w:left w:val="nil"/>
              <w:bottom w:val="nil"/>
              <w:right w:val="nil"/>
            </w:tcBorders>
            <w:shd w:val="clear" w:color="auto" w:fill="auto"/>
            <w:noWrap/>
            <w:vAlign w:val="bottom"/>
          </w:tcPr>
          <w:p>
            <w:pPr>
              <w:widowControl/>
              <w:jc w:val="center"/>
              <w:textAlignment w:val="bottom"/>
              <w:rPr>
                <w:color w:val="000000"/>
                <w:sz w:val="28"/>
                <w:szCs w:val="28"/>
              </w:rPr>
            </w:pPr>
            <w:r>
              <w:rPr>
                <w:rFonts w:hint="eastAsia"/>
                <w:color w:val="000000"/>
                <w:sz w:val="21"/>
                <w:szCs w:val="21"/>
                <w:lang w:val="en-US"/>
              </w:rPr>
              <w:t>财政拨款“三公”经费支出决算表</w:t>
            </w:r>
          </w:p>
        </w:tc>
      </w:tr>
      <w:tr>
        <w:tblPrEx>
          <w:tblCellMar>
            <w:top w:w="0" w:type="dxa"/>
            <w:left w:w="108" w:type="dxa"/>
            <w:bottom w:w="0" w:type="dxa"/>
            <w:right w:w="108" w:type="dxa"/>
          </w:tblCellMar>
        </w:tblPrEx>
        <w:trPr>
          <w:trHeight w:val="221" w:hRule="atLeast"/>
          <w:jc w:val="center"/>
        </w:trPr>
        <w:tc>
          <w:tcPr>
            <w:tcW w:w="2653"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0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26"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1"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96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270" w:type="dxa"/>
            <w:tcBorders>
              <w:top w:val="nil"/>
              <w:left w:val="nil"/>
              <w:bottom w:val="nil"/>
              <w:right w:val="nil"/>
            </w:tcBorders>
            <w:shd w:val="clear" w:color="auto" w:fill="auto"/>
            <w:noWrap/>
            <w:vAlign w:val="bottom"/>
          </w:tcPr>
          <w:p>
            <w:pPr>
              <w:widowControl/>
              <w:jc w:val="right"/>
              <w:textAlignment w:val="bottom"/>
              <w:rPr>
                <w:color w:val="000000"/>
                <w:sz w:val="13"/>
                <w:szCs w:val="13"/>
              </w:rPr>
            </w:pPr>
            <w:r>
              <w:rPr>
                <w:rFonts w:hint="eastAsia"/>
                <w:color w:val="000000"/>
                <w:sz w:val="13"/>
                <w:szCs w:val="13"/>
                <w:lang w:val="en-US"/>
              </w:rPr>
              <w:t>公开09表</w:t>
            </w:r>
          </w:p>
        </w:tc>
      </w:tr>
      <w:tr>
        <w:tblPrEx>
          <w:tblCellMar>
            <w:top w:w="0" w:type="dxa"/>
            <w:left w:w="108" w:type="dxa"/>
            <w:bottom w:w="0" w:type="dxa"/>
            <w:right w:w="108" w:type="dxa"/>
          </w:tblCellMar>
        </w:tblPrEx>
        <w:trPr>
          <w:trHeight w:val="221" w:hRule="atLeast"/>
          <w:jc w:val="center"/>
        </w:trPr>
        <w:tc>
          <w:tcPr>
            <w:tcW w:w="2653" w:type="dxa"/>
            <w:tcBorders>
              <w:top w:val="nil"/>
              <w:left w:val="nil"/>
              <w:bottom w:val="nil"/>
              <w:right w:val="nil"/>
            </w:tcBorders>
            <w:shd w:val="clear" w:color="auto" w:fill="auto"/>
            <w:noWrap/>
            <w:vAlign w:val="bottom"/>
          </w:tcPr>
          <w:p>
            <w:pPr>
              <w:widowControl/>
              <w:textAlignment w:val="bottom"/>
              <w:rPr>
                <w:color w:val="000000"/>
                <w:sz w:val="13"/>
                <w:szCs w:val="13"/>
              </w:rPr>
            </w:pPr>
            <w:r>
              <w:rPr>
                <w:rFonts w:hint="eastAsia"/>
                <w:color w:val="000000"/>
                <w:sz w:val="13"/>
                <w:szCs w:val="13"/>
                <w:lang w:val="en-US"/>
              </w:rPr>
              <w:t>部门：益阳市资阳区消防救援大队</w:t>
            </w:r>
          </w:p>
        </w:tc>
        <w:tc>
          <w:tcPr>
            <w:tcW w:w="103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26"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1"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967"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554"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682" w:type="dxa"/>
            <w:tcBorders>
              <w:top w:val="nil"/>
              <w:left w:val="nil"/>
              <w:bottom w:val="nil"/>
              <w:right w:val="nil"/>
            </w:tcBorders>
            <w:shd w:val="clear" w:color="auto" w:fill="auto"/>
            <w:noWrap/>
            <w:vAlign w:val="bottom"/>
          </w:tcPr>
          <w:p>
            <w:pPr>
              <w:rPr>
                <w:rFonts w:ascii="Arial" w:hAnsi="Arial" w:cs="Arial"/>
                <w:color w:val="000000"/>
                <w:sz w:val="13"/>
                <w:szCs w:val="13"/>
              </w:rPr>
            </w:pPr>
          </w:p>
        </w:tc>
        <w:tc>
          <w:tcPr>
            <w:tcW w:w="1270" w:type="dxa"/>
            <w:tcBorders>
              <w:top w:val="nil"/>
              <w:left w:val="nil"/>
              <w:bottom w:val="nil"/>
              <w:right w:val="nil"/>
            </w:tcBorders>
            <w:shd w:val="clear" w:color="auto" w:fill="auto"/>
            <w:noWrap/>
            <w:vAlign w:val="bottom"/>
          </w:tcPr>
          <w:p>
            <w:pPr>
              <w:widowControl/>
              <w:jc w:val="right"/>
              <w:textAlignment w:val="bottom"/>
              <w:rPr>
                <w:color w:val="000000"/>
                <w:sz w:val="13"/>
                <w:szCs w:val="13"/>
              </w:rPr>
            </w:pPr>
            <w:r>
              <w:rPr>
                <w:rFonts w:hint="eastAsia"/>
                <w:color w:val="000000"/>
                <w:sz w:val="13"/>
                <w:szCs w:val="13"/>
                <w:lang w:val="en-US"/>
              </w:rPr>
              <w:t>金额单位：万元</w:t>
            </w:r>
          </w:p>
        </w:tc>
      </w:tr>
      <w:tr>
        <w:tblPrEx>
          <w:tblCellMar>
            <w:top w:w="0" w:type="dxa"/>
            <w:left w:w="108" w:type="dxa"/>
            <w:bottom w:w="0" w:type="dxa"/>
            <w:right w:w="108" w:type="dxa"/>
          </w:tblCellMar>
        </w:tblPrEx>
        <w:trPr>
          <w:trHeight w:val="295" w:hRule="atLeast"/>
          <w:jc w:val="center"/>
        </w:trPr>
        <w:tc>
          <w:tcPr>
            <w:tcW w:w="6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预算数</w:t>
            </w:r>
          </w:p>
        </w:tc>
        <w:tc>
          <w:tcPr>
            <w:tcW w:w="470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决算数</w:t>
            </w:r>
          </w:p>
        </w:tc>
      </w:tr>
      <w:tr>
        <w:tblPrEx>
          <w:tblCellMar>
            <w:top w:w="0" w:type="dxa"/>
            <w:left w:w="108" w:type="dxa"/>
            <w:bottom w:w="0" w:type="dxa"/>
            <w:right w:w="108" w:type="dxa"/>
          </w:tblCellMar>
        </w:tblPrEx>
        <w:trPr>
          <w:trHeight w:val="447" w:hRule="atLeast"/>
          <w:jc w:val="center"/>
        </w:trPr>
        <w:tc>
          <w:tcPr>
            <w:tcW w:w="26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合计</w:t>
            </w:r>
          </w:p>
        </w:tc>
        <w:tc>
          <w:tcPr>
            <w:tcW w:w="10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因公出国（境）费</w:t>
            </w:r>
          </w:p>
        </w:tc>
        <w:tc>
          <w:tcPr>
            <w:tcW w:w="191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公务用车购置及运行维护费</w:t>
            </w:r>
          </w:p>
        </w:tc>
        <w:tc>
          <w:tcPr>
            <w:tcW w:w="62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公务接待费</w:t>
            </w:r>
          </w:p>
        </w:tc>
        <w:tc>
          <w:tcPr>
            <w:tcW w:w="55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合计</w:t>
            </w:r>
          </w:p>
        </w:tc>
        <w:tc>
          <w:tcPr>
            <w:tcW w:w="96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因公出国（境）费</w:t>
            </w:r>
          </w:p>
        </w:tc>
        <w:tc>
          <w:tcPr>
            <w:tcW w:w="191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公务用车购置及运行维护费</w:t>
            </w:r>
          </w:p>
        </w:tc>
        <w:tc>
          <w:tcPr>
            <w:tcW w:w="12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公务接待费</w:t>
            </w:r>
          </w:p>
        </w:tc>
      </w:tr>
      <w:tr>
        <w:tblPrEx>
          <w:tblCellMar>
            <w:top w:w="0" w:type="dxa"/>
            <w:left w:w="108" w:type="dxa"/>
            <w:bottom w:w="0" w:type="dxa"/>
            <w:right w:w="108" w:type="dxa"/>
          </w:tblCellMar>
        </w:tblPrEx>
        <w:trPr>
          <w:trHeight w:val="1090" w:hRule="atLeast"/>
          <w:jc w:val="center"/>
        </w:trPr>
        <w:tc>
          <w:tcPr>
            <w:tcW w:w="26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p>
        </w:tc>
        <w:tc>
          <w:tcPr>
            <w:tcW w:w="103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小计</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公务用车购置费</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公务用车运行维护费</w:t>
            </w:r>
          </w:p>
        </w:tc>
        <w:tc>
          <w:tcPr>
            <w:tcW w:w="626"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1"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967"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小计</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公务用车购置费</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公务用车运行维护费</w:t>
            </w:r>
          </w:p>
        </w:tc>
        <w:tc>
          <w:tcPr>
            <w:tcW w:w="1270" w:type="dxa"/>
            <w:vMerge w:val="continue"/>
            <w:tcBorders>
              <w:top w:val="nil"/>
              <w:left w:val="nil"/>
              <w:bottom w:val="single" w:color="000000" w:sz="4" w:space="0"/>
              <w:right w:val="single" w:color="000000" w:sz="4" w:space="0"/>
            </w:tcBorders>
            <w:shd w:val="clear" w:color="auto" w:fill="auto"/>
            <w:vAlign w:val="center"/>
          </w:tcPr>
          <w:p>
            <w:pPr>
              <w:jc w:val="center"/>
              <w:rPr>
                <w:color w:val="000000"/>
                <w:sz w:val="16"/>
                <w:szCs w:val="16"/>
              </w:rPr>
            </w:pPr>
          </w:p>
        </w:tc>
      </w:tr>
      <w:tr>
        <w:tblPrEx>
          <w:tblCellMar>
            <w:top w:w="0" w:type="dxa"/>
            <w:left w:w="108" w:type="dxa"/>
            <w:bottom w:w="0" w:type="dxa"/>
            <w:right w:w="108" w:type="dxa"/>
          </w:tblCellMar>
        </w:tblPrEx>
        <w:trPr>
          <w:trHeight w:val="295" w:hRule="atLeast"/>
          <w:jc w:val="center"/>
        </w:trPr>
        <w:tc>
          <w:tcPr>
            <w:tcW w:w="265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w:t>
            </w:r>
          </w:p>
        </w:tc>
        <w:tc>
          <w:tcPr>
            <w:tcW w:w="10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2</w:t>
            </w: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3</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4</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5</w:t>
            </w:r>
          </w:p>
        </w:tc>
        <w:tc>
          <w:tcPr>
            <w:tcW w:w="62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6</w:t>
            </w:r>
          </w:p>
        </w:tc>
        <w:tc>
          <w:tcPr>
            <w:tcW w:w="55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7</w:t>
            </w:r>
          </w:p>
        </w:tc>
        <w:tc>
          <w:tcPr>
            <w:tcW w:w="9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8</w:t>
            </w:r>
          </w:p>
        </w:tc>
        <w:tc>
          <w:tcPr>
            <w:tcW w:w="5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9</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10</w:t>
            </w:r>
          </w:p>
        </w:tc>
        <w:tc>
          <w:tcPr>
            <w:tcW w:w="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11</w:t>
            </w:r>
          </w:p>
        </w:tc>
        <w:tc>
          <w:tcPr>
            <w:tcW w:w="12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16"/>
                <w:szCs w:val="16"/>
              </w:rPr>
            </w:pPr>
            <w:r>
              <w:rPr>
                <w:rFonts w:hint="eastAsia"/>
                <w:color w:val="000000"/>
                <w:sz w:val="16"/>
                <w:szCs w:val="16"/>
                <w:lang w:val="en-US"/>
              </w:rPr>
              <w:t>12</w:t>
            </w:r>
          </w:p>
        </w:tc>
      </w:tr>
      <w:tr>
        <w:tblPrEx>
          <w:tblCellMar>
            <w:top w:w="0" w:type="dxa"/>
            <w:left w:w="108" w:type="dxa"/>
            <w:bottom w:w="0" w:type="dxa"/>
            <w:right w:w="108" w:type="dxa"/>
          </w:tblCellMar>
        </w:tblPrEx>
        <w:trPr>
          <w:trHeight w:val="295" w:hRule="atLeast"/>
          <w:jc w:val="center"/>
        </w:trPr>
        <w:tc>
          <w:tcPr>
            <w:tcW w:w="2653" w:type="dxa"/>
            <w:tcBorders>
              <w:top w:val="nil"/>
              <w:left w:val="single" w:color="000000" w:sz="4" w:space="0"/>
              <w:bottom w:val="single" w:color="000000" w:sz="4" w:space="0"/>
              <w:right w:val="single" w:color="000000" w:sz="4" w:space="0"/>
            </w:tcBorders>
            <w:shd w:val="clear" w:color="auto" w:fill="auto"/>
            <w:noWrap/>
            <w:vAlign w:val="center"/>
          </w:tcPr>
          <w:p>
            <w:pPr>
              <w:jc w:val="right"/>
              <w:rPr>
                <w:color w:val="000000"/>
                <w:sz w:val="16"/>
                <w:szCs w:val="16"/>
              </w:rPr>
            </w:pPr>
          </w:p>
        </w:tc>
        <w:tc>
          <w:tcPr>
            <w:tcW w:w="103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4"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26"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1"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967"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554"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682"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c>
          <w:tcPr>
            <w:tcW w:w="1270" w:type="dxa"/>
            <w:tcBorders>
              <w:top w:val="nil"/>
              <w:left w:val="nil"/>
              <w:bottom w:val="single" w:color="000000" w:sz="4" w:space="0"/>
              <w:right w:val="single" w:color="000000" w:sz="4" w:space="0"/>
            </w:tcBorders>
            <w:shd w:val="clear" w:color="auto" w:fill="auto"/>
            <w:noWrap/>
            <w:vAlign w:val="center"/>
          </w:tcPr>
          <w:p>
            <w:pPr>
              <w:jc w:val="right"/>
              <w:rPr>
                <w:color w:val="000000"/>
                <w:sz w:val="16"/>
                <w:szCs w:val="16"/>
              </w:rPr>
            </w:pPr>
          </w:p>
        </w:tc>
      </w:tr>
      <w:tr>
        <w:tblPrEx>
          <w:tblCellMar>
            <w:top w:w="0" w:type="dxa"/>
            <w:left w:w="108" w:type="dxa"/>
            <w:bottom w:w="0" w:type="dxa"/>
            <w:right w:w="108" w:type="dxa"/>
          </w:tblCellMar>
        </w:tblPrEx>
        <w:trPr>
          <w:trHeight w:val="558" w:hRule="atLeast"/>
          <w:jc w:val="center"/>
        </w:trPr>
        <w:tc>
          <w:tcPr>
            <w:tcW w:w="10940" w:type="dxa"/>
            <w:gridSpan w:val="12"/>
            <w:tcBorders>
              <w:top w:val="nil"/>
              <w:left w:val="nil"/>
              <w:bottom w:val="nil"/>
              <w:right w:val="nil"/>
            </w:tcBorders>
            <w:shd w:val="clear" w:color="auto" w:fill="auto"/>
            <w:vAlign w:val="center"/>
          </w:tcPr>
          <w:p>
            <w:pPr>
              <w:widowControl/>
              <w:textAlignment w:val="center"/>
              <w:rPr>
                <w:color w:val="000000"/>
                <w:sz w:val="16"/>
                <w:szCs w:val="16"/>
              </w:rPr>
            </w:pPr>
            <w:r>
              <w:rPr>
                <w:rFonts w:hint="eastAsia"/>
                <w:color w:val="000000"/>
                <w:sz w:val="16"/>
                <w:szCs w:val="16"/>
                <w:lang w:val="en-US"/>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pPr>
    </w:p>
    <w:p>
      <w:pPr>
        <w:pStyle w:val="2"/>
        <w:ind w:firstLine="400"/>
        <w:rPr>
          <w:rFonts w:ascii="黑体"/>
          <w:sz w:val="20"/>
        </w:rPr>
        <w:sectPr>
          <w:pgSz w:w="11910" w:h="16840"/>
          <w:pgMar w:top="1520" w:right="80" w:bottom="380" w:left="200" w:header="0" w:footer="850" w:gutter="0"/>
          <w:cols w:space="720" w:num="1"/>
        </w:sectPr>
      </w:pPr>
    </w:p>
    <w:p>
      <w:pPr>
        <w:pStyle w:val="5"/>
        <w:rPr>
          <w:rFonts w:ascii="黑体"/>
          <w:b/>
          <w:sz w:val="20"/>
        </w:rPr>
      </w:pPr>
      <w: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8890</wp:posOffset>
                </wp:positionV>
                <wp:extent cx="7616825" cy="10683240"/>
                <wp:effectExtent l="0" t="0" r="0" b="0"/>
                <wp:wrapNone/>
                <wp:docPr id="18" name="组合 12"/>
                <wp:cNvGraphicFramePr/>
                <a:graphic xmlns:a="http://schemas.openxmlformats.org/drawingml/2006/main">
                  <a:graphicData uri="http://schemas.microsoft.com/office/word/2010/wordprocessingGroup">
                    <wpg:wgp>
                      <wpg:cNvGrpSpPr/>
                      <wpg:grpSpPr>
                        <a:xfrm>
                          <a:off x="0" y="0"/>
                          <a:ext cx="7616825" cy="10683240"/>
                          <a:chOff x="0" y="14"/>
                          <a:chExt cx="11557" cy="0"/>
                        </a:xfrm>
                      </wpg:grpSpPr>
                      <wps:wsp>
                        <wps:cNvPr id="13" name="自选图形 17"/>
                        <wps:cNvSpPr/>
                        <wps:spPr>
                          <a:xfrm>
                            <a:off x="3555" y="14"/>
                            <a:ext cx="2" cy="16824"/>
                          </a:xfrm>
                          <a:custGeom>
                            <a:avLst/>
                            <a:gdLst>
                              <a:gd name="A1" fmla="val 0"/>
                              <a:gd name="A2" fmla="val 0"/>
                              <a:gd name="A3" fmla="val 0"/>
                            </a:gdLst>
                            <a:ahLst/>
                            <a:cxnLst/>
                            <a:pathLst>
                              <a:path w="1" h="16824">
                                <a:moveTo>
                                  <a:pt x="0" y="0"/>
                                </a:moveTo>
                                <a:lnTo>
                                  <a:pt x="0" y="5928"/>
                                </a:lnTo>
                                <a:moveTo>
                                  <a:pt x="0" y="9516"/>
                                </a:moveTo>
                                <a:lnTo>
                                  <a:pt x="0" y="16824"/>
                                </a:lnTo>
                              </a:path>
                            </a:pathLst>
                          </a:custGeom>
                          <a:solidFill>
                            <a:srgbClr val="0070C0"/>
                          </a:solidFill>
                          <a:ln w="13968" cap="flat" cmpd="sng">
                            <a:solidFill>
                              <a:srgbClr val="CCCC00"/>
                            </a:solidFill>
                            <a:prstDash val="solid"/>
                            <a:round/>
                            <a:headEnd type="none" w="med" len="med"/>
                            <a:tailEnd type="none" w="med" len="med"/>
                          </a:ln>
                        </wps:spPr>
                        <wps:bodyPr upright="1"/>
                      </wps:wsp>
                      <wps:wsp>
                        <wps:cNvPr id="14" name="自选图形 16"/>
                        <wps:cNvSpPr/>
                        <wps:spPr>
                          <a:xfrm>
                            <a:off x="3399" y="14"/>
                            <a:ext cx="420" cy="16824"/>
                          </a:xfrm>
                          <a:custGeom>
                            <a:avLst/>
                            <a:gdLst>
                              <a:gd name="A1" fmla="val 0"/>
                              <a:gd name="A2" fmla="val 0"/>
                              <a:gd name="A3" fmla="val 0"/>
                            </a:gdLst>
                            <a:ahLst/>
                            <a:cxnLst/>
                            <a:pathLst>
                              <a:path w="420" h="16824">
                                <a:moveTo>
                                  <a:pt x="420" y="0"/>
                                </a:moveTo>
                                <a:lnTo>
                                  <a:pt x="420" y="5928"/>
                                </a:lnTo>
                                <a:moveTo>
                                  <a:pt x="420" y="9516"/>
                                </a:moveTo>
                                <a:lnTo>
                                  <a:pt x="420" y="16824"/>
                                </a:lnTo>
                                <a:moveTo>
                                  <a:pt x="0" y="0"/>
                                </a:moveTo>
                                <a:lnTo>
                                  <a:pt x="0" y="5928"/>
                                </a:lnTo>
                                <a:moveTo>
                                  <a:pt x="0" y="9516"/>
                                </a:moveTo>
                                <a:lnTo>
                                  <a:pt x="0" y="16824"/>
                                </a:lnTo>
                              </a:path>
                            </a:pathLst>
                          </a:custGeom>
                          <a:solidFill>
                            <a:srgbClr val="0070C0"/>
                          </a:solidFill>
                          <a:ln w="13968" cap="flat" cmpd="sng">
                            <a:solidFill>
                              <a:srgbClr val="CCCC00"/>
                            </a:solidFill>
                            <a:prstDash val="solid"/>
                            <a:round/>
                            <a:headEnd type="none" w="med" len="med"/>
                            <a:tailEnd type="none" w="med" len="med"/>
                          </a:ln>
                        </wps:spPr>
                        <wps:bodyPr upright="1"/>
                      </wps:wsp>
                      <wps:wsp>
                        <wps:cNvPr id="15" name="自选图形 15"/>
                        <wps:cNvSpPr/>
                        <wps:spPr>
                          <a:xfrm>
                            <a:off x="3678" y="14"/>
                            <a:ext cx="2" cy="16824"/>
                          </a:xfrm>
                          <a:custGeom>
                            <a:avLst/>
                            <a:gdLst>
                              <a:gd name="A1" fmla="val 0"/>
                              <a:gd name="A2" fmla="val 0"/>
                              <a:gd name="A3" fmla="val 0"/>
                            </a:gdLst>
                            <a:ahLst/>
                            <a:cxnLst/>
                            <a:pathLst>
                              <a:path w="1" h="16824">
                                <a:moveTo>
                                  <a:pt x="0" y="0"/>
                                </a:moveTo>
                                <a:lnTo>
                                  <a:pt x="0" y="5928"/>
                                </a:lnTo>
                                <a:moveTo>
                                  <a:pt x="0" y="9516"/>
                                </a:moveTo>
                                <a:lnTo>
                                  <a:pt x="0" y="16824"/>
                                </a:lnTo>
                              </a:path>
                            </a:pathLst>
                          </a:custGeom>
                          <a:solidFill>
                            <a:srgbClr val="0070C0"/>
                          </a:solidFill>
                          <a:ln w="13334" cap="flat" cmpd="sng">
                            <a:solidFill>
                              <a:srgbClr val="CCCC00"/>
                            </a:solidFill>
                            <a:prstDash val="solid"/>
                            <a:round/>
                            <a:headEnd type="none" w="med" len="med"/>
                            <a:tailEnd type="none" w="med" len="med"/>
                          </a:ln>
                        </wps:spPr>
                        <wps:bodyPr upright="1"/>
                      </wps:wsp>
                      <wps:wsp>
                        <wps:cNvPr id="16" name="矩形 14"/>
                        <wps:cNvSpPr/>
                        <wps:spPr>
                          <a:xfrm>
                            <a:off x="0" y="5942"/>
                            <a:ext cx="11549" cy="3588"/>
                          </a:xfrm>
                          <a:prstGeom prst="rect">
                            <a:avLst/>
                          </a:prstGeom>
                          <a:solidFill>
                            <a:srgbClr val="0070C0"/>
                          </a:solidFill>
                          <a:ln>
                            <a:noFill/>
                          </a:ln>
                        </wps:spPr>
                        <wps:bodyPr upright="1"/>
                      </wps:wsp>
                      <wps:wsp>
                        <wps:cNvPr id="17" name="自选图形 13"/>
                        <wps:cNvSpPr/>
                        <wps:spPr>
                          <a:xfrm>
                            <a:off x="0" y="5934"/>
                            <a:ext cx="11557" cy="3603"/>
                          </a:xfrm>
                          <a:custGeom>
                            <a:avLst/>
                            <a:gdLst>
                              <a:gd name="A1" fmla="val 0"/>
                              <a:gd name="A2" fmla="val 0"/>
                              <a:gd name="A3" fmla="val 0"/>
                            </a:gdLst>
                            <a:ahLst/>
                            <a:cxnLst/>
                            <a:pathLst>
                              <a:path w="11557" h="3603">
                                <a:moveTo>
                                  <a:pt x="11542" y="15"/>
                                </a:moveTo>
                                <a:lnTo>
                                  <a:pt x="0" y="15"/>
                                </a:lnTo>
                                <a:lnTo>
                                  <a:pt x="0" y="0"/>
                                </a:lnTo>
                                <a:lnTo>
                                  <a:pt x="11557" y="0"/>
                                </a:lnTo>
                                <a:lnTo>
                                  <a:pt x="11557" y="7"/>
                                </a:lnTo>
                                <a:lnTo>
                                  <a:pt x="11542" y="7"/>
                                </a:lnTo>
                                <a:lnTo>
                                  <a:pt x="11542" y="15"/>
                                </a:lnTo>
                                <a:close/>
                                <a:moveTo>
                                  <a:pt x="11542" y="3595"/>
                                </a:moveTo>
                                <a:lnTo>
                                  <a:pt x="11542" y="7"/>
                                </a:lnTo>
                                <a:lnTo>
                                  <a:pt x="11549" y="15"/>
                                </a:lnTo>
                                <a:lnTo>
                                  <a:pt x="11557" y="15"/>
                                </a:lnTo>
                                <a:lnTo>
                                  <a:pt x="11557" y="3588"/>
                                </a:lnTo>
                                <a:lnTo>
                                  <a:pt x="11549" y="3588"/>
                                </a:lnTo>
                                <a:lnTo>
                                  <a:pt x="11542" y="3595"/>
                                </a:lnTo>
                                <a:close/>
                                <a:moveTo>
                                  <a:pt x="11557" y="15"/>
                                </a:moveTo>
                                <a:lnTo>
                                  <a:pt x="11549" y="15"/>
                                </a:lnTo>
                                <a:lnTo>
                                  <a:pt x="11542" y="7"/>
                                </a:lnTo>
                                <a:lnTo>
                                  <a:pt x="11557" y="7"/>
                                </a:lnTo>
                                <a:lnTo>
                                  <a:pt x="11557" y="15"/>
                                </a:lnTo>
                                <a:close/>
                                <a:moveTo>
                                  <a:pt x="11557" y="3603"/>
                                </a:moveTo>
                                <a:lnTo>
                                  <a:pt x="0" y="3603"/>
                                </a:lnTo>
                                <a:lnTo>
                                  <a:pt x="0" y="3588"/>
                                </a:lnTo>
                                <a:lnTo>
                                  <a:pt x="11542" y="3588"/>
                                </a:lnTo>
                                <a:lnTo>
                                  <a:pt x="11542" y="3595"/>
                                </a:lnTo>
                                <a:lnTo>
                                  <a:pt x="11557" y="3595"/>
                                </a:lnTo>
                                <a:lnTo>
                                  <a:pt x="11557" y="3603"/>
                                </a:lnTo>
                                <a:close/>
                                <a:moveTo>
                                  <a:pt x="11557" y="3595"/>
                                </a:moveTo>
                                <a:lnTo>
                                  <a:pt x="11542" y="3595"/>
                                </a:lnTo>
                                <a:lnTo>
                                  <a:pt x="11549" y="3588"/>
                                </a:lnTo>
                                <a:lnTo>
                                  <a:pt x="11557" y="3588"/>
                                </a:lnTo>
                                <a:lnTo>
                                  <a:pt x="11557" y="3595"/>
                                </a:lnTo>
                                <a:close/>
                              </a:path>
                            </a:pathLst>
                          </a:custGeom>
                          <a:solidFill>
                            <a:srgbClr val="0070C0"/>
                          </a:solidFill>
                          <a:ln>
                            <a:noFill/>
                          </a:ln>
                        </wps:spPr>
                        <wps:bodyPr upright="1"/>
                      </wps:wsp>
                    </wpg:wgp>
                  </a:graphicData>
                </a:graphic>
              </wp:anchor>
            </w:drawing>
          </mc:Choice>
          <mc:Fallback>
            <w:pict>
              <v:group id="组合 12" o:spid="_x0000_s1026" o:spt="203" style="position:absolute;left:0pt;margin-left:0pt;margin-top:0.7pt;height:841.2pt;width:599.75pt;mso-position-horizontal-relative:page;mso-position-vertical-relative:page;z-index:-251655168;mso-width-relative:page;mso-height-relative:page;" coordorigin="0,14" coordsize="11557,-2147483648" o:gfxdata="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&#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DcQCo62QAAAAgBAAAPAAAAAAAAAAEAIAAAACIAAABk&#10;cnMvZG93bnJldi54bWxQSwECFAAUAAAACACHTuJAJS5mwrEEAADWFQAADgAAAAAAAAABACAAAAAo&#10;AQAAZHJzL2Uyb0RvYy54bWxQSwUGAAAAAAYABgBZAQAASwgAAAAA&#10;">
                <o:lock v:ext="edit" aspectratio="f"/>
                <v:shape id="自选图形 17" o:spid="_x0000_s1026" o:spt="100" style="position:absolute;left:3555;top:14;height:16824;width:2;" fillcolor="#0070C0" filled="t" stroked="t" coordsize="1,16824" o:gfxdata="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twq/&#10;AAAA2wAAAA8AAAAAAAAAAQAgAAAAIgAAAGRycy9kb3ducmV2LnhtbFBLAQIUABQAAAAIAIdO4kAz&#10;LwWeOwAAADkAAAAQAAAAAAAAAAEAIAAAAA4BAABkcnMvc2hhcGV4bWwueG1sUEsFBgAAAAAGAAYA&#10;WwEAALgDAAAAAA==&#10;" path="m0,0l0,5928m0,9516l0,16824e">
                  <v:path o:connecttype="segments"/>
                  <v:fill on="t" focussize="0,0"/>
                  <v:stroke weight="1.09984251968504pt" color="#CCCC00" joinstyle="round"/>
                  <v:imagedata o:title=""/>
                  <o:lock v:ext="edit" aspectratio="f"/>
                </v:shape>
                <v:shape id="自选图形 16" o:spid="_x0000_s1026" o:spt="100" style="position:absolute;left:3399;top:14;height:16824;width:420;" fillcolor="#0070C0" filled="t" stroked="t" coordsize="420,16824" o:gfxdata="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dSv74A&#10;AADbAAAADwAAAAAAAAABACAAAAAiAAAAZHJzL2Rvd25yZXYueG1sUEsBAhQAFAAAAAgAh07iQDMv&#10;BZ47AAAAOQAAABAAAAAAAAAAAQAgAAAADQEAAGRycy9zaGFwZXhtbC54bWxQSwUGAAAAAAYABgBb&#10;AQAAtwMAAAAA&#10;" path="m420,0l420,5928m420,9516l420,16824m0,0l0,5928m0,9516l0,16824e">
                  <v:path o:connecttype="segments"/>
                  <v:fill on="t" focussize="0,0"/>
                  <v:stroke weight="1.09984251968504pt" color="#CCCC00" joinstyle="round"/>
                  <v:imagedata o:title=""/>
                  <o:lock v:ext="edit" aspectratio="f"/>
                </v:shape>
                <v:shape id="自选图形 15" o:spid="_x0000_s1026" o:spt="100" style="position:absolute;left:3678;top:14;height:16824;width:2;" fillcolor="#0070C0" filled="t" stroked="t" coordsize="1,16824" o:gfxdata="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sem7sAAADb&#10;AAAADwAAAAAAAAABACAAAAAiAAAAZHJzL2Rvd25yZXYueG1sUEsBAhQAFAAAAAgAh07iQDMvBZ47&#10;AAAAOQAAABAAAAAAAAAAAQAgAAAACgEAAGRycy9zaGFwZXhtbC54bWxQSwUGAAAAAAYABgBbAQAA&#10;tAMAAAAA&#10;" path="m0,0l0,5928m0,9516l0,16824e">
                  <v:path o:connecttype="segments"/>
                  <v:fill on="t" focussize="0,0"/>
                  <v:stroke weight="1.04992125984252pt" color="#CCCC00" joinstyle="round"/>
                  <v:imagedata o:title=""/>
                  <o:lock v:ext="edit" aspectratio="f"/>
                </v:shape>
                <v:rect id="矩形 14" o:spid="_x0000_s1026" o:spt="1" style="position:absolute;left:0;top:5942;height:3588;width:11549;" fillcolor="#0070C0" filled="t" stroked="f" coordsize="21600,21600" o:gfxdata="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EjiFugAAANsA&#10;AAAPAAAAAAAAAAEAIAAAACIAAABkcnMvZG93bnJldi54bWxQSwECFAAUAAAACACHTuJAMy8FnjsA&#10;AAA5AAAAEAAAAAAAAAABACAAAAAJAQAAZHJzL3NoYXBleG1sLnhtbFBLBQYAAAAABgAGAFsBAACz&#10;AwAAAAA=&#10;">
                  <v:fill on="t" focussize="0,0"/>
                  <v:stroke on="f"/>
                  <v:imagedata o:title=""/>
                  <o:lock v:ext="edit" aspectratio="f"/>
                </v:rect>
                <v:shape id="自选图形 13" o:spid="_x0000_s1026" o:spt="100" style="position:absolute;left:0;top:5934;height:3603;width:11557;" fillcolor="#0070C0" filled="t" stroked="f" coordsize="11557,3603" o:gfxdata="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mIWS8AAAA&#10;2wAAAA8AAAAAAAAAAQAgAAAAIgAAAGRycy9kb3ducmV2LnhtbFBLAQIUABQAAAAIAIdO4kAzLwWe&#10;OwAAADkAAAAQAAAAAAAAAAEAIAAAAAsBAABkcnMvc2hhcGV4bWwueG1sUEsFBgAAAAAGAAYAWwEA&#10;ALUDAAAAAA==&#10;" path="m11542,15l0,15,0,0,11557,0,11557,7,11542,7,11542,15xm11542,3595l11542,7,11549,15,11557,15,11557,3588,11549,3588,11542,3595xm11557,15l11549,15,11542,7,11557,7,11557,15xm11557,3603l0,3603,0,3588,11542,3588,11542,3595,11557,3595,11557,3603xm11557,3595l11542,3595,11549,3588,11557,3588,11557,3595xe">
                  <v:path o:connecttype="segments"/>
                  <v:fill on="t" focussize="0,0"/>
                  <v:stroke on="f"/>
                  <v:imagedata o:title=""/>
                  <o:lock v:ext="edit" aspectratio="f"/>
                </v:shape>
              </v:group>
            </w:pict>
          </mc:Fallback>
        </mc:AlternateContent>
      </w: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spacing w:before="10"/>
        <w:rPr>
          <w:rFonts w:ascii="黑体"/>
          <w:b/>
          <w:sz w:val="16"/>
        </w:rPr>
      </w:pPr>
    </w:p>
    <w:p>
      <w:pPr>
        <w:spacing w:before="28"/>
        <w:ind w:left="2878" w:leftChars="122" w:hanging="2610" w:hangingChars="500"/>
        <w:rPr>
          <w:rFonts w:ascii="黑体" w:eastAsia="黑体"/>
          <w:sz w:val="52"/>
        </w:rPr>
        <w:sectPr>
          <w:pgSz w:w="11910" w:h="16840"/>
          <w:pgMar w:top="0" w:right="80" w:bottom="380" w:left="200" w:header="0" w:footer="850" w:gutter="0"/>
          <w:cols w:space="720" w:num="1"/>
        </w:sectPr>
      </w:pPr>
      <w:r>
        <w:rPr>
          <w:rFonts w:hint="eastAsia" w:ascii="黑体" w:eastAsia="黑体"/>
          <w:b/>
          <w:sz w:val="52"/>
        </w:rPr>
        <w:t>第三部分</w:t>
      </w:r>
      <w:r>
        <w:rPr>
          <w:rFonts w:hint="eastAsia" w:ascii="黑体" w:eastAsia="黑体"/>
          <w:b/>
          <w:sz w:val="52"/>
          <w:lang w:val="en-US"/>
        </w:rPr>
        <w:t>益阳市资阳区</w:t>
      </w:r>
      <w:r>
        <w:rPr>
          <w:rFonts w:hint="eastAsia" w:ascii="黑体" w:eastAsia="黑体"/>
          <w:b/>
          <w:sz w:val="52"/>
        </w:rPr>
        <w:t>消防救援</w:t>
      </w:r>
      <w:r>
        <w:rPr>
          <w:rFonts w:hint="eastAsia" w:ascii="黑体" w:eastAsia="黑体"/>
          <w:b/>
          <w:sz w:val="52"/>
          <w:lang w:val="en-US"/>
        </w:rPr>
        <w:t>大</w:t>
      </w:r>
      <w:r>
        <w:rPr>
          <w:rFonts w:hint="eastAsia" w:ascii="黑体" w:eastAsia="黑体"/>
          <w:b/>
          <w:sz w:val="52"/>
        </w:rPr>
        <w:t>队202</w:t>
      </w:r>
      <w:r>
        <w:rPr>
          <w:rFonts w:hint="eastAsia" w:ascii="黑体" w:eastAsia="黑体"/>
          <w:b/>
          <w:sz w:val="52"/>
          <w:lang w:val="en-US"/>
        </w:rPr>
        <w:t>2</w:t>
      </w:r>
      <w:r>
        <w:rPr>
          <w:rFonts w:hint="eastAsia" w:ascii="黑体" w:eastAsia="黑体"/>
          <w:b/>
          <w:sz w:val="52"/>
        </w:rPr>
        <w:t>年度</w:t>
      </w:r>
      <w:r>
        <w:rPr>
          <w:rFonts w:hint="eastAsia" w:ascii="黑体" w:eastAsia="黑体"/>
          <w:b/>
          <w:sz w:val="52"/>
          <w:lang w:val="en-US"/>
        </w:rPr>
        <w:t>决算</w:t>
      </w:r>
      <w:r>
        <w:rPr>
          <w:rFonts w:hint="eastAsia" w:ascii="黑体" w:eastAsia="黑体"/>
          <w:b/>
          <w:sz w:val="52"/>
        </w:rPr>
        <w:t>情况说明</w:t>
      </w:r>
    </w:p>
    <w:p>
      <w:pPr>
        <w:pStyle w:val="9"/>
        <w:widowControl/>
        <w:shd w:val="clear" w:color="auto" w:fill="FFFFFF"/>
        <w:spacing w:beforeAutospacing="0" w:afterAutospacing="0" w:line="360" w:lineRule="auto"/>
        <w:ind w:firstLine="640"/>
        <w:rPr>
          <w:rFonts w:ascii="仿宋" w:hAnsi="仿宋" w:eastAsia="仿宋" w:cs="仿宋"/>
          <w:b/>
          <w:bCs/>
          <w:color w:val="333333"/>
          <w:sz w:val="32"/>
          <w:szCs w:val="32"/>
          <w:shd w:val="clear" w:color="auto" w:fill="FFFFFF"/>
        </w:rPr>
      </w:pPr>
    </w:p>
    <w:p>
      <w:pPr>
        <w:pStyle w:val="9"/>
        <w:widowControl/>
        <w:shd w:val="clear" w:color="auto" w:fill="FFFFFF"/>
        <w:spacing w:beforeAutospacing="0" w:afterAutospacing="0" w:line="360" w:lineRule="auto"/>
        <w:ind w:firstLine="640"/>
        <w:rPr>
          <w:rFonts w:ascii="仿宋" w:hAnsi="仿宋" w:eastAsia="仿宋" w:cs="仿宋"/>
          <w:b/>
          <w:bCs/>
          <w:color w:val="333333"/>
          <w:sz w:val="32"/>
          <w:szCs w:val="32"/>
        </w:rPr>
      </w:pPr>
      <w:r>
        <w:rPr>
          <w:rFonts w:hint="eastAsia" w:ascii="仿宋" w:hAnsi="仿宋" w:eastAsia="仿宋" w:cs="仿宋"/>
          <w:b/>
          <w:bCs/>
          <w:color w:val="333333"/>
          <w:sz w:val="32"/>
          <w:szCs w:val="32"/>
          <w:shd w:val="clear" w:color="auto" w:fill="FFFFFF"/>
        </w:rPr>
        <w:t>一、收入支出决算总体情况说明</w:t>
      </w:r>
    </w:p>
    <w:p>
      <w:pPr>
        <w:pStyle w:val="9"/>
        <w:widowControl/>
        <w:shd w:val="clear" w:color="auto" w:fill="FFFFFF"/>
        <w:spacing w:beforeAutospacing="0" w:afterAutospacing="0"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2022年度益阳市资阳区消防救援大队收、支总计653.16万元，与2021年度相比，收、支总计减少267.62万元，下降29.6%。</w:t>
      </w:r>
    </w:p>
    <w:p>
      <w:pPr>
        <w:pStyle w:val="9"/>
        <w:widowControl/>
        <w:shd w:val="clear" w:color="auto" w:fill="FFFFFF"/>
        <w:spacing w:beforeAutospacing="0" w:afterAutospacing="0" w:line="360" w:lineRule="auto"/>
        <w:ind w:firstLine="640"/>
        <w:jc w:val="center"/>
        <w:rPr>
          <w:rFonts w:ascii="仿宋" w:hAnsi="仿宋" w:eastAsia="仿宋" w:cs="仿宋"/>
          <w:color w:val="000000"/>
          <w:sz w:val="32"/>
          <w:szCs w:val="32"/>
          <w:shd w:val="clear" w:color="auto" w:fill="FFFFFF"/>
        </w:rPr>
      </w:pPr>
      <w:r>
        <w:rPr>
          <w:rFonts w:hint="eastAsia" w:ascii="仿宋" w:hAnsi="仿宋" w:eastAsia="仿宋" w:cs="仿宋"/>
          <w:color w:val="333333"/>
          <w:sz w:val="32"/>
          <w:szCs w:val="32"/>
          <w:shd w:val="clear" w:color="auto" w:fill="FFFFFF"/>
        </w:rPr>
        <w:t>图1：收、支决算总计变动情况（单位:万元）</w:t>
      </w:r>
    </w:p>
    <w:p>
      <w:pPr>
        <w:spacing w:before="100" w:beforeAutospacing="1" w:line="241" w:lineRule="auto"/>
        <w:ind w:left="880" w:leftChars="400"/>
        <w:rPr>
          <w:rFonts w:ascii="方正黑体_GBK" w:hAnsi="方正黑体_GBK" w:eastAsia="方正黑体_GBK" w:cs="方正黑体_GBK"/>
          <w:spacing w:val="-6"/>
          <w:sz w:val="32"/>
          <w:szCs w:val="32"/>
          <w:lang w:val="en-US"/>
        </w:rPr>
      </w:pPr>
      <w:r>
        <w:rPr>
          <w:rFonts w:hint="eastAsia" w:ascii="仿宋" w:hAnsi="仿宋" w:eastAsia="仿宋" w:cs="仿宋"/>
          <w:spacing w:val="-6"/>
          <w:sz w:val="32"/>
          <w:szCs w:val="32"/>
          <w:lang w:val="en-US" w:bidi="ar-SA"/>
        </w:rPr>
        <w:drawing>
          <wp:inline distT="0" distB="0" distL="114300" distR="114300">
            <wp:extent cx="4496435" cy="2277745"/>
            <wp:effectExtent l="19050" t="0" r="18415" b="825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before="100" w:beforeAutospacing="1" w:line="360" w:lineRule="auto"/>
        <w:ind w:firstLine="619" w:firstLineChars="200"/>
        <w:rPr>
          <w:rFonts w:ascii="仿宋" w:hAnsi="仿宋" w:eastAsia="仿宋" w:cs="仿宋"/>
          <w:b/>
          <w:bCs/>
          <w:spacing w:val="-6"/>
          <w:sz w:val="32"/>
          <w:szCs w:val="32"/>
          <w:lang w:val="en-US"/>
        </w:rPr>
      </w:pPr>
      <w:r>
        <w:rPr>
          <w:rFonts w:hint="eastAsia" w:ascii="仿宋" w:hAnsi="仿宋" w:eastAsia="仿宋" w:cs="仿宋"/>
          <w:b/>
          <w:bCs/>
          <w:spacing w:val="-6"/>
          <w:sz w:val="32"/>
          <w:szCs w:val="32"/>
          <w:lang w:val="en-US"/>
        </w:rPr>
        <w:t>二、收入预算情况说明</w:t>
      </w:r>
    </w:p>
    <w:p>
      <w:pPr>
        <w:pStyle w:val="2"/>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本年收入合计</w:t>
      </w:r>
      <w:r>
        <w:rPr>
          <w:rFonts w:hint="eastAsia" w:ascii="仿宋" w:hAnsi="仿宋" w:eastAsia="仿宋" w:cs="仿宋"/>
          <w:color w:val="000000"/>
          <w:sz w:val="32"/>
          <w:szCs w:val="32"/>
          <w:shd w:val="clear" w:color="auto" w:fill="FFFFFF"/>
          <w:lang w:val="en-US"/>
        </w:rPr>
        <w:t>573.32</w:t>
      </w:r>
      <w:r>
        <w:rPr>
          <w:rFonts w:hint="eastAsia" w:ascii="仿宋" w:hAnsi="仿宋" w:eastAsia="仿宋" w:cs="仿宋"/>
          <w:color w:val="000000"/>
          <w:sz w:val="32"/>
          <w:szCs w:val="32"/>
          <w:shd w:val="clear" w:color="auto" w:fill="FFFFFF"/>
        </w:rPr>
        <w:t>万元，其中：财政拨款收入37.4万元，占</w:t>
      </w:r>
      <w:r>
        <w:rPr>
          <w:rFonts w:hint="eastAsia" w:ascii="仿宋" w:hAnsi="仿宋" w:eastAsia="仿宋" w:cs="仿宋"/>
          <w:color w:val="000000"/>
          <w:sz w:val="32"/>
          <w:szCs w:val="32"/>
          <w:shd w:val="clear" w:color="auto" w:fill="FFFFFF"/>
          <w:lang w:val="en-US"/>
        </w:rPr>
        <w:t>6.52</w:t>
      </w:r>
      <w:r>
        <w:rPr>
          <w:rFonts w:hint="eastAsia" w:ascii="仿宋" w:hAnsi="仿宋" w:eastAsia="仿宋" w:cs="仿宋"/>
          <w:color w:val="000000"/>
          <w:sz w:val="32"/>
          <w:szCs w:val="32"/>
          <w:shd w:val="clear" w:color="auto" w:fill="FFFFFF"/>
        </w:rPr>
        <w:t>%；</w:t>
      </w:r>
      <w:r>
        <w:rPr>
          <w:rFonts w:hint="eastAsia" w:ascii="仿宋" w:hAnsi="仿宋" w:eastAsia="仿宋" w:cs="仿宋"/>
          <w:color w:val="333333"/>
          <w:sz w:val="32"/>
          <w:szCs w:val="32"/>
          <w:shd w:val="clear" w:color="auto" w:fill="FFFFFF"/>
        </w:rPr>
        <w:t>其他收入</w:t>
      </w:r>
      <w:r>
        <w:rPr>
          <w:rFonts w:hint="eastAsia" w:ascii="仿宋" w:hAnsi="仿宋" w:eastAsia="仿宋" w:cs="仿宋"/>
          <w:color w:val="333333"/>
          <w:sz w:val="32"/>
          <w:szCs w:val="32"/>
          <w:shd w:val="clear" w:color="auto" w:fill="FFFFFF"/>
          <w:lang w:val="en-US"/>
        </w:rPr>
        <w:t>535.92</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000000"/>
          <w:sz w:val="32"/>
          <w:szCs w:val="32"/>
          <w:shd w:val="clear" w:color="auto" w:fill="FFFFFF"/>
        </w:rPr>
        <w:t>占9</w:t>
      </w:r>
      <w:r>
        <w:rPr>
          <w:rFonts w:hint="eastAsia" w:ascii="仿宋" w:hAnsi="仿宋" w:eastAsia="仿宋" w:cs="仿宋"/>
          <w:color w:val="000000"/>
          <w:sz w:val="32"/>
          <w:szCs w:val="32"/>
          <w:shd w:val="clear" w:color="auto" w:fill="FFFFFF"/>
          <w:lang w:val="en-US"/>
        </w:rPr>
        <w:t>3.48</w:t>
      </w:r>
      <w:r>
        <w:rPr>
          <w:rFonts w:hint="eastAsia" w:ascii="仿宋" w:hAnsi="仿宋" w:eastAsia="仿宋" w:cs="仿宋"/>
          <w:color w:val="000000"/>
          <w:sz w:val="32"/>
          <w:szCs w:val="32"/>
          <w:shd w:val="clear" w:color="auto" w:fill="FFFFFF"/>
        </w:rPr>
        <w:t>%。</w:t>
      </w:r>
    </w:p>
    <w:p>
      <w:pPr>
        <w:pStyle w:val="2"/>
        <w:spacing w:line="360" w:lineRule="auto"/>
        <w:ind w:firstLine="640"/>
        <w:jc w:val="center"/>
        <w:rPr>
          <w:rFonts w:ascii="仿宋" w:hAnsi="仿宋" w:eastAsia="仿宋" w:cs="仿宋"/>
          <w:color w:val="000000"/>
          <w:sz w:val="32"/>
          <w:szCs w:val="32"/>
          <w:shd w:val="clear" w:color="auto" w:fill="FFFFFF"/>
        </w:rPr>
      </w:pPr>
      <w:r>
        <w:rPr>
          <w:rFonts w:hint="eastAsia" w:ascii="仿宋" w:hAnsi="仿宋" w:eastAsia="仿宋" w:cs="仿宋"/>
          <w:color w:val="333333"/>
          <w:sz w:val="32"/>
          <w:szCs w:val="32"/>
          <w:shd w:val="clear" w:color="auto" w:fill="FFFFFF"/>
        </w:rPr>
        <w:t>图2：收入决算</w:t>
      </w:r>
      <w:r>
        <w:rPr>
          <w:lang w:val="en-US" w:bidi="ar-SA"/>
        </w:rPr>
        <w:drawing>
          <wp:inline distT="0" distB="0" distL="114300" distR="114300">
            <wp:extent cx="4311015" cy="2792095"/>
            <wp:effectExtent l="4445" t="4445" r="8890" b="22860"/>
            <wp:docPr id="1"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
        <w:spacing w:line="240" w:lineRule="auto"/>
        <w:ind w:firstLine="440"/>
        <w:rPr>
          <w:lang w:val="en-US"/>
        </w:rPr>
      </w:pPr>
    </w:p>
    <w:p>
      <w:pPr>
        <w:spacing w:before="100" w:beforeAutospacing="1" w:line="360" w:lineRule="auto"/>
        <w:ind w:firstLine="619" w:firstLineChars="200"/>
        <w:rPr>
          <w:rFonts w:ascii="仿宋" w:hAnsi="仿宋" w:eastAsia="仿宋" w:cs="仿宋"/>
          <w:b/>
          <w:bCs/>
          <w:spacing w:val="-6"/>
          <w:sz w:val="32"/>
          <w:szCs w:val="32"/>
        </w:rPr>
      </w:pPr>
    </w:p>
    <w:p>
      <w:pPr>
        <w:spacing w:before="100" w:beforeAutospacing="1" w:line="360" w:lineRule="auto"/>
        <w:ind w:firstLine="619" w:firstLineChars="200"/>
        <w:rPr>
          <w:rFonts w:ascii="仿宋" w:hAnsi="仿宋" w:eastAsia="仿宋" w:cs="仿宋"/>
          <w:b/>
          <w:bCs/>
          <w:spacing w:val="-6"/>
          <w:sz w:val="32"/>
          <w:szCs w:val="32"/>
        </w:rPr>
      </w:pPr>
      <w:r>
        <w:rPr>
          <w:rFonts w:hint="eastAsia" w:ascii="仿宋" w:hAnsi="仿宋" w:eastAsia="仿宋" w:cs="仿宋"/>
          <w:b/>
          <w:bCs/>
          <w:spacing w:val="-6"/>
          <w:sz w:val="32"/>
          <w:szCs w:val="32"/>
        </w:rPr>
        <w:t>三、支出</w:t>
      </w:r>
      <w:r>
        <w:rPr>
          <w:rFonts w:hint="eastAsia" w:ascii="仿宋" w:hAnsi="仿宋" w:eastAsia="仿宋" w:cs="仿宋"/>
          <w:b/>
          <w:bCs/>
          <w:spacing w:val="-6"/>
          <w:sz w:val="32"/>
          <w:szCs w:val="32"/>
          <w:lang w:val="en-US"/>
        </w:rPr>
        <w:t>决算</w:t>
      </w:r>
      <w:r>
        <w:rPr>
          <w:rFonts w:hint="eastAsia" w:ascii="仿宋" w:hAnsi="仿宋" w:eastAsia="仿宋" w:cs="仿宋"/>
          <w:b/>
          <w:bCs/>
          <w:spacing w:val="-6"/>
          <w:sz w:val="32"/>
          <w:szCs w:val="32"/>
        </w:rPr>
        <w:t>情况说明</w:t>
      </w:r>
    </w:p>
    <w:p>
      <w:pPr>
        <w:spacing w:before="100" w:beforeAutospacing="1" w:line="360" w:lineRule="auto"/>
        <w:ind w:left="550" w:leftChars="2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本年支出合计</w:t>
      </w:r>
      <w:r>
        <w:rPr>
          <w:rFonts w:hint="eastAsia" w:ascii="仿宋" w:hAnsi="仿宋" w:eastAsia="仿宋" w:cs="仿宋"/>
          <w:color w:val="000000"/>
          <w:sz w:val="32"/>
          <w:szCs w:val="32"/>
          <w:shd w:val="clear" w:color="auto" w:fill="FFFFFF"/>
          <w:lang w:val="en-US"/>
        </w:rPr>
        <w:t>645.23</w:t>
      </w:r>
      <w:r>
        <w:rPr>
          <w:rFonts w:hint="eastAsia" w:ascii="仿宋" w:hAnsi="仿宋" w:eastAsia="仿宋" w:cs="仿宋"/>
          <w:color w:val="000000"/>
          <w:sz w:val="32"/>
          <w:szCs w:val="32"/>
          <w:shd w:val="clear" w:color="auto" w:fill="FFFFFF"/>
        </w:rPr>
        <w:t>万元，其中：基本支出</w:t>
      </w:r>
      <w:r>
        <w:rPr>
          <w:rFonts w:hint="eastAsia" w:ascii="仿宋" w:hAnsi="仿宋" w:eastAsia="仿宋" w:cs="仿宋"/>
          <w:color w:val="000000"/>
          <w:sz w:val="32"/>
          <w:szCs w:val="32"/>
          <w:shd w:val="clear" w:color="auto" w:fill="FFFFFF"/>
          <w:lang w:val="en-US"/>
        </w:rPr>
        <w:t>624.82</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rPr>
        <w:t>96.84</w:t>
      </w:r>
      <w:r>
        <w:rPr>
          <w:rFonts w:hint="eastAsia" w:ascii="仿宋" w:hAnsi="仿宋" w:eastAsia="仿宋" w:cs="仿宋"/>
          <w:color w:val="000000"/>
          <w:sz w:val="32"/>
          <w:szCs w:val="32"/>
          <w:shd w:val="clear" w:color="auto" w:fill="FFFFFF"/>
        </w:rPr>
        <w:t>%；</w:t>
      </w:r>
      <w:r>
        <w:rPr>
          <w:rFonts w:hint="eastAsia" w:ascii="仿宋" w:hAnsi="仿宋" w:eastAsia="仿宋" w:cs="仿宋"/>
          <w:color w:val="333333"/>
          <w:sz w:val="32"/>
          <w:szCs w:val="32"/>
          <w:shd w:val="clear" w:color="auto" w:fill="FFFFFF"/>
        </w:rPr>
        <w:t>项目支出</w:t>
      </w:r>
      <w:r>
        <w:rPr>
          <w:rFonts w:hint="eastAsia" w:ascii="仿宋" w:hAnsi="仿宋" w:eastAsia="仿宋" w:cs="仿宋"/>
          <w:color w:val="333333"/>
          <w:sz w:val="32"/>
          <w:szCs w:val="32"/>
          <w:shd w:val="clear" w:color="auto" w:fill="FFFFFF"/>
          <w:lang w:val="en-US"/>
        </w:rPr>
        <w:t>20.41</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000000"/>
          <w:sz w:val="32"/>
          <w:szCs w:val="32"/>
          <w:shd w:val="clear" w:color="auto" w:fill="FFFFFF"/>
        </w:rPr>
        <w:t>，占</w:t>
      </w:r>
      <w:r>
        <w:rPr>
          <w:rFonts w:hint="eastAsia" w:ascii="仿宋" w:hAnsi="仿宋" w:eastAsia="仿宋" w:cs="仿宋"/>
          <w:color w:val="000000"/>
          <w:sz w:val="32"/>
          <w:szCs w:val="32"/>
          <w:shd w:val="clear" w:color="auto" w:fill="FFFFFF"/>
          <w:lang w:val="en-US"/>
        </w:rPr>
        <w:t>3.16</w:t>
      </w:r>
      <w:r>
        <w:rPr>
          <w:rFonts w:hint="eastAsia" w:ascii="仿宋" w:hAnsi="仿宋" w:eastAsia="仿宋" w:cs="仿宋"/>
          <w:color w:val="000000"/>
          <w:sz w:val="32"/>
          <w:szCs w:val="32"/>
          <w:shd w:val="clear" w:color="auto" w:fill="FFFFFF"/>
        </w:rPr>
        <w:t>%。</w:t>
      </w:r>
    </w:p>
    <w:p>
      <w:pPr>
        <w:spacing w:before="100" w:beforeAutospacing="1" w:line="360" w:lineRule="auto"/>
        <w:ind w:left="550" w:leftChars="250" w:right="660" w:rightChars="300" w:firstLine="640" w:firstLineChars="200"/>
        <w:jc w:val="center"/>
        <w:rPr>
          <w:rFonts w:ascii="方正黑体_GBK" w:hAnsi="方正黑体_GBK" w:eastAsia="方正黑体_GBK" w:cs="方正黑体_GBK"/>
          <w:spacing w:val="-6"/>
          <w:sz w:val="32"/>
          <w:szCs w:val="32"/>
        </w:rPr>
      </w:pPr>
      <w:r>
        <w:rPr>
          <w:rFonts w:hint="eastAsia" w:ascii="仿宋" w:hAnsi="仿宋" w:eastAsia="仿宋" w:cs="仿宋"/>
          <w:color w:val="333333"/>
          <w:sz w:val="32"/>
          <w:szCs w:val="32"/>
          <w:shd w:val="clear" w:color="auto" w:fill="FFFFFF"/>
        </w:rPr>
        <w:t>图3：支出决算</w:t>
      </w:r>
      <w:r>
        <w:rPr>
          <w:rFonts w:hint="eastAsia" w:ascii="方正黑体_GBK" w:hAnsi="方正黑体_GBK" w:eastAsia="方正黑体_GBK" w:cs="方正黑体_GBK"/>
          <w:spacing w:val="-6"/>
          <w:sz w:val="32"/>
          <w:szCs w:val="32"/>
          <w:lang w:val="en-US" w:bidi="ar-SA"/>
        </w:rPr>
        <w:drawing>
          <wp:inline distT="0" distB="0" distL="114300" distR="114300">
            <wp:extent cx="4098925" cy="2078990"/>
            <wp:effectExtent l="19050" t="0" r="15875"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100" w:beforeAutospacing="1" w:line="360" w:lineRule="auto"/>
        <w:ind w:firstLine="619" w:firstLineChars="200"/>
        <w:rPr>
          <w:rFonts w:ascii="仿宋" w:hAnsi="仿宋" w:eastAsia="仿宋" w:cs="仿宋"/>
          <w:b/>
          <w:bCs/>
          <w:spacing w:val="-6"/>
          <w:sz w:val="32"/>
          <w:szCs w:val="32"/>
        </w:rPr>
      </w:pPr>
      <w:r>
        <w:rPr>
          <w:rFonts w:hint="eastAsia" w:ascii="仿宋" w:hAnsi="仿宋" w:eastAsia="仿宋" w:cs="仿宋"/>
          <w:b/>
          <w:bCs/>
          <w:spacing w:val="-6"/>
          <w:sz w:val="32"/>
          <w:szCs w:val="32"/>
          <w:lang w:val="en-US"/>
        </w:rPr>
        <w:t>四、</w:t>
      </w:r>
      <w:r>
        <w:rPr>
          <w:rFonts w:hint="eastAsia" w:ascii="仿宋" w:hAnsi="仿宋" w:eastAsia="仿宋" w:cs="仿宋"/>
          <w:b/>
          <w:bCs/>
          <w:spacing w:val="-6"/>
          <w:sz w:val="32"/>
          <w:szCs w:val="32"/>
        </w:rPr>
        <w:t>财政拨款收</w:t>
      </w:r>
      <w:r>
        <w:rPr>
          <w:rFonts w:hint="eastAsia" w:ascii="仿宋" w:hAnsi="仿宋" w:eastAsia="仿宋" w:cs="仿宋"/>
          <w:b/>
          <w:bCs/>
          <w:spacing w:val="-6"/>
          <w:sz w:val="32"/>
          <w:szCs w:val="32"/>
          <w:lang w:val="en-US"/>
        </w:rPr>
        <w:t>入</w:t>
      </w:r>
      <w:r>
        <w:rPr>
          <w:rFonts w:hint="eastAsia" w:ascii="仿宋" w:hAnsi="仿宋" w:eastAsia="仿宋" w:cs="仿宋"/>
          <w:b/>
          <w:bCs/>
          <w:spacing w:val="-6"/>
          <w:sz w:val="32"/>
          <w:szCs w:val="32"/>
        </w:rPr>
        <w:t>支</w:t>
      </w:r>
      <w:r>
        <w:rPr>
          <w:rFonts w:hint="eastAsia" w:ascii="仿宋" w:hAnsi="仿宋" w:eastAsia="仿宋" w:cs="仿宋"/>
          <w:b/>
          <w:bCs/>
          <w:spacing w:val="-6"/>
          <w:sz w:val="32"/>
          <w:szCs w:val="32"/>
          <w:lang w:val="en-US"/>
        </w:rPr>
        <w:t>出决算</w:t>
      </w:r>
      <w:r>
        <w:rPr>
          <w:rFonts w:hint="eastAsia" w:ascii="仿宋" w:hAnsi="仿宋" w:eastAsia="仿宋" w:cs="仿宋"/>
          <w:b/>
          <w:bCs/>
          <w:spacing w:val="-6"/>
          <w:sz w:val="32"/>
          <w:szCs w:val="32"/>
        </w:rPr>
        <w:t>总体情况说明</w:t>
      </w:r>
    </w:p>
    <w:p>
      <w:pPr>
        <w:spacing w:before="100" w:beforeAutospacing="1" w:line="360" w:lineRule="auto"/>
        <w:ind w:left="550" w:leftChars="2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年度财政拨款收、支总计39.81万元。与2021年度相比，财政拨款收、支总计减少1.92万元，主要是当年财政拨款收入增加2万元，年初财政拨款结转和结余减少0.08万元。</w:t>
      </w:r>
    </w:p>
    <w:p>
      <w:pPr>
        <w:widowControl/>
        <w:spacing w:line="360" w:lineRule="auto"/>
        <w:jc w:val="center"/>
        <w:rPr>
          <w:rFonts w:ascii="仿宋" w:hAnsi="仿宋" w:eastAsia="仿宋" w:cs="仿宋"/>
          <w:sz w:val="32"/>
          <w:szCs w:val="32"/>
        </w:rPr>
      </w:pPr>
      <w:r>
        <w:rPr>
          <w:rFonts w:hint="eastAsia" w:ascii="仿宋" w:hAnsi="仿宋" w:eastAsia="仿宋" w:cs="仿宋"/>
          <w:color w:val="000000"/>
          <w:sz w:val="32"/>
          <w:szCs w:val="32"/>
          <w:lang w:val="en-US"/>
        </w:rPr>
        <w:t>图 4：财政拨款收、支决算总计变动情况（单位：万元）</w:t>
      </w:r>
    </w:p>
    <w:p>
      <w:pPr>
        <w:pStyle w:val="2"/>
        <w:spacing w:line="240" w:lineRule="auto"/>
        <w:ind w:firstLine="440"/>
        <w:rPr>
          <w:lang w:val="en-US"/>
        </w:rPr>
      </w:pPr>
      <w:r>
        <w:rPr>
          <w:lang w:val="en-US" w:bidi="ar-SA"/>
        </w:rPr>
        <w:drawing>
          <wp:inline distT="0" distB="0" distL="114300" distR="114300">
            <wp:extent cx="4805680" cy="1910080"/>
            <wp:effectExtent l="19050" t="0" r="1397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00" w:beforeAutospacing="1" w:line="360" w:lineRule="auto"/>
        <w:ind w:firstLine="619" w:firstLineChars="200"/>
        <w:rPr>
          <w:rFonts w:ascii="仿宋" w:hAnsi="仿宋" w:eastAsia="仿宋" w:cs="仿宋"/>
          <w:b/>
          <w:bCs/>
          <w:spacing w:val="-6"/>
          <w:sz w:val="32"/>
          <w:szCs w:val="32"/>
        </w:rPr>
      </w:pPr>
    </w:p>
    <w:p>
      <w:pPr>
        <w:spacing w:before="100" w:beforeAutospacing="1" w:line="360" w:lineRule="auto"/>
        <w:ind w:firstLine="619" w:firstLineChars="200"/>
        <w:rPr>
          <w:rFonts w:ascii="仿宋" w:hAnsi="仿宋" w:eastAsia="仿宋" w:cs="仿宋"/>
          <w:b/>
          <w:bCs/>
          <w:spacing w:val="-6"/>
          <w:sz w:val="32"/>
          <w:szCs w:val="32"/>
        </w:rPr>
      </w:pPr>
      <w:r>
        <w:rPr>
          <w:rFonts w:hint="eastAsia" w:ascii="仿宋" w:hAnsi="仿宋" w:eastAsia="仿宋" w:cs="仿宋"/>
          <w:b/>
          <w:bCs/>
          <w:spacing w:val="-6"/>
          <w:sz w:val="32"/>
          <w:szCs w:val="32"/>
        </w:rPr>
        <w:t>五、一般公共预算</w:t>
      </w:r>
      <w:r>
        <w:rPr>
          <w:rFonts w:hint="eastAsia" w:ascii="仿宋" w:hAnsi="仿宋" w:eastAsia="仿宋" w:cs="仿宋"/>
          <w:b/>
          <w:bCs/>
          <w:spacing w:val="-6"/>
          <w:sz w:val="32"/>
          <w:szCs w:val="32"/>
          <w:lang w:val="en-US"/>
        </w:rPr>
        <w:t>财政拨款</w:t>
      </w:r>
      <w:r>
        <w:rPr>
          <w:rFonts w:hint="eastAsia" w:ascii="仿宋" w:hAnsi="仿宋" w:eastAsia="仿宋" w:cs="仿宋"/>
          <w:b/>
          <w:bCs/>
          <w:spacing w:val="-6"/>
          <w:sz w:val="32"/>
          <w:szCs w:val="32"/>
        </w:rPr>
        <w:t>支出</w:t>
      </w:r>
      <w:r>
        <w:rPr>
          <w:rFonts w:hint="eastAsia" w:ascii="仿宋" w:hAnsi="仿宋" w:eastAsia="仿宋" w:cs="仿宋"/>
          <w:b/>
          <w:bCs/>
          <w:spacing w:val="-6"/>
          <w:sz w:val="32"/>
          <w:szCs w:val="32"/>
          <w:lang w:val="en-US"/>
        </w:rPr>
        <w:t>决算</w:t>
      </w:r>
      <w:r>
        <w:rPr>
          <w:rFonts w:hint="eastAsia" w:ascii="仿宋" w:hAnsi="仿宋" w:eastAsia="仿宋" w:cs="仿宋"/>
          <w:b/>
          <w:bCs/>
          <w:spacing w:val="-6"/>
          <w:sz w:val="32"/>
          <w:szCs w:val="32"/>
        </w:rPr>
        <w:t>情况说明</w:t>
      </w:r>
    </w:p>
    <w:p>
      <w:pPr>
        <w:spacing w:before="100" w:beforeAutospacing="1" w:line="360" w:lineRule="auto"/>
        <w:ind w:left="550" w:leftChars="250" w:right="660" w:rightChars="300"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shd w:val="clear" w:color="auto" w:fill="FFFFFF"/>
        </w:rPr>
        <w:t>财政拨款支出决算总体情况</w:t>
      </w:r>
    </w:p>
    <w:p>
      <w:pPr>
        <w:spacing w:before="100" w:beforeAutospacing="1" w:line="360" w:lineRule="auto"/>
        <w:ind w:left="550" w:leftChars="2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年度财政拨款支出</w:t>
      </w:r>
      <w:r>
        <w:rPr>
          <w:rFonts w:hint="eastAsia" w:ascii="仿宋" w:hAnsi="仿宋" w:eastAsia="仿宋" w:cs="仿宋"/>
          <w:color w:val="000000"/>
          <w:sz w:val="32"/>
          <w:szCs w:val="32"/>
          <w:shd w:val="clear" w:color="auto" w:fill="FFFFFF"/>
          <w:lang w:val="en-US"/>
        </w:rPr>
        <w:t>33.78</w:t>
      </w:r>
      <w:r>
        <w:rPr>
          <w:rFonts w:hint="eastAsia" w:ascii="仿宋" w:hAnsi="仿宋" w:eastAsia="仿宋" w:cs="仿宋"/>
          <w:color w:val="000000"/>
          <w:sz w:val="32"/>
          <w:szCs w:val="32"/>
          <w:shd w:val="clear" w:color="auto" w:fill="FFFFFF"/>
        </w:rPr>
        <w:t>万元，占本年支出的5.23%。与2021年度相比，财政拨款支出增加了1.4万元，下降2.29%，主要是2022年基本支出增加1.4万元，项目支出减少6.03万元。</w:t>
      </w:r>
    </w:p>
    <w:p>
      <w:pPr>
        <w:spacing w:before="100" w:beforeAutospacing="1" w:line="360" w:lineRule="auto"/>
        <w:ind w:left="550" w:leftChars="250" w:right="660" w:rightChars="300" w:firstLine="640" w:firstLineChars="200"/>
        <w:jc w:val="center"/>
        <w:rPr>
          <w:rFonts w:ascii="方正楷体_GBK" w:hAnsi="方正楷体_GBK" w:eastAsia="方正楷体_GBK" w:cs="方正楷体_GBK"/>
          <w:sz w:val="32"/>
          <w:szCs w:val="32"/>
        </w:rPr>
      </w:pPr>
      <w:r>
        <w:rPr>
          <w:rFonts w:hint="eastAsia" w:ascii="仿宋" w:hAnsi="仿宋" w:eastAsia="仿宋" w:cs="仿宋"/>
          <w:color w:val="333333"/>
          <w:sz w:val="32"/>
          <w:szCs w:val="32"/>
          <w:shd w:val="clear" w:color="auto" w:fill="FFFFFF"/>
        </w:rPr>
        <w:t>图5：财政拨款支出决算变动情况（单位：万元）</w:t>
      </w:r>
      <w:r>
        <w:rPr>
          <w:rFonts w:hint="eastAsia" w:eastAsia="方正仿宋_GBK"/>
          <w:lang w:val="en-US" w:bidi="ar-SA"/>
        </w:rPr>
        <w:drawing>
          <wp:inline distT="0" distB="0" distL="114300" distR="114300">
            <wp:extent cx="4151630" cy="1892935"/>
            <wp:effectExtent l="19050" t="0" r="2032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00" w:beforeAutospacing="1" w:line="360" w:lineRule="auto"/>
        <w:ind w:left="550" w:leftChars="250" w:right="660" w:rightChars="300"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rPr>
        <w:t>财政拨款支出决算</w:t>
      </w:r>
      <w:r>
        <w:rPr>
          <w:rFonts w:hint="eastAsia" w:ascii="仿宋" w:hAnsi="仿宋" w:eastAsia="仿宋" w:cs="仿宋"/>
          <w:sz w:val="32"/>
          <w:szCs w:val="32"/>
        </w:rPr>
        <w:t>结构情况。</w:t>
      </w:r>
    </w:p>
    <w:p>
      <w:pPr>
        <w:spacing w:before="100" w:beforeAutospacing="1" w:line="360" w:lineRule="auto"/>
        <w:ind w:left="550" w:leftChars="250" w:right="660" w:rightChars="300" w:firstLine="640" w:firstLineChars="200"/>
        <w:rPr>
          <w:rFonts w:ascii="仿宋" w:hAnsi="仿宋" w:eastAsia="仿宋" w:cs="仿宋"/>
          <w:sz w:val="32"/>
          <w:szCs w:val="32"/>
          <w:lang w:val="en-US"/>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年度财政拨款支出33.78万元，主要用于以下方面：灾害防治及应急管理（类）支出33.78万元，占100%。</w:t>
      </w:r>
    </w:p>
    <w:p>
      <w:pPr>
        <w:spacing w:before="100" w:beforeAutospacing="1" w:line="360" w:lineRule="auto"/>
        <w:ind w:left="550" w:leftChars="250" w:right="660" w:rightChars="300" w:firstLine="640" w:firstLineChars="200"/>
        <w:rPr>
          <w:rFonts w:ascii="仿宋" w:hAnsi="仿宋" w:eastAsia="仿宋" w:cs="仿宋"/>
          <w:sz w:val="32"/>
          <w:szCs w:val="32"/>
          <w:lang w:val="en-US"/>
        </w:rPr>
      </w:pPr>
      <w:r>
        <w:rPr>
          <w:rFonts w:hint="eastAsia" w:ascii="仿宋" w:hAnsi="仿宋" w:eastAsia="仿宋" w:cs="仿宋"/>
          <w:sz w:val="32"/>
          <w:szCs w:val="32"/>
        </w:rPr>
        <w:t>（三）</w:t>
      </w:r>
      <w:r>
        <w:rPr>
          <w:rFonts w:hint="eastAsia" w:ascii="仿宋" w:hAnsi="仿宋" w:eastAsia="仿宋" w:cs="仿宋"/>
          <w:sz w:val="32"/>
          <w:szCs w:val="32"/>
          <w:lang w:val="en-US"/>
        </w:rPr>
        <w:t>财政拨款支出决算具体情况</w:t>
      </w:r>
    </w:p>
    <w:p>
      <w:pPr>
        <w:spacing w:before="100" w:beforeAutospacing="1" w:line="360" w:lineRule="auto"/>
        <w:ind w:left="550" w:leftChars="2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年度财政拨款支出年初预算</w:t>
      </w:r>
      <w:r>
        <w:rPr>
          <w:rFonts w:hint="eastAsia" w:ascii="仿宋" w:hAnsi="仿宋" w:eastAsia="仿宋" w:cs="仿宋"/>
          <w:sz w:val="32"/>
          <w:szCs w:val="32"/>
          <w:shd w:val="clear" w:color="auto" w:fill="FFFFFF"/>
        </w:rPr>
        <w:t>为37.4万</w:t>
      </w:r>
      <w:r>
        <w:rPr>
          <w:rFonts w:hint="eastAsia" w:ascii="仿宋" w:hAnsi="仿宋" w:eastAsia="仿宋" w:cs="仿宋"/>
          <w:color w:val="000000"/>
          <w:sz w:val="32"/>
          <w:szCs w:val="32"/>
          <w:shd w:val="clear" w:color="auto" w:fill="FFFFFF"/>
        </w:rPr>
        <w:t>元，支出决算为33.78万元，完成年初预算的90.32%，全部用于灾害防治及应急管理（类）支出。决算数小于年初预算数的主要原因是部分资金未用完结转下年。</w:t>
      </w:r>
    </w:p>
    <w:p>
      <w:pPr>
        <w:pStyle w:val="2"/>
        <w:spacing w:line="360" w:lineRule="auto"/>
        <w:ind w:firstLine="440"/>
      </w:pPr>
    </w:p>
    <w:p>
      <w:pPr>
        <w:pStyle w:val="2"/>
        <w:spacing w:line="360" w:lineRule="auto"/>
        <w:ind w:firstLine="440"/>
      </w:pPr>
    </w:p>
    <w:p>
      <w:pPr>
        <w:spacing w:before="100" w:beforeAutospacing="1" w:line="360" w:lineRule="auto"/>
        <w:ind w:left="550" w:right="660" w:rightChars="300" w:firstLine="643" w:firstLineChars="200"/>
        <w:rPr>
          <w:rFonts w:ascii="仿宋" w:hAnsi="仿宋" w:eastAsia="仿宋" w:cs="仿宋"/>
          <w:b/>
          <w:bCs/>
          <w:sz w:val="32"/>
          <w:szCs w:val="32"/>
        </w:rPr>
      </w:pPr>
      <w:r>
        <w:rPr>
          <w:rFonts w:hint="eastAsia" w:ascii="仿宋" w:hAnsi="仿宋" w:eastAsia="仿宋" w:cs="仿宋"/>
          <w:b/>
          <w:bCs/>
          <w:sz w:val="32"/>
          <w:szCs w:val="32"/>
        </w:rPr>
        <w:t>六、</w:t>
      </w:r>
      <w:r>
        <w:rPr>
          <w:rFonts w:hint="eastAsia" w:ascii="仿宋" w:hAnsi="仿宋" w:eastAsia="仿宋" w:cs="仿宋"/>
          <w:b/>
          <w:bCs/>
          <w:color w:val="333333"/>
          <w:sz w:val="32"/>
          <w:szCs w:val="32"/>
          <w:shd w:val="clear" w:color="auto" w:fill="FFFFFF"/>
        </w:rPr>
        <w:t>一般公共预算财政拨款基本支出决算情况说明</w:t>
      </w:r>
    </w:p>
    <w:p>
      <w:pPr>
        <w:spacing w:before="100" w:beforeAutospacing="1" w:line="360" w:lineRule="auto"/>
        <w:ind w:left="5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年度财政拨款基本支出</w:t>
      </w:r>
      <w:r>
        <w:rPr>
          <w:rFonts w:hint="eastAsia" w:ascii="仿宋" w:hAnsi="仿宋" w:eastAsia="仿宋" w:cs="仿宋"/>
          <w:color w:val="000000"/>
          <w:sz w:val="32"/>
          <w:szCs w:val="32"/>
          <w:shd w:val="clear" w:color="auto" w:fill="FFFFFF"/>
          <w:lang w:val="en-US"/>
        </w:rPr>
        <w:t>13.38</w:t>
      </w:r>
      <w:r>
        <w:rPr>
          <w:rFonts w:hint="eastAsia" w:ascii="仿宋" w:hAnsi="仿宋" w:eastAsia="仿宋" w:cs="仿宋"/>
          <w:color w:val="000000"/>
          <w:sz w:val="32"/>
          <w:szCs w:val="32"/>
          <w:shd w:val="clear" w:color="auto" w:fill="FFFFFF"/>
        </w:rPr>
        <w:t>万元，其中：人员经费0万元；公用经费</w:t>
      </w:r>
      <w:r>
        <w:rPr>
          <w:rFonts w:hint="eastAsia" w:ascii="仿宋" w:hAnsi="仿宋" w:eastAsia="仿宋" w:cs="仿宋"/>
          <w:color w:val="000000"/>
          <w:sz w:val="32"/>
          <w:szCs w:val="32"/>
          <w:shd w:val="clear" w:color="auto" w:fill="FFFFFF"/>
          <w:lang w:val="en-US"/>
        </w:rPr>
        <w:t>13.38</w:t>
      </w:r>
      <w:r>
        <w:rPr>
          <w:rFonts w:hint="eastAsia" w:ascii="仿宋" w:hAnsi="仿宋" w:eastAsia="仿宋" w:cs="仿宋"/>
          <w:color w:val="000000"/>
          <w:sz w:val="32"/>
          <w:szCs w:val="32"/>
          <w:shd w:val="clear" w:color="auto" w:fill="FFFFFF"/>
        </w:rPr>
        <w:t>万元，主要包括其他商品和服务支出。</w:t>
      </w:r>
    </w:p>
    <w:p>
      <w:pPr>
        <w:spacing w:before="100" w:beforeAutospacing="1" w:line="360" w:lineRule="auto"/>
        <w:ind w:left="638" w:leftChars="290" w:right="660" w:rightChars="3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lang w:val="en-US"/>
        </w:rPr>
        <w:t>七、</w:t>
      </w:r>
      <w:r>
        <w:rPr>
          <w:rFonts w:hint="eastAsia" w:ascii="仿宋" w:hAnsi="仿宋" w:eastAsia="仿宋" w:cs="仿宋"/>
          <w:b/>
          <w:bCs/>
          <w:color w:val="333333"/>
          <w:sz w:val="32"/>
          <w:szCs w:val="32"/>
          <w:shd w:val="clear" w:color="auto" w:fill="FFFFFF"/>
        </w:rPr>
        <w:t>一般公共预算财政拨款“三公”经费支出决算情况说明</w:t>
      </w:r>
    </w:p>
    <w:p>
      <w:pPr>
        <w:pStyle w:val="2"/>
        <w:numPr>
          <w:ilvl w:val="0"/>
          <w:numId w:val="2"/>
        </w:numPr>
        <w:spacing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“三公”经费财政拨款支出决算总体情况说明</w:t>
      </w:r>
    </w:p>
    <w:p>
      <w:pPr>
        <w:pStyle w:val="2"/>
        <w:spacing w:line="360" w:lineRule="auto"/>
        <w:ind w:left="528" w:leftChars="240" w:right="550" w:rightChars="250" w:firstLine="320" w:firstLineChars="1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rPr>
        <w:t>2</w:t>
      </w:r>
      <w:r>
        <w:rPr>
          <w:rFonts w:hint="eastAsia" w:ascii="仿宋" w:hAnsi="仿宋" w:eastAsia="仿宋" w:cs="仿宋"/>
          <w:color w:val="333333"/>
          <w:sz w:val="32"/>
          <w:szCs w:val="32"/>
          <w:shd w:val="clear" w:color="auto" w:fill="FFFFFF"/>
        </w:rPr>
        <w:t>年度“三公”经费财政拨款支出预算为0万元，支出决算为0万元。</w:t>
      </w:r>
    </w:p>
    <w:p>
      <w:pPr>
        <w:pStyle w:val="2"/>
        <w:numPr>
          <w:ilvl w:val="0"/>
          <w:numId w:val="2"/>
        </w:numPr>
        <w:spacing w:line="360" w:lineRule="auto"/>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“三公”经费财政拨款支出决算具体情况说明</w:t>
      </w:r>
    </w:p>
    <w:p>
      <w:pPr>
        <w:pStyle w:val="9"/>
        <w:widowControl/>
        <w:shd w:val="clear" w:color="auto" w:fill="FFFFFF"/>
        <w:spacing w:beforeAutospacing="0" w:afterAutospacing="0" w:line="540" w:lineRule="atLeast"/>
        <w:ind w:firstLine="643"/>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1.因公出国（境）费预算为0万元，支出决算0万元。</w:t>
      </w:r>
    </w:p>
    <w:p>
      <w:pPr>
        <w:pStyle w:val="9"/>
        <w:widowControl/>
        <w:shd w:val="clear" w:color="auto" w:fill="FFFFFF"/>
        <w:spacing w:beforeAutospacing="0" w:afterAutospacing="0" w:line="540" w:lineRule="atLeast"/>
        <w:ind w:firstLine="643"/>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2.公务用车购置及运行费预算为0万元，支出决算为0万元。</w:t>
      </w:r>
    </w:p>
    <w:p>
      <w:pPr>
        <w:pStyle w:val="9"/>
        <w:widowControl/>
        <w:shd w:val="clear" w:color="auto" w:fill="FFFFFF"/>
        <w:spacing w:beforeAutospacing="0" w:afterAutospacing="0" w:line="540" w:lineRule="atLeast"/>
        <w:ind w:firstLine="643"/>
        <w:rPr>
          <w:rFonts w:ascii="方正楷体_GBK" w:hAnsi="方正楷体_GBK" w:eastAsia="仿宋" w:cs="方正楷体_GBK"/>
          <w:color w:val="333333"/>
          <w:sz w:val="32"/>
          <w:szCs w:val="32"/>
          <w:shd w:val="clear" w:color="auto" w:fill="FFFFFF"/>
        </w:rPr>
      </w:pPr>
      <w:r>
        <w:rPr>
          <w:rFonts w:hint="eastAsia" w:ascii="仿宋" w:hAnsi="仿宋" w:eastAsia="仿宋" w:cs="仿宋"/>
          <w:color w:val="333333"/>
          <w:sz w:val="32"/>
          <w:szCs w:val="32"/>
          <w:shd w:val="clear" w:color="auto" w:fill="FFFFFF"/>
        </w:rPr>
        <w:t>3.公务接待费预算为0万元，支出决算为0万元。</w:t>
      </w:r>
    </w:p>
    <w:p>
      <w:pPr>
        <w:spacing w:before="100" w:beforeAutospacing="1" w:line="317" w:lineRule="auto"/>
        <w:ind w:right="660" w:rightChars="300"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lang w:val="en-US"/>
        </w:rPr>
        <w:t>八、</w:t>
      </w:r>
      <w:r>
        <w:rPr>
          <w:rFonts w:hint="eastAsia" w:ascii="仿宋" w:hAnsi="仿宋" w:eastAsia="仿宋" w:cs="仿宋"/>
          <w:b/>
          <w:bCs/>
          <w:color w:val="000000"/>
          <w:sz w:val="32"/>
          <w:szCs w:val="32"/>
          <w:shd w:val="clear" w:color="auto" w:fill="FFFFFF"/>
        </w:rPr>
        <w:t>机关运行经费支出说明</w:t>
      </w:r>
    </w:p>
    <w:p>
      <w:pPr>
        <w:spacing w:before="100" w:beforeAutospacing="1" w:line="317" w:lineRule="auto"/>
        <w:ind w:left="550" w:leftChars="250" w:right="660" w:rightChars="3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益阳市资阳区消防救援大队202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年度机关运行经费支出13.38万元，比2021年减少0.95万元。原因：人员调整，导致机关运行经费调减。</w:t>
      </w:r>
    </w:p>
    <w:p>
      <w:pPr>
        <w:spacing w:before="100" w:beforeAutospacing="1" w:line="317" w:lineRule="auto"/>
        <w:ind w:right="660" w:rightChars="300"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lang w:val="en-US"/>
        </w:rPr>
        <w:t>九、</w:t>
      </w:r>
      <w:r>
        <w:rPr>
          <w:rFonts w:hint="eastAsia" w:ascii="仿宋" w:hAnsi="仿宋" w:eastAsia="仿宋" w:cs="仿宋"/>
          <w:b/>
          <w:bCs/>
          <w:color w:val="000000"/>
          <w:sz w:val="32"/>
          <w:szCs w:val="32"/>
          <w:shd w:val="clear" w:color="auto" w:fill="FFFFFF"/>
        </w:rPr>
        <w:t>政府采购支出说明</w:t>
      </w:r>
    </w:p>
    <w:p>
      <w:pPr>
        <w:spacing w:before="100" w:beforeAutospacing="1" w:line="317" w:lineRule="auto"/>
        <w:ind w:left="550" w:leftChars="250" w:right="660" w:rightChars="300"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shd w:val="clear" w:color="auto" w:fill="FFFFFF"/>
        </w:rPr>
        <w:t>益阳市资阳区消防救援大队202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年度政府采购支出总额0万元</w:t>
      </w:r>
      <w:r>
        <w:rPr>
          <w:rFonts w:hint="eastAsia" w:ascii="仿宋" w:hAnsi="仿宋" w:eastAsia="仿宋" w:cs="仿宋"/>
          <w:color w:val="333333"/>
          <w:sz w:val="32"/>
          <w:szCs w:val="32"/>
          <w:shd w:val="clear" w:color="auto" w:fill="FFFFFF"/>
        </w:rPr>
        <w:t>。</w:t>
      </w:r>
    </w:p>
    <w:p>
      <w:pPr>
        <w:pStyle w:val="2"/>
        <w:ind w:firstLine="640"/>
        <w:rPr>
          <w:rFonts w:ascii="仿宋" w:hAnsi="仿宋" w:eastAsia="仿宋" w:cs="仿宋"/>
          <w:color w:val="333333"/>
          <w:sz w:val="32"/>
          <w:szCs w:val="32"/>
          <w:shd w:val="clear" w:color="auto" w:fill="FFFFFF"/>
        </w:rPr>
      </w:pPr>
    </w:p>
    <w:p>
      <w:pPr>
        <w:pStyle w:val="2"/>
        <w:ind w:firstLine="640"/>
        <w:rPr>
          <w:rFonts w:ascii="仿宋" w:hAnsi="仿宋" w:eastAsia="仿宋" w:cs="仿宋"/>
          <w:color w:val="333333"/>
          <w:sz w:val="32"/>
          <w:szCs w:val="32"/>
          <w:shd w:val="clear" w:color="auto" w:fill="FFFFFF"/>
        </w:rPr>
      </w:pPr>
    </w:p>
    <w:p>
      <w:pPr>
        <w:spacing w:before="100" w:beforeAutospacing="1" w:line="360" w:lineRule="auto"/>
        <w:ind w:right="660" w:rightChars="300" w:firstLine="643" w:firstLineChars="200"/>
        <w:rPr>
          <w:rFonts w:ascii="仿宋" w:hAnsi="仿宋" w:eastAsia="仿宋" w:cs="仿宋"/>
          <w:b/>
          <w:bCs/>
          <w:color w:val="000000"/>
          <w:sz w:val="32"/>
          <w:szCs w:val="32"/>
          <w:shd w:val="clear" w:color="auto" w:fill="FFFFFF"/>
          <w:lang w:val="en-US"/>
        </w:rPr>
      </w:pPr>
    </w:p>
    <w:p>
      <w:pPr>
        <w:spacing w:before="100" w:beforeAutospacing="1" w:line="360" w:lineRule="auto"/>
        <w:ind w:right="660" w:rightChars="300"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lang w:val="en-US"/>
        </w:rPr>
        <w:t>十、</w:t>
      </w:r>
      <w:r>
        <w:rPr>
          <w:rFonts w:hint="eastAsia" w:ascii="仿宋" w:hAnsi="仿宋" w:eastAsia="仿宋" w:cs="仿宋"/>
          <w:b/>
          <w:bCs/>
          <w:color w:val="000000"/>
          <w:sz w:val="32"/>
          <w:szCs w:val="32"/>
          <w:shd w:val="clear" w:color="auto" w:fill="FFFFFF"/>
        </w:rPr>
        <w:t>国有资产占用情况说明</w:t>
      </w:r>
    </w:p>
    <w:p>
      <w:pPr>
        <w:spacing w:before="100" w:beforeAutospacing="1" w:line="360" w:lineRule="auto"/>
        <w:ind w:left="528" w:leftChars="240" w:right="550" w:rightChars="25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截至202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12月31日，益阳市资阳区消防救援大队共有车辆7辆，其中：机要通信用车0辆、应急保障用车0辆、执法执勤用车2辆、特种专业技术用车3辆、其他用车2辆，其他用车主要是消防救援业务用车；单价50万元以上通用设备0台（套），单价100万以上的专用设备0（套）。</w:t>
      </w:r>
    </w:p>
    <w:p>
      <w:pPr>
        <w:spacing w:before="100" w:beforeAutospacing="1" w:line="360" w:lineRule="auto"/>
        <w:ind w:right="550" w:rightChars="250" w:firstLine="790" w:firstLineChars="246"/>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lang w:val="en-US"/>
        </w:rPr>
        <w:t>十一、</w:t>
      </w:r>
      <w:r>
        <w:rPr>
          <w:rFonts w:hint="eastAsia" w:ascii="仿宋" w:hAnsi="仿宋" w:eastAsia="仿宋" w:cs="仿宋"/>
          <w:b/>
          <w:bCs/>
          <w:color w:val="000000"/>
          <w:sz w:val="32"/>
          <w:szCs w:val="32"/>
          <w:shd w:val="clear" w:color="auto" w:fill="FFFFFF"/>
        </w:rPr>
        <w:t>预算绩效情况说明</w:t>
      </w:r>
    </w:p>
    <w:p>
      <w:pPr>
        <w:pStyle w:val="2"/>
        <w:spacing w:line="360" w:lineRule="auto"/>
        <w:ind w:left="528" w:leftChars="240" w:right="550" w:rightChars="250" w:firstLine="640"/>
        <w:rPr>
          <w:rFonts w:ascii="仿宋" w:hAnsi="仿宋" w:eastAsia="仿宋" w:cs="仿宋"/>
          <w:sz w:val="32"/>
          <w:szCs w:val="32"/>
        </w:rPr>
      </w:pP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rPr>
        <w:t>一</w:t>
      </w:r>
      <w:r>
        <w:rPr>
          <w:rFonts w:hint="eastAsia" w:ascii="仿宋" w:hAnsi="仿宋" w:eastAsia="仿宋" w:cs="仿宋"/>
          <w:color w:val="000000"/>
          <w:sz w:val="32"/>
          <w:szCs w:val="32"/>
          <w:shd w:val="clear" w:color="auto" w:fill="FFFFFF"/>
        </w:rPr>
        <w:t>）预算绩效管理工作开展情况</w:t>
      </w:r>
    </w:p>
    <w:p>
      <w:pPr>
        <w:pStyle w:val="2"/>
        <w:spacing w:line="360" w:lineRule="auto"/>
        <w:ind w:left="528" w:leftChars="240" w:right="550" w:rightChars="250" w:firstLine="64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shd w:val="clear" w:color="auto" w:fill="FFFFFF"/>
        </w:rPr>
        <w:t>根据预算绩效管理要求，我支队组织对202</w:t>
      </w:r>
      <w:r>
        <w:rPr>
          <w:rFonts w:hint="eastAsia" w:ascii="仿宋" w:hAnsi="仿宋" w:eastAsia="仿宋" w:cs="仿宋"/>
          <w:color w:val="000000"/>
          <w:sz w:val="32"/>
          <w:szCs w:val="32"/>
          <w:shd w:val="clear" w:color="auto" w:fill="FFFFFF"/>
          <w:lang w:val="en-US"/>
        </w:rPr>
        <w:t>2</w:t>
      </w:r>
      <w:r>
        <w:rPr>
          <w:rFonts w:hint="eastAsia" w:ascii="仿宋" w:hAnsi="仿宋" w:eastAsia="仿宋" w:cs="仿宋"/>
          <w:color w:val="000000"/>
          <w:sz w:val="32"/>
          <w:szCs w:val="32"/>
          <w:shd w:val="clear" w:color="auto" w:fill="FFFFFF"/>
        </w:rPr>
        <w:t>年度一般公共预算项目支出开展绩效自评，其中，一级项目1个，共涉及资金13.38万元，占</w:t>
      </w:r>
      <w:r>
        <w:rPr>
          <w:rFonts w:hint="eastAsia" w:ascii="仿宋" w:hAnsi="仿宋" w:eastAsia="仿宋" w:cs="仿宋"/>
          <w:color w:val="333333"/>
          <w:sz w:val="32"/>
          <w:szCs w:val="32"/>
          <w:shd w:val="clear" w:color="auto" w:fill="FFFFFF"/>
        </w:rPr>
        <w:t>一般公共预算项目支出总额的100%。</w:t>
      </w:r>
    </w:p>
    <w:p>
      <w:pPr>
        <w:pStyle w:val="2"/>
        <w:spacing w:line="360" w:lineRule="auto"/>
        <w:ind w:left="528" w:leftChars="240" w:right="550" w:rightChars="250" w:firstLine="643"/>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w:t>
      </w:r>
      <w:r>
        <w:rPr>
          <w:rFonts w:hint="eastAsia" w:ascii="仿宋" w:hAnsi="仿宋" w:eastAsia="仿宋" w:cs="仿宋"/>
          <w:b/>
          <w:bCs/>
          <w:color w:val="333333"/>
          <w:sz w:val="32"/>
          <w:szCs w:val="32"/>
          <w:shd w:val="clear" w:color="auto" w:fill="FFFFFF"/>
          <w:lang w:val="en-US"/>
        </w:rPr>
        <w:t>二</w:t>
      </w:r>
      <w:r>
        <w:rPr>
          <w:rFonts w:hint="eastAsia" w:ascii="仿宋" w:hAnsi="仿宋" w:eastAsia="仿宋" w:cs="仿宋"/>
          <w:b/>
          <w:bCs/>
          <w:color w:val="333333"/>
          <w:sz w:val="32"/>
          <w:szCs w:val="32"/>
          <w:shd w:val="clear" w:color="auto" w:fill="FFFFFF"/>
        </w:rPr>
        <w:t>）部门决算中项目绩效自评结果</w:t>
      </w:r>
    </w:p>
    <w:p>
      <w:pPr>
        <w:pStyle w:val="9"/>
        <w:widowControl/>
        <w:shd w:val="clear" w:color="auto" w:fill="FFFFFF"/>
        <w:spacing w:beforeAutospacing="0" w:afterAutospacing="0" w:line="360" w:lineRule="auto"/>
        <w:ind w:left="528" w:leftChars="240" w:right="550" w:rightChars="250" w:firstLine="640" w:firstLineChars="20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伙食费项目绩效自评综述：根据年初设定的绩效目标，项目自评得分在90分以上，评价等级为“优”。项目全年预算</w:t>
      </w:r>
      <w:r>
        <w:rPr>
          <w:rFonts w:hint="eastAsia" w:ascii="仿宋" w:hAnsi="仿宋" w:eastAsia="仿宋" w:cs="仿宋"/>
          <w:color w:val="000000"/>
          <w:sz w:val="32"/>
          <w:szCs w:val="32"/>
          <w:shd w:val="clear" w:color="auto" w:fill="FFFFFF"/>
          <w:lang w:val="zh-CN" w:bidi="zh-CN"/>
        </w:rPr>
        <w:t>数18.16万元，执行数为1</w:t>
      </w:r>
      <w:r>
        <w:rPr>
          <w:rFonts w:hint="eastAsia" w:ascii="仿宋" w:hAnsi="仿宋" w:eastAsia="仿宋" w:cs="仿宋"/>
          <w:color w:val="333333"/>
          <w:sz w:val="32"/>
          <w:szCs w:val="32"/>
          <w:shd w:val="clear" w:color="auto" w:fill="FFFFFF"/>
        </w:rPr>
        <w:t>5.06万元，完成预算的82.93%。</w:t>
      </w:r>
      <w:r>
        <w:rPr>
          <w:rFonts w:hint="eastAsia" w:ascii="仿宋" w:hAnsi="仿宋" w:eastAsia="仿宋" w:cs="仿宋"/>
          <w:b/>
          <w:bCs/>
          <w:color w:val="333333"/>
          <w:sz w:val="32"/>
          <w:szCs w:val="32"/>
          <w:shd w:val="clear" w:color="auto" w:fill="FFFFFF"/>
        </w:rPr>
        <w:t>项目绩效目标完成情况：</w:t>
      </w:r>
      <w:r>
        <w:rPr>
          <w:rFonts w:hint="eastAsia" w:ascii="仿宋" w:hAnsi="仿宋" w:eastAsia="仿宋" w:cs="仿宋"/>
          <w:color w:val="333333"/>
          <w:sz w:val="32"/>
          <w:szCs w:val="32"/>
          <w:shd w:val="clear" w:color="auto" w:fill="FFFFFF"/>
        </w:rPr>
        <w:t>按人员实力和伙食费补助标准，保障了消防救援人员饮食需要。</w:t>
      </w:r>
    </w:p>
    <w:p>
      <w:pPr>
        <w:pStyle w:val="9"/>
        <w:widowControl/>
        <w:shd w:val="clear" w:color="auto" w:fill="FFFFFF"/>
        <w:spacing w:beforeAutospacing="0" w:afterAutospacing="0" w:line="360" w:lineRule="auto"/>
        <w:ind w:firstLine="420" w:firstLineChars="200"/>
        <w:jc w:val="both"/>
        <w:rPr>
          <w:rFonts w:ascii="仿宋" w:hAnsi="仿宋" w:eastAsia="仿宋" w:cs="仿宋"/>
          <w:color w:val="333333"/>
          <w:sz w:val="21"/>
          <w:szCs w:val="21"/>
        </w:rPr>
      </w:pPr>
      <w:r>
        <w:rPr>
          <w:rFonts w:hint="eastAsia" w:ascii="仿宋" w:hAnsi="仿宋" w:eastAsia="仿宋" w:cs="仿宋"/>
          <w:color w:val="333333"/>
          <w:sz w:val="21"/>
          <w:szCs w:val="21"/>
          <w:shd w:val="clear" w:color="auto" w:fill="FFFFFF"/>
        </w:rPr>
        <w:t> </w:t>
      </w:r>
    </w:p>
    <w:p>
      <w:pPr>
        <w:pStyle w:val="2"/>
        <w:ind w:firstLine="0" w:firstLineChars="0"/>
        <w:rPr>
          <w:rFonts w:ascii="方正楷体_GBK" w:hAnsi="方正楷体_GBK" w:eastAsia="方正楷体_GBK" w:cs="方正楷体_GBK"/>
          <w:b/>
          <w:bCs/>
          <w:color w:val="333333"/>
          <w:sz w:val="32"/>
          <w:szCs w:val="32"/>
          <w:shd w:val="clear" w:color="auto" w:fill="FFFFFF"/>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sectPr>
          <w:footerReference r:id="rId14" w:type="default"/>
          <w:pgSz w:w="11907" w:h="16840"/>
          <w:pgMar w:top="400" w:right="1226" w:bottom="1138" w:left="1459" w:header="0" w:footer="850" w:gutter="0"/>
          <w:cols w:space="720" w:num="1"/>
        </w:sectPr>
      </w:pPr>
    </w:p>
    <w:p>
      <w:pPr>
        <w:pStyle w:val="5"/>
        <w:rPr>
          <w:sz w:val="20"/>
        </w:rPr>
      </w:pPr>
      <w:r>
        <mc:AlternateContent>
          <mc:Choice Requires="wpg">
            <w:drawing>
              <wp:anchor distT="0" distB="0" distL="114300" distR="114300" simplePos="0" relativeHeight="251662336" behindDoc="1" locked="0" layoutInCell="1" allowOverlap="1">
                <wp:simplePos x="0" y="0"/>
                <wp:positionH relativeFrom="page">
                  <wp:posOffset>38100</wp:posOffset>
                </wp:positionH>
                <wp:positionV relativeFrom="page">
                  <wp:posOffset>-38100</wp:posOffset>
                </wp:positionV>
                <wp:extent cx="7568565" cy="10692130"/>
                <wp:effectExtent l="0" t="0" r="0" b="0"/>
                <wp:wrapNone/>
                <wp:docPr id="27" name="组合 3"/>
                <wp:cNvGraphicFramePr/>
                <a:graphic xmlns:a="http://schemas.openxmlformats.org/drawingml/2006/main">
                  <a:graphicData uri="http://schemas.microsoft.com/office/word/2010/wordprocessingGroup">
                    <wpg:wgp>
                      <wpg:cNvGrpSpPr/>
                      <wpg:grpSpPr>
                        <a:xfrm>
                          <a:off x="0" y="0"/>
                          <a:ext cx="7568565" cy="10692130"/>
                          <a:chOff x="0" y="0"/>
                          <a:chExt cx="11709" cy="0"/>
                        </a:xfrm>
                      </wpg:grpSpPr>
                      <wps:wsp>
                        <wps:cNvPr id="19" name="直线 11"/>
                        <wps:cNvSpPr/>
                        <wps:spPr>
                          <a:xfrm>
                            <a:off x="6405" y="0"/>
                            <a:ext cx="0" cy="7231"/>
                          </a:xfrm>
                          <a:prstGeom prst="line">
                            <a:avLst/>
                          </a:prstGeom>
                          <a:ln w="46912" cap="flat" cmpd="sng">
                            <a:solidFill>
                              <a:srgbClr val="CCCC00"/>
                            </a:solidFill>
                            <a:prstDash val="solid"/>
                            <a:headEnd type="none" w="med" len="med"/>
                            <a:tailEnd type="none" w="med" len="med"/>
                          </a:ln>
                        </wps:spPr>
                        <wps:bodyPr upright="1"/>
                      </wps:wsp>
                      <wps:wsp>
                        <wps:cNvPr id="20" name="直线 10"/>
                        <wps:cNvSpPr/>
                        <wps:spPr>
                          <a:xfrm>
                            <a:off x="6287" y="0"/>
                            <a:ext cx="0" cy="7231"/>
                          </a:xfrm>
                          <a:prstGeom prst="line">
                            <a:avLst/>
                          </a:prstGeom>
                          <a:ln w="19323" cap="flat" cmpd="sng">
                            <a:solidFill>
                              <a:srgbClr val="CCCC00"/>
                            </a:solidFill>
                            <a:prstDash val="solid"/>
                            <a:headEnd type="none" w="med" len="med"/>
                            <a:tailEnd type="none" w="med" len="med"/>
                          </a:ln>
                        </wps:spPr>
                        <wps:bodyPr upright="1"/>
                      </wps:wsp>
                      <wps:wsp>
                        <wps:cNvPr id="21" name="直线 9"/>
                        <wps:cNvSpPr/>
                        <wps:spPr>
                          <a:xfrm>
                            <a:off x="6525" y="0"/>
                            <a:ext cx="0" cy="7231"/>
                          </a:xfrm>
                          <a:prstGeom prst="line">
                            <a:avLst/>
                          </a:prstGeom>
                          <a:ln w="50020" cap="flat" cmpd="sng">
                            <a:solidFill>
                              <a:srgbClr val="CCCC00"/>
                            </a:solidFill>
                            <a:prstDash val="solid"/>
                            <a:headEnd type="none" w="med" len="med"/>
                            <a:tailEnd type="none" w="med" len="med"/>
                          </a:ln>
                        </wps:spPr>
                        <wps:bodyPr upright="1"/>
                      </wps:wsp>
                      <wps:wsp>
                        <wps:cNvPr id="22" name="直线 8"/>
                        <wps:cNvSpPr/>
                        <wps:spPr>
                          <a:xfrm>
                            <a:off x="6405" y="10819"/>
                            <a:ext cx="0" cy="6019"/>
                          </a:xfrm>
                          <a:prstGeom prst="line">
                            <a:avLst/>
                          </a:prstGeom>
                          <a:ln w="46912" cap="flat" cmpd="sng">
                            <a:solidFill>
                              <a:srgbClr val="CCCC00"/>
                            </a:solidFill>
                            <a:prstDash val="solid"/>
                            <a:headEnd type="none" w="med" len="med"/>
                            <a:tailEnd type="none" w="med" len="med"/>
                          </a:ln>
                        </wps:spPr>
                        <wps:bodyPr upright="1"/>
                      </wps:wsp>
                      <wps:wsp>
                        <wps:cNvPr id="23" name="直线 7"/>
                        <wps:cNvSpPr/>
                        <wps:spPr>
                          <a:xfrm>
                            <a:off x="6287" y="10819"/>
                            <a:ext cx="0" cy="6019"/>
                          </a:xfrm>
                          <a:prstGeom prst="line">
                            <a:avLst/>
                          </a:prstGeom>
                          <a:ln w="19323" cap="flat" cmpd="sng">
                            <a:solidFill>
                              <a:srgbClr val="CCCC00"/>
                            </a:solidFill>
                            <a:prstDash val="solid"/>
                            <a:headEnd type="none" w="med" len="med"/>
                            <a:tailEnd type="none" w="med" len="med"/>
                          </a:ln>
                        </wps:spPr>
                        <wps:bodyPr upright="1"/>
                      </wps:wsp>
                      <wps:wsp>
                        <wps:cNvPr id="24" name="直线 6"/>
                        <wps:cNvSpPr/>
                        <wps:spPr>
                          <a:xfrm>
                            <a:off x="6525" y="10819"/>
                            <a:ext cx="0" cy="6019"/>
                          </a:xfrm>
                          <a:prstGeom prst="line">
                            <a:avLst/>
                          </a:prstGeom>
                          <a:ln w="50020" cap="flat" cmpd="sng">
                            <a:solidFill>
                              <a:srgbClr val="CCCC00"/>
                            </a:solidFill>
                            <a:prstDash val="solid"/>
                            <a:headEnd type="none" w="med" len="med"/>
                            <a:tailEnd type="none" w="med" len="med"/>
                          </a:ln>
                        </wps:spPr>
                        <wps:bodyPr upright="1"/>
                      </wps:wsp>
                      <wps:wsp>
                        <wps:cNvPr id="25" name="矩形 5"/>
                        <wps:cNvSpPr/>
                        <wps:spPr>
                          <a:xfrm>
                            <a:off x="0" y="7231"/>
                            <a:ext cx="11700" cy="3588"/>
                          </a:xfrm>
                          <a:prstGeom prst="rect">
                            <a:avLst/>
                          </a:prstGeom>
                          <a:solidFill>
                            <a:srgbClr val="558ED5"/>
                          </a:solidFill>
                          <a:ln>
                            <a:noFill/>
                          </a:ln>
                        </wps:spPr>
                        <wps:bodyPr upright="1"/>
                      </wps:wsp>
                      <wps:wsp>
                        <wps:cNvPr id="26" name="自选图形 4"/>
                        <wps:cNvSpPr/>
                        <wps:spPr>
                          <a:xfrm>
                            <a:off x="0" y="7224"/>
                            <a:ext cx="11709" cy="3603"/>
                          </a:xfrm>
                          <a:custGeom>
                            <a:avLst/>
                            <a:gdLst>
                              <a:gd name="A1" fmla="val 0"/>
                              <a:gd name="A2" fmla="val 0"/>
                              <a:gd name="A3" fmla="val 0"/>
                            </a:gdLst>
                            <a:ahLst/>
                            <a:cxnLst/>
                            <a:pathLst>
                              <a:path w="11709" h="3603">
                                <a:moveTo>
                                  <a:pt x="11694" y="15"/>
                                </a:moveTo>
                                <a:lnTo>
                                  <a:pt x="0" y="15"/>
                                </a:lnTo>
                                <a:lnTo>
                                  <a:pt x="0" y="0"/>
                                </a:lnTo>
                                <a:lnTo>
                                  <a:pt x="11709" y="0"/>
                                </a:lnTo>
                                <a:lnTo>
                                  <a:pt x="11709" y="7"/>
                                </a:lnTo>
                                <a:lnTo>
                                  <a:pt x="11694" y="7"/>
                                </a:lnTo>
                                <a:lnTo>
                                  <a:pt x="11694" y="15"/>
                                </a:lnTo>
                                <a:close/>
                                <a:moveTo>
                                  <a:pt x="11694" y="3595"/>
                                </a:moveTo>
                                <a:lnTo>
                                  <a:pt x="11694" y="7"/>
                                </a:lnTo>
                                <a:lnTo>
                                  <a:pt x="11701" y="15"/>
                                </a:lnTo>
                                <a:lnTo>
                                  <a:pt x="11709" y="15"/>
                                </a:lnTo>
                                <a:lnTo>
                                  <a:pt x="11709" y="3588"/>
                                </a:lnTo>
                                <a:lnTo>
                                  <a:pt x="11701" y="3588"/>
                                </a:lnTo>
                                <a:lnTo>
                                  <a:pt x="11694" y="3595"/>
                                </a:lnTo>
                                <a:close/>
                                <a:moveTo>
                                  <a:pt x="11709" y="15"/>
                                </a:moveTo>
                                <a:lnTo>
                                  <a:pt x="11701" y="15"/>
                                </a:lnTo>
                                <a:lnTo>
                                  <a:pt x="11694" y="7"/>
                                </a:lnTo>
                                <a:lnTo>
                                  <a:pt x="11709" y="7"/>
                                </a:lnTo>
                                <a:lnTo>
                                  <a:pt x="11709" y="15"/>
                                </a:lnTo>
                                <a:close/>
                                <a:moveTo>
                                  <a:pt x="11709" y="3603"/>
                                </a:moveTo>
                                <a:lnTo>
                                  <a:pt x="0" y="3603"/>
                                </a:lnTo>
                                <a:lnTo>
                                  <a:pt x="0" y="3588"/>
                                </a:lnTo>
                                <a:lnTo>
                                  <a:pt x="11694" y="3588"/>
                                </a:lnTo>
                                <a:lnTo>
                                  <a:pt x="11694" y="3595"/>
                                </a:lnTo>
                                <a:lnTo>
                                  <a:pt x="11709" y="3595"/>
                                </a:lnTo>
                                <a:lnTo>
                                  <a:pt x="11709" y="3603"/>
                                </a:lnTo>
                                <a:close/>
                                <a:moveTo>
                                  <a:pt x="11709" y="3595"/>
                                </a:moveTo>
                                <a:lnTo>
                                  <a:pt x="11694" y="3595"/>
                                </a:lnTo>
                                <a:lnTo>
                                  <a:pt x="11701" y="3588"/>
                                </a:lnTo>
                                <a:lnTo>
                                  <a:pt x="11709" y="3588"/>
                                </a:lnTo>
                                <a:lnTo>
                                  <a:pt x="11709" y="3595"/>
                                </a:lnTo>
                                <a:close/>
                              </a:path>
                            </a:pathLst>
                          </a:custGeom>
                          <a:solidFill>
                            <a:srgbClr val="000000"/>
                          </a:solidFill>
                          <a:ln>
                            <a:noFill/>
                          </a:ln>
                        </wps:spPr>
                        <wps:bodyPr upright="1"/>
                      </wps:wsp>
                    </wpg:wgp>
                  </a:graphicData>
                </a:graphic>
              </wp:anchor>
            </w:drawing>
          </mc:Choice>
          <mc:Fallback>
            <w:pict>
              <v:group id="组合 3" o:spid="_x0000_s1026" o:spt="203" style="position:absolute;left:0pt;margin-left:3pt;margin-top:-3pt;height:841.9pt;width:595.95pt;mso-position-horizontal-relative:page;mso-position-vertical-relative:page;z-index:-251654144;mso-width-relative:page;mso-height-relative:page;" coordsize="11709,-2147483648" o:gfxdata="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ztbC42gAAAAoBAAAPAAAAAAAAAAEAIAAAACIAAABkcnMvZG93bnJldi54bWxQ&#10;SwECFAAUAAAACACHTuJAyNKyFaEEAADhFwAADgAAAAAAAAABACAAAAApAQAAZHJzL2Uyb0RvYy54&#10;bWxQSwUGAAAAAAYABgBZAQAAPAgAAAAA&#10;">
                <o:lock v:ext="edit" aspectratio="f"/>
                <v:line id="直线 11" o:spid="_x0000_s1026" o:spt="20" style="position:absolute;left:6405;top:0;height:7231;width:0;" filled="f" stroked="t" coordsize="21600,21600" o:gfxdata="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gtxugAAANoA&#10;AAAPAAAAAAAAAAEAIAAAACIAAABkcnMvZG93bnJldi54bWxQSwECFAAUAAAACACHTuJAMy8FnjsA&#10;AAA5AAAAEAAAAAAAAAABACAAAAAJAQAAZHJzL3NoYXBleG1sLnhtbFBLBQYAAAAABgAGAFsBAACz&#10;AwAAAAA=&#10;">
                  <v:fill on="f" focussize="0,0"/>
                  <v:stroke weight="3.69385826771654pt" color="#CCCC00" joinstyle="round"/>
                  <v:imagedata o:title=""/>
                  <o:lock v:ext="edit" aspectratio="f"/>
                </v:line>
                <v:line id="直线 10" o:spid="_x0000_s1026" o:spt="20" style="position:absolute;left:6287;top:0;height:7231;width:0;" filled="f" stroked="t" coordsize="21600,21600" o:gfxdata="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Ly84ugAAANoA&#10;AAAPAAAAAAAAAAEAIAAAACIAAABkcnMvZG93bnJldi54bWxQSwECFAAUAAAACACHTuJAMy8FnjsA&#10;AAA5AAAAEAAAAAAAAAABACAAAAAJAQAAZHJzL3NoYXBleG1sLnhtbFBLBQYAAAAABgAGAFsBAACz&#10;AwAAAAA=&#10;">
                  <v:fill on="f" focussize="0,0"/>
                  <v:stroke weight="1.52149606299213pt" color="#CCCC00" joinstyle="round"/>
                  <v:imagedata o:title=""/>
                  <o:lock v:ext="edit" aspectratio="f"/>
                </v:line>
                <v:line id="直线 9" o:spid="_x0000_s1026" o:spt="20" style="position:absolute;left:6525;top:0;height:7231;width:0;" filled="f" stroked="t" coordsize="21600,21600" o:gfxdata="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amW5AAAA2gAA&#10;AA8AAAAAAAAAAQAgAAAAIgAAAGRycy9kb3ducmV2LnhtbFBLAQIUABQAAAAIAIdO4kAzLwWeOwAA&#10;ADkAAAAQAAAAAAAAAAEAIAAAAAgBAABkcnMvc2hhcGV4bWwueG1sUEsFBgAAAAAGAAYAWwEAALID&#10;AAAAAA==&#10;">
                  <v:fill on="f" focussize="0,0"/>
                  <v:stroke weight="3.93858267716535pt" color="#CCCC00" joinstyle="round"/>
                  <v:imagedata o:title=""/>
                  <o:lock v:ext="edit" aspectratio="f"/>
                </v:line>
                <v:line id="直线 8" o:spid="_x0000_s1026" o:spt="20" style="position:absolute;left:6405;top:10819;height:6019;width:0;" filled="f" stroked="t" coordsize="21600,21600" o:gfxdata="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o5MFugAAANoA&#10;AAAPAAAAAAAAAAEAIAAAACIAAABkcnMvZG93bnJldi54bWxQSwECFAAUAAAACACHTuJAMy8FnjsA&#10;AAA5AAAAEAAAAAAAAAABACAAAAAJAQAAZHJzL3NoYXBleG1sLnhtbFBLBQYAAAAABgAGAFsBAACz&#10;AwAAAAA=&#10;">
                  <v:fill on="f" focussize="0,0"/>
                  <v:stroke weight="3.69385826771654pt" color="#CCCC00" joinstyle="round"/>
                  <v:imagedata o:title=""/>
                  <o:lock v:ext="edit" aspectratio="f"/>
                </v:line>
                <v:line id="直线 7" o:spid="_x0000_s1026" o:spt="20" style="position:absolute;left:6287;top:10819;height:6019;width:0;" filled="f" stroked="t" coordsize="21600,21600" o:gfxdata="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MoLgAAADaAAAA&#10;DwAAAAAAAAABACAAAAAiAAAAZHJzL2Rvd25yZXYueG1sUEsBAhQAFAAAAAgAh07iQDMvBZ47AAAA&#10;OQAAABAAAAAAAAAAAQAgAAAABwEAAGRycy9zaGFwZXhtbC54bWxQSwUGAAAAAAYABgBbAQAAsQMA&#10;AAAA&#10;">
                  <v:fill on="f" focussize="0,0"/>
                  <v:stroke weight="1.52149606299213pt" color="#CCCC00" joinstyle="round"/>
                  <v:imagedata o:title=""/>
                  <o:lock v:ext="edit" aspectratio="f"/>
                </v:line>
                <v:line id="直线 6" o:spid="_x0000_s1026" o:spt="20" style="position:absolute;left:6525;top:10819;height:6019;width:0;" filled="f" stroked="t" coordsize="21600,21600" o:gfxdata="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s9BK5AAAA2gAA&#10;AA8AAAAAAAAAAQAgAAAAIgAAAGRycy9kb3ducmV2LnhtbFBLAQIUABQAAAAIAIdO4kAzLwWeOwAA&#10;ADkAAAAQAAAAAAAAAAEAIAAAAAgBAABkcnMvc2hhcGV4bWwueG1sUEsFBgAAAAAGAAYAWwEAALID&#10;AAAAAA==&#10;">
                  <v:fill on="f" focussize="0,0"/>
                  <v:stroke weight="3.93858267716535pt" color="#CCCC00" joinstyle="round"/>
                  <v:imagedata o:title=""/>
                  <o:lock v:ext="edit" aspectratio="f"/>
                </v:line>
                <v:rect id="矩形 5" o:spid="_x0000_s1026" o:spt="1" style="position:absolute;left:0;top:7231;height:3588;width:11700;" fillcolor="#558ED5" filled="t" stroked="f" coordsize="21600,21600" o:gfxdata="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nUhy5AAAA2gAA&#10;AA8AAAAAAAAAAQAgAAAAIgAAAGRycy9kb3ducmV2LnhtbFBLAQIUABQAAAAIAIdO4kAzLwWeOwAA&#10;ADkAAAAQAAAAAAAAAAEAIAAAAAgBAABkcnMvc2hhcGV4bWwueG1sUEsFBgAAAAAGAAYAWwEAALID&#10;AAAAAA==&#10;">
                  <v:fill on="t" focussize="0,0"/>
                  <v:stroke on="f"/>
                  <v:imagedata o:title=""/>
                  <o:lock v:ext="edit" aspectratio="f"/>
                </v:rect>
                <v:shape id="自选图形 4" o:spid="_x0000_s1026" o:spt="100" style="position:absolute;left:0;top:7224;height:3603;width:11709;" fillcolor="#000000" filled="t" stroked="f" coordsize="11709,3603" o:gfxdata="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55YL4A&#10;AADaAAAADwAAAAAAAAABACAAAAAiAAAAZHJzL2Rvd25yZXYueG1sUEsBAhQAFAAAAAgAh07iQDMv&#10;BZ47AAAAOQAAABAAAAAAAAAAAQAgAAAADQEAAGRycy9zaGFwZXhtbC54bWxQSwUGAAAAAAYABgBb&#10;AQAAtwMAAAAA&#10;" path="m11694,15l0,15,0,0,11709,0,11709,7,11694,7,11694,15xm11694,3595l11694,7,11701,15,11709,15,11709,3588,11701,3588,11694,3595xm11709,15l11701,15,11694,7,11709,7,11709,15xm11709,3603l0,3603,0,3588,11694,3588,11694,3595,11709,3595,11709,3603xm11709,3595l11694,3595,11701,3588,11709,3588,11709,3595xe">
                  <v:path o:connecttype="segments"/>
                  <v:fill on="t" focussize="0,0"/>
                  <v:stroke on="f"/>
                  <v:imagedata o:title=""/>
                  <o:lock v:ext="edit" aspectratio="f"/>
                </v:shape>
              </v:group>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17"/>
        </w:rPr>
      </w:pPr>
    </w:p>
    <w:p>
      <w:pPr>
        <w:pStyle w:val="3"/>
        <w:spacing w:before="27"/>
        <w:ind w:left="812"/>
      </w:pPr>
      <w:r>
        <w:t>第四部分</w:t>
      </w:r>
      <w:r>
        <w:rPr>
          <w:rFonts w:hint="eastAsia"/>
        </w:rPr>
        <w:t>名词解释</w:t>
      </w:r>
    </w:p>
    <w:p>
      <w:pPr>
        <w:rPr>
          <w:rFonts w:ascii="黑体" w:eastAsia="黑体"/>
          <w:sz w:val="52"/>
        </w:rPr>
        <w:sectPr>
          <w:footerReference r:id="rId15" w:type="default"/>
          <w:pgSz w:w="11910" w:h="16840"/>
          <w:pgMar w:top="0" w:right="80" w:bottom="460" w:left="200" w:header="0" w:footer="850" w:gutter="0"/>
          <w:cols w:space="720" w:num="1"/>
        </w:sect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（一）一般公共预算财政拨款收入：</w:t>
      </w:r>
      <w:r>
        <w:rPr>
          <w:rFonts w:hint="eastAsia" w:ascii="仿宋" w:hAnsi="仿宋" w:eastAsia="仿宋" w:cs="仿宋"/>
          <w:color w:val="333333"/>
          <w:sz w:val="32"/>
          <w:szCs w:val="32"/>
          <w:shd w:val="clear" w:color="auto" w:fill="FFFFFF"/>
        </w:rPr>
        <w:t>指中央财政当年拨付的资金。</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（二）其他收入：</w:t>
      </w:r>
      <w:r>
        <w:rPr>
          <w:rFonts w:hint="eastAsia" w:ascii="仿宋" w:hAnsi="仿宋" w:eastAsia="仿宋" w:cs="仿宋"/>
          <w:color w:val="333333"/>
          <w:sz w:val="32"/>
          <w:szCs w:val="32"/>
          <w:shd w:val="clear" w:color="auto" w:fill="FFFFFF"/>
        </w:rPr>
        <w:t>指除 “一般公共预算财政拨款收入”、“事业收入”、“事业单位经营收入”等以外的收入。</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（三）年初结转和结余：</w:t>
      </w:r>
      <w:r>
        <w:rPr>
          <w:rFonts w:hint="eastAsia" w:ascii="仿宋" w:hAnsi="仿宋" w:eastAsia="仿宋" w:cs="仿宋"/>
          <w:color w:val="333333"/>
          <w:sz w:val="32"/>
          <w:szCs w:val="32"/>
          <w:shd w:val="clear" w:color="auto" w:fill="FFFFFF"/>
        </w:rPr>
        <w:t>指单位以前年度尚未完成、结转到本年按有关规定继续使用的资金。</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（四）住房保障支出（类）住房改革支出（款）住房公积金（项）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（五）住房保障支出（类）住房改革支出（款）购房补贴（项）</w:t>
      </w:r>
      <w:r>
        <w:rPr>
          <w:rFonts w:hint="eastAsia" w:ascii="仿宋" w:hAnsi="仿宋" w:eastAsia="仿宋" w:cs="仿宋"/>
          <w:color w:val="333333"/>
          <w:sz w:val="32"/>
          <w:szCs w:val="32"/>
          <w:shd w:val="clear" w:color="auto" w:fill="FFFFFF"/>
        </w:rPr>
        <w:t>：反映按房改政策规定，行政事业单位向符合条件职工（含离退休人员）发放的用于购买住房的补贴。</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（六）灾害防治及应急管理支出（类）消防事务（款）行政运行（项）</w:t>
      </w:r>
      <w:r>
        <w:rPr>
          <w:rFonts w:hint="eastAsia" w:ascii="仿宋" w:hAnsi="仿宋" w:eastAsia="仿宋" w:cs="仿宋"/>
          <w:color w:val="333333"/>
          <w:sz w:val="32"/>
          <w:szCs w:val="32"/>
          <w:shd w:val="clear" w:color="auto" w:fill="FFFFFF"/>
        </w:rPr>
        <w:t>：指消防救援局及所属消防救援队伍用于保障机构正常运行、开展日常工作的基本支出。</w:t>
      </w:r>
    </w:p>
    <w:p>
      <w:pPr>
        <w:pStyle w:val="9"/>
        <w:widowControl/>
        <w:spacing w:beforeAutospacing="0" w:afterAutospacing="0" w:line="360" w:lineRule="auto"/>
        <w:ind w:left="1100" w:leftChars="500" w:right="1100" w:rightChars="500" w:firstLine="643" w:firstLineChars="200"/>
        <w:jc w:val="both"/>
        <w:rPr>
          <w:rFonts w:hint="eastAsia" w:ascii="仿宋" w:hAnsi="仿宋" w:eastAsia="仿宋" w:cs="仿宋"/>
          <w:color w:val="333333"/>
          <w:sz w:val="32"/>
          <w:szCs w:val="32"/>
          <w:shd w:val="clear" w:color="auto" w:fill="FFFFFF"/>
          <w:lang w:eastAsia="zh-CN"/>
        </w:rPr>
      </w:pPr>
      <w:r>
        <w:rPr>
          <w:rFonts w:hint="eastAsia" w:ascii="仿宋" w:hAnsi="仿宋" w:eastAsia="仿宋" w:cs="仿宋"/>
          <w:b/>
          <w:bCs/>
          <w:color w:val="333333"/>
          <w:sz w:val="32"/>
          <w:szCs w:val="32"/>
          <w:shd w:val="clear" w:color="auto" w:fill="FFFFFF"/>
        </w:rPr>
        <w:t>（七）灾害防治及应急管理支出（类）消防事务（款）消防应急救援（项）</w:t>
      </w:r>
      <w:r>
        <w:rPr>
          <w:rFonts w:hint="eastAsia" w:ascii="仿宋" w:hAnsi="仿宋" w:eastAsia="仿宋" w:cs="仿宋"/>
          <w:color w:val="333333"/>
          <w:sz w:val="32"/>
          <w:szCs w:val="32"/>
          <w:shd w:val="clear" w:color="auto" w:fill="FFFFFF"/>
        </w:rPr>
        <w:t>：指消防救援局开展消防应急救援方面的支出。</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（八）灾害防治及应急管理支出（类）消防事务（款）其他消防事务支出（项）</w:t>
      </w:r>
      <w:r>
        <w:rPr>
          <w:rFonts w:hint="eastAsia" w:ascii="仿宋" w:hAnsi="仿宋" w:eastAsia="仿宋" w:cs="仿宋"/>
          <w:color w:val="333333"/>
          <w:sz w:val="32"/>
          <w:szCs w:val="32"/>
          <w:shd w:val="clear" w:color="auto" w:fill="FFFFFF"/>
        </w:rPr>
        <w:t>：指消防救援局部门机动费项目支出及消防产品合格评定中心的各项支出。</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（九）年末结转和结余：</w:t>
      </w:r>
      <w:r>
        <w:rPr>
          <w:rFonts w:hint="eastAsia" w:ascii="仿宋" w:hAnsi="仿宋" w:eastAsia="仿宋" w:cs="仿宋"/>
          <w:color w:val="333333"/>
          <w:sz w:val="32"/>
          <w:szCs w:val="32"/>
          <w:shd w:val="clear" w:color="auto" w:fill="FFFFFF"/>
        </w:rPr>
        <w:t>指单位本年度或以前年度预算安排、因客观条件发生变化未全部执行或未执行，结转到以后年度继续使用的资金，或项目已完成等产生的结余资金。</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b/>
          <w:bCs/>
          <w:color w:val="333333"/>
          <w:sz w:val="32"/>
          <w:szCs w:val="32"/>
          <w:shd w:val="clear" w:color="auto" w:fill="FFFFFF"/>
        </w:rPr>
      </w:pP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（十）基本支出：</w:t>
      </w:r>
      <w:r>
        <w:rPr>
          <w:rFonts w:hint="eastAsia" w:ascii="仿宋" w:hAnsi="仿宋" w:eastAsia="仿宋" w:cs="仿宋"/>
          <w:color w:val="333333"/>
          <w:sz w:val="32"/>
          <w:szCs w:val="32"/>
          <w:shd w:val="clear" w:color="auto" w:fill="FFFFFF"/>
        </w:rPr>
        <w:t>指为保障机构正常运转、完成日常工作任务而发生的人员支出和公用支出。</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（十一）项目支出：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（十二）“三公”经费：</w:t>
      </w:r>
      <w:r>
        <w:rPr>
          <w:rFonts w:hint="eastAsia" w:ascii="仿宋" w:hAnsi="仿宋" w:eastAsia="仿宋" w:cs="仿宋"/>
          <w:color w:val="333333"/>
          <w:sz w:val="32"/>
          <w:szCs w:val="32"/>
          <w:shd w:val="clear" w:color="auto"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widowControl/>
        <w:spacing w:beforeAutospacing="0" w:afterAutospacing="0" w:line="360" w:lineRule="auto"/>
        <w:ind w:left="1100" w:leftChars="500" w:right="1100" w:rightChars="500"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（十三）机关运行经费：</w:t>
      </w:r>
      <w:r>
        <w:rPr>
          <w:rFonts w:hint="eastAsia" w:ascii="仿宋" w:hAnsi="仿宋" w:eastAsia="仿宋" w:cs="仿宋"/>
          <w:color w:val="333333"/>
          <w:sz w:val="32"/>
          <w:szCs w:val="32"/>
          <w:shd w:val="clear" w:color="auto" w:fill="FFFFFF"/>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spacing w:line="360" w:lineRule="auto"/>
        <w:ind w:firstLine="640" w:firstLineChars="200"/>
        <w:rPr>
          <w:rFonts w:ascii="仿宋" w:hAnsi="仿宋" w:eastAsia="仿宋" w:cs="仿宋"/>
        </w:rPr>
      </w:pPr>
    </w:p>
    <w:p>
      <w:pPr>
        <w:pStyle w:val="5"/>
        <w:spacing w:line="360" w:lineRule="auto"/>
        <w:ind w:firstLine="640" w:firstLineChars="200"/>
        <w:rPr>
          <w:rFonts w:ascii="仿宋" w:hAnsi="仿宋" w:eastAsia="仿宋" w:cs="仿宋"/>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sectPr>
          <w:footerReference r:id="rId16" w:type="default"/>
          <w:pgSz w:w="11910" w:h="16840"/>
          <w:pgMar w:top="0" w:right="80" w:bottom="460" w:left="200" w:header="0" w:footer="85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17"/>
        </w:rPr>
      </w:pPr>
    </w:p>
    <w:p>
      <w:pPr>
        <w:pStyle w:val="3"/>
        <w:spacing w:before="27"/>
        <w:ind w:right="8723"/>
        <w:jc w:val="right"/>
      </w:pPr>
      <w:r>
        <w:rPr>
          <w:color w:val="FFFFFF"/>
          <w:w w:val="95"/>
        </w:rPr>
        <w:t>第五部分</w:t>
      </w:r>
    </w:p>
    <w:p>
      <w:pPr>
        <w:spacing w:before="270"/>
        <w:ind w:right="8718"/>
        <w:jc w:val="right"/>
        <w:rPr>
          <w:rFonts w:ascii="黑体" w:eastAsia="黑体"/>
          <w:b/>
          <w:sz w:val="52"/>
        </w:rPr>
      </w:pPr>
      <w:r>
        <w:rPr>
          <w:rFonts w:hint="eastAsia" w:ascii="黑体" w:eastAsia="黑体"/>
          <w:b/>
          <w:color w:val="FFFFFF"/>
          <w:w w:val="95"/>
          <w:sz w:val="52"/>
        </w:rPr>
        <w:t>附件</w:t>
      </w:r>
    </w:p>
    <w:p>
      <w:pPr>
        <w:jc w:val="right"/>
        <w:rPr>
          <w:rFonts w:ascii="黑体" w:eastAsia="黑体"/>
          <w:sz w:val="52"/>
        </w:rPr>
        <w:sectPr>
          <w:footerReference r:id="rId17" w:type="default"/>
          <w:pgSz w:w="11910" w:h="16840"/>
          <w:pgMar w:top="0" w:right="80" w:bottom="460" w:left="200" w:header="0" w:footer="850" w:gutter="0"/>
          <w:cols w:space="720" w:num="1"/>
        </w:sectPr>
      </w:pPr>
    </w:p>
    <w:p>
      <w:pPr>
        <w:pStyle w:val="5"/>
        <w:ind w:left="1208"/>
        <w:rPr>
          <w:rFonts w:ascii="黑体"/>
          <w:sz w:val="20"/>
        </w:rPr>
      </w:pPr>
    </w:p>
    <w:p>
      <w:pPr>
        <w:pStyle w:val="5"/>
        <w:ind w:left="1237"/>
        <w:rPr>
          <w:rFonts w:ascii="黑体"/>
          <w:sz w:val="20"/>
        </w:rPr>
      </w:pPr>
    </w:p>
    <w:p/>
    <w:sectPr>
      <w:footerReference r:id="rId18" w:type="default"/>
      <w:pgSz w:w="11910" w:h="16840"/>
      <w:pgMar w:top="1520" w:right="80" w:bottom="380" w:left="200" w:header="0" w:footer="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EBE38-1808-45E6-9A56-964F6CFF8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0D40B9B6-1CA8-40FA-9EE7-86AC6382A410}"/>
  </w:font>
  <w:font w:name="Arial">
    <w:panose1 w:val="020B0604020202020204"/>
    <w:charset w:val="00"/>
    <w:family w:val="swiss"/>
    <w:pitch w:val="default"/>
    <w:sig w:usb0="E0002EFF" w:usb1="C000785B"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800002BF" w:usb1="38CF7CFA" w:usb2="00000016" w:usb3="00000000" w:csb0="00040000" w:csb1="00000000"/>
    <w:embedRegular r:id="rId3" w:fontKey="{4988B6D5-1856-498E-84FF-C336A9A3E3EB}"/>
  </w:font>
  <w:font w:name="方正仿宋_GBK">
    <w:altName w:val="微软雅黑"/>
    <w:panose1 w:val="03000509000000000000"/>
    <w:charset w:val="86"/>
    <w:family w:val="script"/>
    <w:pitch w:val="default"/>
    <w:sig w:usb0="00000000" w:usb1="00000000" w:usb2="00000010" w:usb3="00000000" w:csb0="00040000" w:csb1="00000000"/>
    <w:embedRegular r:id="rId4" w:fontKey="{A5DC9332-8156-43EF-BE69-56AC5FBD14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3149600</wp:posOffset>
              </wp:positionH>
              <wp:positionV relativeFrom="paragraph">
                <wp:posOffset>0</wp:posOffset>
              </wp:positionV>
              <wp:extent cx="881380" cy="2222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881380" cy="222250"/>
                      </a:xfrm>
                      <a:prstGeom prst="rect">
                        <a:avLst/>
                      </a:prstGeom>
                      <a:noFill/>
                      <a:ln w="6350">
                        <a:noFill/>
                      </a:ln>
                      <a:effectLst/>
                    </wps:spPr>
                    <wps:txbx>
                      <w:txbxContent>
                        <w:p>
                          <w:pPr>
                            <w:pStyle w:val="7"/>
                            <w:jc w:val="center"/>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pt;margin-top:0pt;height:17.5pt;width:69.4pt;mso-position-horizontal-relative:margin;z-index:251662336;mso-width-relative:page;mso-height-relative:page;" filled="f" stroked="f" coordsize="21600,21600" o:gfxdata="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X7LXXAAAABwEAAA8AAAAAAAAAAQAgAAAAIgAAAGRycy9k&#10;b3ducmV2LnhtbFBLAQIUABQAAAAIAIdO4kBhr4x1PAIAAHEEAAAOAAAAAAAAAAEAIAAAACYBAABk&#10;cnMvZTJvRG9jLnhtbFBLBQYAAAAABgAGAFkBAADUBQAAAAA=&#10;">
              <v:fill on="f" focussize="0,0"/>
              <v:stroke on="f" weight="0.5pt"/>
              <v:imagedata o:title=""/>
              <o:lock v:ext="edit" aspectratio="f"/>
              <v:textbox inset="0mm,0mm,0mm,0mm">
                <w:txbxContent>
                  <w:p>
                    <w:pPr>
                      <w:pStyle w:val="7"/>
                      <w:jc w:val="center"/>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7BDF"/>
    <w:multiLevelType w:val="singleLevel"/>
    <w:tmpl w:val="80B97BDF"/>
    <w:lvl w:ilvl="0" w:tentative="0">
      <w:start w:val="3"/>
      <w:numFmt w:val="chineseCounting"/>
      <w:suff w:val="space"/>
      <w:lvlText w:val="第%1部分"/>
      <w:lvlJc w:val="left"/>
      <w:rPr>
        <w:rFonts w:hint="eastAsia" w:ascii="仿宋" w:hAnsi="仿宋" w:eastAsia="仿宋" w:cs="仿宋"/>
      </w:rPr>
    </w:lvl>
  </w:abstractNum>
  <w:abstractNum w:abstractNumId="1">
    <w:nsid w:val="6E7BD235"/>
    <w:multiLevelType w:val="singleLevel"/>
    <w:tmpl w:val="6E7BD2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OTNkOTM4MDgyNGY5Njc2MDllODNjOTU2ZjJhN2EifQ=="/>
  </w:docVars>
  <w:rsids>
    <w:rsidRoot w:val="362D1290"/>
    <w:rsid w:val="00013024"/>
    <w:rsid w:val="00024355"/>
    <w:rsid w:val="000270A3"/>
    <w:rsid w:val="00180E6D"/>
    <w:rsid w:val="002D7183"/>
    <w:rsid w:val="003A6B66"/>
    <w:rsid w:val="003F5286"/>
    <w:rsid w:val="00457968"/>
    <w:rsid w:val="00472C6D"/>
    <w:rsid w:val="005D4D38"/>
    <w:rsid w:val="005E3312"/>
    <w:rsid w:val="005F2624"/>
    <w:rsid w:val="006C29C9"/>
    <w:rsid w:val="007B0CFE"/>
    <w:rsid w:val="008431F8"/>
    <w:rsid w:val="00AE5B4F"/>
    <w:rsid w:val="00C71B30"/>
    <w:rsid w:val="00CD767A"/>
    <w:rsid w:val="00D22661"/>
    <w:rsid w:val="00EB112E"/>
    <w:rsid w:val="00EC227D"/>
    <w:rsid w:val="00F54532"/>
    <w:rsid w:val="018F033A"/>
    <w:rsid w:val="01C278D8"/>
    <w:rsid w:val="02922A4D"/>
    <w:rsid w:val="02C5158A"/>
    <w:rsid w:val="03055BB7"/>
    <w:rsid w:val="059365E3"/>
    <w:rsid w:val="05E53182"/>
    <w:rsid w:val="07545501"/>
    <w:rsid w:val="07956256"/>
    <w:rsid w:val="07CB1A5D"/>
    <w:rsid w:val="08D37B58"/>
    <w:rsid w:val="08FC0DBE"/>
    <w:rsid w:val="0D9128E3"/>
    <w:rsid w:val="0DC9777B"/>
    <w:rsid w:val="0DFE22CC"/>
    <w:rsid w:val="0E370932"/>
    <w:rsid w:val="0EA4142C"/>
    <w:rsid w:val="104A62CD"/>
    <w:rsid w:val="10606175"/>
    <w:rsid w:val="10BD75CA"/>
    <w:rsid w:val="10F44B0F"/>
    <w:rsid w:val="125C296C"/>
    <w:rsid w:val="1389504F"/>
    <w:rsid w:val="13DF2341"/>
    <w:rsid w:val="144009DA"/>
    <w:rsid w:val="14D37974"/>
    <w:rsid w:val="17151BA7"/>
    <w:rsid w:val="18B4033E"/>
    <w:rsid w:val="19290DD7"/>
    <w:rsid w:val="19DC5727"/>
    <w:rsid w:val="1AF51F81"/>
    <w:rsid w:val="1B62302A"/>
    <w:rsid w:val="1F8D239D"/>
    <w:rsid w:val="21772DED"/>
    <w:rsid w:val="222409A4"/>
    <w:rsid w:val="2309269C"/>
    <w:rsid w:val="23890C21"/>
    <w:rsid w:val="24045FBC"/>
    <w:rsid w:val="252437BD"/>
    <w:rsid w:val="275E7D9C"/>
    <w:rsid w:val="292B522B"/>
    <w:rsid w:val="298D77EB"/>
    <w:rsid w:val="29AC1FD3"/>
    <w:rsid w:val="2A147A70"/>
    <w:rsid w:val="2C451D70"/>
    <w:rsid w:val="2D0E3070"/>
    <w:rsid w:val="2D917311"/>
    <w:rsid w:val="2D9D235F"/>
    <w:rsid w:val="2DC23B73"/>
    <w:rsid w:val="2E5D1AEE"/>
    <w:rsid w:val="2FBF7622"/>
    <w:rsid w:val="303B3A72"/>
    <w:rsid w:val="30CC0B25"/>
    <w:rsid w:val="31781509"/>
    <w:rsid w:val="32295758"/>
    <w:rsid w:val="32B26706"/>
    <w:rsid w:val="32B344C4"/>
    <w:rsid w:val="338D4C23"/>
    <w:rsid w:val="33D235E5"/>
    <w:rsid w:val="33EF74C0"/>
    <w:rsid w:val="357C6CFE"/>
    <w:rsid w:val="35A8164D"/>
    <w:rsid w:val="362D1290"/>
    <w:rsid w:val="36656148"/>
    <w:rsid w:val="372E28CC"/>
    <w:rsid w:val="386F2B4A"/>
    <w:rsid w:val="39325139"/>
    <w:rsid w:val="3AC718A3"/>
    <w:rsid w:val="3B677B08"/>
    <w:rsid w:val="3C074E47"/>
    <w:rsid w:val="3C0E5A19"/>
    <w:rsid w:val="3C7D075B"/>
    <w:rsid w:val="3D2B309D"/>
    <w:rsid w:val="3D400C0A"/>
    <w:rsid w:val="3DDE560B"/>
    <w:rsid w:val="3E330175"/>
    <w:rsid w:val="3E934A3B"/>
    <w:rsid w:val="3F3C2F6F"/>
    <w:rsid w:val="3F841CC1"/>
    <w:rsid w:val="3FAA4D0F"/>
    <w:rsid w:val="43357C9D"/>
    <w:rsid w:val="44043E2E"/>
    <w:rsid w:val="44971C39"/>
    <w:rsid w:val="45576E3F"/>
    <w:rsid w:val="4B0D6B9A"/>
    <w:rsid w:val="4D3A32CE"/>
    <w:rsid w:val="4E1B47BC"/>
    <w:rsid w:val="4E9A5207"/>
    <w:rsid w:val="4F380341"/>
    <w:rsid w:val="4F653101"/>
    <w:rsid w:val="50AF4067"/>
    <w:rsid w:val="51295B34"/>
    <w:rsid w:val="51527CF8"/>
    <w:rsid w:val="531C2B3B"/>
    <w:rsid w:val="539B083F"/>
    <w:rsid w:val="5452183E"/>
    <w:rsid w:val="54596730"/>
    <w:rsid w:val="557468AB"/>
    <w:rsid w:val="55913CA7"/>
    <w:rsid w:val="566B62A7"/>
    <w:rsid w:val="56A42C52"/>
    <w:rsid w:val="586E33D5"/>
    <w:rsid w:val="58BF3060"/>
    <w:rsid w:val="58D1451F"/>
    <w:rsid w:val="598F44F5"/>
    <w:rsid w:val="59C70720"/>
    <w:rsid w:val="5E7A488F"/>
    <w:rsid w:val="60E16FB3"/>
    <w:rsid w:val="612A5C2C"/>
    <w:rsid w:val="61762D3A"/>
    <w:rsid w:val="61F77588"/>
    <w:rsid w:val="626910C3"/>
    <w:rsid w:val="627F5A8E"/>
    <w:rsid w:val="62EE79D5"/>
    <w:rsid w:val="637A38E5"/>
    <w:rsid w:val="637F18BA"/>
    <w:rsid w:val="65422410"/>
    <w:rsid w:val="66634050"/>
    <w:rsid w:val="67705236"/>
    <w:rsid w:val="69A2427D"/>
    <w:rsid w:val="6A742F09"/>
    <w:rsid w:val="6B056ECD"/>
    <w:rsid w:val="6BB27C89"/>
    <w:rsid w:val="6BFD36B5"/>
    <w:rsid w:val="6C1D6893"/>
    <w:rsid w:val="6D9337D5"/>
    <w:rsid w:val="7150126C"/>
    <w:rsid w:val="71B10D0F"/>
    <w:rsid w:val="71D52342"/>
    <w:rsid w:val="72A90FFE"/>
    <w:rsid w:val="732865DF"/>
    <w:rsid w:val="739B6209"/>
    <w:rsid w:val="74A05410"/>
    <w:rsid w:val="74E10D62"/>
    <w:rsid w:val="765F1D9A"/>
    <w:rsid w:val="777F1F06"/>
    <w:rsid w:val="77AB69F3"/>
    <w:rsid w:val="77AC36DA"/>
    <w:rsid w:val="78160310"/>
    <w:rsid w:val="783E17EB"/>
    <w:rsid w:val="784E2B31"/>
    <w:rsid w:val="79037FA4"/>
    <w:rsid w:val="79967056"/>
    <w:rsid w:val="7B3602E5"/>
    <w:rsid w:val="7C437682"/>
    <w:rsid w:val="7D401D41"/>
    <w:rsid w:val="7DC254D1"/>
    <w:rsid w:val="7FEB2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70"/>
      <w:outlineLvl w:val="0"/>
    </w:pPr>
    <w:rPr>
      <w:rFonts w:ascii="黑体" w:hAnsi="黑体" w:eastAsia="黑体" w:cs="黑体"/>
      <w:b/>
      <w:bCs/>
      <w:sz w:val="52"/>
      <w:szCs w:val="52"/>
    </w:rPr>
  </w:style>
  <w:style w:type="paragraph" w:styleId="4">
    <w:name w:val="heading 4"/>
    <w:basedOn w:val="1"/>
    <w:next w:val="1"/>
    <w:semiHidden/>
    <w:unhideWhenUsed/>
    <w:qFormat/>
    <w:uiPriority w:val="0"/>
    <w:pPr>
      <w:spacing w:beforeAutospacing="1" w:afterAutospacing="1"/>
      <w:outlineLvl w:val="3"/>
    </w:pPr>
    <w:rPr>
      <w:rFonts w:hint="eastAsia" w:cs="Times New Roman"/>
      <w:b/>
      <w:bCs/>
      <w:sz w:val="24"/>
      <w:szCs w:val="24"/>
      <w:lang w:val="en-US"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5">
    <w:name w:val="Body Text"/>
    <w:basedOn w:val="1"/>
    <w:qFormat/>
    <w:uiPriority w:val="1"/>
    <w:rPr>
      <w:sz w:val="32"/>
      <w:szCs w:val="32"/>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rPr>
      <w:rFonts w:cs="Times New Roman"/>
      <w:sz w:val="24"/>
      <w:lang w:val="en-US" w:bidi="ar-SA"/>
    </w:rPr>
  </w:style>
  <w:style w:type="character" w:customStyle="1" w:styleId="12">
    <w:name w:val="批注框文本 Char"/>
    <w:basedOn w:val="11"/>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653.16</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Sheet1!$A$1:$A$5</c:f>
              <c:strCache>
                <c:ptCount val="3"/>
                <c:pt idx="0">
                  <c:v> </c:v>
                </c:pt>
                <c:pt idx="1">
                  <c:v>2021年</c:v>
                </c:pt>
                <c:pt idx="2">
                  <c:v>2022年</c:v>
                </c:pt>
              </c:strCache>
            </c:strRef>
          </c:cat>
          <c:val>
            <c:numRef>
              <c:f>Sheet1!$B$1:$B$5</c:f>
              <c:numCache>
                <c:formatCode>General</c:formatCode>
                <c:ptCount val="5"/>
                <c:pt idx="0">
                  <c:v>0</c:v>
                </c:pt>
                <c:pt idx="1">
                  <c:v>920.78</c:v>
                </c:pt>
                <c:pt idx="2">
                  <c:v>653.16</c:v>
                </c:pt>
              </c:numCache>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Sheet1!$A$1:$A$5</c:f>
              <c:strCache>
                <c:ptCount val="3"/>
                <c:pt idx="0">
                  <c:v> </c:v>
                </c:pt>
                <c:pt idx="1">
                  <c:v>2021年</c:v>
                </c:pt>
                <c:pt idx="2">
                  <c:v>2022年</c:v>
                </c:pt>
              </c:strCache>
            </c:strRef>
          </c:cat>
          <c:val>
            <c:numRef>
              <c:f>Sheet1!$C$1:$C$5</c:f>
              <c:numCache>
                <c:formatCode>General</c:formatCode>
                <c:ptCount val="5"/>
              </c:numCache>
            </c:numRef>
          </c:val>
        </c:ser>
        <c:ser>
          <c:idx val="2"/>
          <c:order val="2"/>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Sheet1!$A$1:$A$5</c:f>
              <c:strCache>
                <c:ptCount val="3"/>
                <c:pt idx="0">
                  <c:v> </c:v>
                </c:pt>
                <c:pt idx="1">
                  <c:v>2021年</c:v>
                </c:pt>
                <c:pt idx="2">
                  <c:v>2022年</c:v>
                </c:pt>
              </c:strCache>
            </c:strRef>
          </c:cat>
          <c:val>
            <c:numRef>
              <c:f>Sheet1!$D$1:$D$5</c:f>
              <c:numCache>
                <c:formatCode>General</c:formatCode>
                <c:ptCount val="5"/>
              </c:numCache>
            </c:numRef>
          </c:val>
        </c:ser>
        <c:dLbls>
          <c:showLegendKey val="0"/>
          <c:showVal val="1"/>
          <c:showCatName val="0"/>
          <c:showSerName val="0"/>
          <c:showPercent val="0"/>
          <c:showBubbleSize val="0"/>
        </c:dLbls>
        <c:gapWidth val="219"/>
        <c:overlap val="-27"/>
        <c:axId val="125778560"/>
        <c:axId val="125814656"/>
      </c:barChart>
      <c:catAx>
        <c:axId val="12577856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814656"/>
        <c:crosses val="autoZero"/>
        <c:auto val="1"/>
        <c:lblAlgn val="ctr"/>
        <c:lblOffset val="100"/>
        <c:noMultiLvlLbl val="0"/>
      </c:catAx>
      <c:valAx>
        <c:axId val="125814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77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6.52</c:v>
                </c:pt>
                <c:pt idx="1">
                  <c:v>93.48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20.41</a:t>
                    </a:r>
                    <a:endParaRPr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624.82</a:t>
                    </a:r>
                    <a:endParaRPr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20.41</c:v>
                </c:pt>
                <c:pt idx="1">
                  <c:v>624.82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en-US" altLang="en-US">
                        <a:solidFill>
                          <a:sysClr val="windowText" lastClr="000000"/>
                        </a:solidFill>
                      </a:rPr>
                      <a:t>39.81</a:t>
                    </a:r>
                    <a:endParaRPr altLang="en-US">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34.52</c:v>
                </c:pt>
                <c:pt idx="1">
                  <c:v>39.81</c:v>
                </c:pt>
              </c:numCache>
            </c:numRef>
          </c:val>
        </c:ser>
        <c:dLbls>
          <c:showLegendKey val="0"/>
          <c:showVal val="1"/>
          <c:showCatName val="0"/>
          <c:showSerName val="0"/>
          <c:showPercent val="0"/>
          <c:showBubbleSize val="0"/>
        </c:dLbls>
        <c:gapWidth val="219"/>
        <c:overlap val="-27"/>
        <c:axId val="124780928"/>
        <c:axId val="124782464"/>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24780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782464"/>
        <c:crosses val="autoZero"/>
        <c:auto val="1"/>
        <c:lblAlgn val="ctr"/>
        <c:lblOffset val="100"/>
        <c:noMultiLvlLbl val="0"/>
      </c:catAx>
      <c:valAx>
        <c:axId val="124782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0582796301485"/>
          <c:y val="0.030919866013913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33.78</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2022年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35.48</c:v>
                </c:pt>
                <c:pt idx="1">
                  <c:v>33.8</c:v>
                </c:pt>
              </c:numCache>
            </c:numRef>
          </c:val>
        </c:ser>
        <c:dLbls>
          <c:showLegendKey val="0"/>
          <c:showVal val="1"/>
          <c:showCatName val="0"/>
          <c:showSerName val="0"/>
          <c:showPercent val="0"/>
          <c:showBubbleSize val="0"/>
        </c:dLbls>
        <c:gapWidth val="219"/>
        <c:overlap val="-27"/>
        <c:axId val="125203968"/>
        <c:axId val="12520550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2021年</c:v>
                      </c:pt>
                      <c:pt idx="1">
                        <c:v>2022年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2021年</c:v>
                      </c:pt>
                      <c:pt idx="1">
                        <c:v>2022年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1252039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205504"/>
        <c:crosses val="autoZero"/>
        <c:auto val="1"/>
        <c:lblAlgn val="ctr"/>
        <c:lblOffset val="100"/>
        <c:noMultiLvlLbl val="0"/>
      </c:catAx>
      <c:valAx>
        <c:axId val="125205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2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1528</Words>
  <Characters>8711</Characters>
  <Lines>72</Lines>
  <Paragraphs>20</Paragraphs>
  <TotalTime>10</TotalTime>
  <ScaleCrop>false</ScaleCrop>
  <LinksUpToDate>false</LinksUpToDate>
  <CharactersWithSpaces>10219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2023-08-29T03:41:00Z</dcterms:created>
  <dc:creator>Administrator</dc:creator>
  <cp:lastModifiedBy>浪浪剑心</cp:lastModifiedBy>
  <cp:lastPrinted>2023-08-29T03:40:00Z</cp:lastPrinted>
  <dcterms:modified xsi:type="dcterms:W3CDTF">2023-08-30T02:07:50Z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6098F46500D94226965E3254ECFD4C57</vt:lpwstr>
  </property>
</Properties>
</file>